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670F4C" w14:textId="4C54750F" w:rsidR="00A10680" w:rsidRDefault="007376BA" w:rsidP="007376BA">
      <w:pPr>
        <w:pStyle w:val="Pagedecouverture"/>
        <w:rPr>
          <w:noProof/>
        </w:rPr>
      </w:pPr>
      <w:bookmarkStart w:id="0" w:name="DW_BM_COVERPAGE"/>
      <w:bookmarkStart w:id="1" w:name="LW_BM_COVERPAGE"/>
      <w:r>
        <w:rPr>
          <w:noProof/>
        </w:rPr>
        <w:pict w14:anchorId="35250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5E317891-3605-4E9A-8758-9A667B3413F4" style="width:455.25pt;height:396.75pt">
            <v:imagedata r:id="rId11" o:title=""/>
          </v:shape>
        </w:pict>
      </w:r>
    </w:p>
    <w:bookmarkEnd w:id="1"/>
    <w:p w14:paraId="41B263AC" w14:textId="77777777" w:rsidR="00A10680" w:rsidRDefault="00A10680" w:rsidP="00A10680">
      <w:pPr>
        <w:rPr>
          <w:noProof/>
        </w:rPr>
        <w:sectPr w:rsidR="00A10680" w:rsidSect="007376BA">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7B9D386C" w14:textId="77777777" w:rsidR="00457A6A" w:rsidRPr="00562D16" w:rsidRDefault="00457A6A" w:rsidP="004B5AFF">
      <w:pPr>
        <w:spacing w:before="120" w:after="120" w:line="240" w:lineRule="auto"/>
        <w:jc w:val="center"/>
        <w:rPr>
          <w:rFonts w:ascii="Times New Roman" w:eastAsia="Calibri" w:hAnsi="Times New Roman" w:cs="Times New Roman"/>
          <w:b/>
          <w:bCs/>
          <w:noProof/>
          <w:sz w:val="24"/>
          <w:szCs w:val="24"/>
          <w:u w:val="single"/>
        </w:rPr>
      </w:pPr>
      <w:bookmarkStart w:id="2" w:name="_GoBack"/>
      <w:bookmarkEnd w:id="0"/>
      <w:bookmarkEnd w:id="2"/>
      <w:r>
        <w:rPr>
          <w:rFonts w:ascii="Times New Roman" w:hAnsi="Times New Roman"/>
          <w:b/>
          <w:noProof/>
          <w:sz w:val="24"/>
          <w:u w:val="single"/>
        </w:rPr>
        <w:lastRenderedPageBreak/>
        <w:t xml:space="preserve">ПРИЛОЖЕНИЕ </w:t>
      </w:r>
    </w:p>
    <w:p w14:paraId="7B9D386D" w14:textId="77777777" w:rsidR="00457A6A" w:rsidRPr="008A0F8A" w:rsidRDefault="00457A6A" w:rsidP="00457A6A">
      <w:pPr>
        <w:spacing w:before="120" w:after="120" w:line="240" w:lineRule="auto"/>
        <w:jc w:val="both"/>
        <w:rPr>
          <w:rFonts w:ascii="Times New Roman" w:eastAsia="Calibri" w:hAnsi="Times New Roman" w:cs="Times New Roman"/>
          <w:noProof/>
          <w:sz w:val="24"/>
          <w:lang w:val="ru-RU"/>
        </w:rPr>
      </w:pPr>
    </w:p>
    <w:p w14:paraId="7B9D386E" w14:textId="4F075836" w:rsidR="00457A6A" w:rsidRPr="00562D16" w:rsidRDefault="00457A6A" w:rsidP="004B5AFF">
      <w:pPr>
        <w:spacing w:before="120" w:after="120" w:line="240" w:lineRule="auto"/>
        <w:jc w:val="both"/>
        <w:rPr>
          <w:rFonts w:ascii="Times New Roman" w:eastAsia="Calibri" w:hAnsi="Times New Roman" w:cs="Times New Roman"/>
          <w:b/>
          <w:bCs/>
          <w:noProof/>
          <w:sz w:val="24"/>
          <w:szCs w:val="24"/>
        </w:rPr>
      </w:pPr>
      <w:r>
        <w:rPr>
          <w:rFonts w:ascii="Times New Roman" w:hAnsi="Times New Roman"/>
          <w:b/>
          <w:noProof/>
          <w:sz w:val="24"/>
        </w:rPr>
        <w:t>РАЗДЕЛ 1: РЕФОРМИ И ИНВЕСТИЦИИ В РАМКИТЕ НА ПЛАНА ЗА ВЪЗСТАНОВЯВАНЕ И УСТОЙЧИВОСТ</w:t>
      </w:r>
    </w:p>
    <w:p w14:paraId="7B9D386F" w14:textId="77777777" w:rsidR="00457A6A" w:rsidRPr="008A0F8A" w:rsidRDefault="00457A6A" w:rsidP="00457A6A">
      <w:pPr>
        <w:spacing w:before="120" w:after="120" w:line="240" w:lineRule="auto"/>
        <w:jc w:val="both"/>
        <w:rPr>
          <w:rFonts w:ascii="Times New Roman" w:eastAsia="Calibri" w:hAnsi="Times New Roman" w:cs="Times New Roman"/>
          <w:noProof/>
          <w:sz w:val="24"/>
          <w:lang w:val="ru-RU"/>
        </w:rPr>
      </w:pPr>
    </w:p>
    <w:p w14:paraId="0D3CA2BF" w14:textId="77777777" w:rsidR="006E1228" w:rsidRPr="00562D16" w:rsidRDefault="006E1228" w:rsidP="006E1228">
      <w:pPr>
        <w:numPr>
          <w:ilvl w:val="0"/>
          <w:numId w:val="1"/>
        </w:numPr>
        <w:spacing w:before="120" w:after="120" w:line="240" w:lineRule="auto"/>
        <w:jc w:val="both"/>
        <w:rPr>
          <w:rFonts w:ascii="Times New Roman" w:eastAsia="Calibri" w:hAnsi="Times New Roman" w:cs="Times New Roman"/>
          <w:b/>
          <w:bCs/>
          <w:noProof/>
          <w:sz w:val="24"/>
          <w:szCs w:val="24"/>
        </w:rPr>
      </w:pPr>
      <w:r>
        <w:rPr>
          <w:rFonts w:ascii="Times New Roman" w:hAnsi="Times New Roman"/>
          <w:b/>
          <w:noProof/>
          <w:sz w:val="24"/>
        </w:rPr>
        <w:t xml:space="preserve">Описание на реформите и инвестициите </w:t>
      </w:r>
    </w:p>
    <w:p w14:paraId="6A3C22F8" w14:textId="77777777" w:rsidR="006E1228" w:rsidRPr="00562D16" w:rsidRDefault="006E1228" w:rsidP="006E1228">
      <w:pPr>
        <w:keepNext/>
        <w:tabs>
          <w:tab w:val="left" w:pos="850"/>
        </w:tabs>
        <w:spacing w:before="360" w:after="120" w:line="240" w:lineRule="auto"/>
        <w:ind w:left="850" w:hanging="850"/>
        <w:jc w:val="both"/>
        <w:outlineLvl w:val="0"/>
        <w:rPr>
          <w:rFonts w:ascii="Times New Roman" w:eastAsia="Calibri" w:hAnsi="Times New Roman" w:cs="Times New Roman"/>
          <w:b/>
          <w:bCs/>
          <w:smallCaps/>
          <w:noProof/>
          <w:sz w:val="24"/>
          <w:szCs w:val="24"/>
        </w:rPr>
      </w:pPr>
      <w:r>
        <w:rPr>
          <w:rFonts w:ascii="Times New Roman" w:hAnsi="Times New Roman"/>
          <w:b/>
          <w:smallCaps/>
          <w:noProof/>
          <w:sz w:val="24"/>
        </w:rPr>
        <w:tab/>
        <w:t xml:space="preserve">А. КОМПОНЕНТ 1: Образование и квалификация </w:t>
      </w:r>
    </w:p>
    <w:p w14:paraId="20167D08" w14:textId="77777777" w:rsidR="006E1228" w:rsidRPr="00562D16" w:rsidRDefault="006E1228" w:rsidP="006E1228">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 xml:space="preserve">С този компонент на българския план за възстановяване и устойчивост ще се подобри качеството и ефективността на системите за образование и обучение. Той обхваща две реформи и четири инвестиции в следните области: </w:t>
      </w:r>
    </w:p>
    <w:p w14:paraId="19C755D4" w14:textId="68D1F825" w:rsidR="006E1228" w:rsidRPr="00562D16" w:rsidRDefault="006E1228" w:rsidP="006E1228">
      <w:pPr>
        <w:pStyle w:val="ListParagraph"/>
        <w:numPr>
          <w:ilvl w:val="0"/>
          <w:numId w:val="4"/>
        </w:num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 xml:space="preserve">достъп до образование; изграждане и обновяване на образователна инфраструктура и младежки центрове на цялата територия, прилагане на дистанционни и хибридни форми на обучение и постепенно включване на четиригодишните в образователната система; </w:t>
      </w:r>
    </w:p>
    <w:p w14:paraId="0F346928" w14:textId="77777777" w:rsidR="006E1228" w:rsidRPr="00562D16" w:rsidRDefault="006E1228" w:rsidP="006E1228">
      <w:pPr>
        <w:pStyle w:val="ListParagraph"/>
        <w:numPr>
          <w:ilvl w:val="0"/>
          <w:numId w:val="4"/>
        </w:num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развитие на цифровите умения и насърчаване на образованието в областта на науката, технологиите, инженерството и математиката (НТИМ) в българските училища: актуализиране на учебните програми и изграждане на центрове за НТИМ, в т.ч. училищни лаборатории;</w:t>
      </w:r>
    </w:p>
    <w:p w14:paraId="68B2CD6A" w14:textId="77777777" w:rsidR="006E1228" w:rsidRPr="00562D16" w:rsidRDefault="006E1228" w:rsidP="006E1228">
      <w:pPr>
        <w:pStyle w:val="ListParagraph"/>
        <w:numPr>
          <w:ilvl w:val="0"/>
          <w:numId w:val="4"/>
        </w:num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 xml:space="preserve">адекватност на уменията и обучение за възрастни: реформа на нормативната уредба на висшето и професионалното образование и обучение и изграждане на свързана с публичните служби по заетостта онлайн обучителна платформа за възрастни. </w:t>
      </w:r>
    </w:p>
    <w:p w14:paraId="2E7F49F4" w14:textId="22250821" w:rsidR="006E1228" w:rsidRPr="00562D16" w:rsidRDefault="006E1228" w:rsidP="006E1228">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Компонентът допринася за преодоляване на предизвикателствата, посочени в специфичните за всяка държава препоръки, за подобряване на квалификацията чрез повишаване на уменията, в т.ч. цифровите, за подобряване на равния достъп до образование и обучение и за повишаване на качеството, съответствието с потребностите на пазара на труда и приобщаващия характер на образованието и обучението (специфична за държавата препоръка 4 от 2019 г. и 2 от 2020 г.).</w:t>
      </w:r>
    </w:p>
    <w:p w14:paraId="6444E570" w14:textId="77777777" w:rsidR="006E1228" w:rsidRPr="00562D16" w:rsidRDefault="006E1228" w:rsidP="006E1228">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Очаква се, че нито една мярка в този компонент не вреди в значителна степен на екологичните цели по смисъла на член 17 от Регламент (ЕС) 2020/852, като се вземат предвид описанието на мерките и стъпките за смекчаване на последиците, определени в плана за възстановяване и устойчивост в съответствие с Техническите насоки на принципа за ненанасяне на значителни вреди (ПНЗВ) (2021/C58/01).</w:t>
      </w:r>
    </w:p>
    <w:p w14:paraId="4222E4AF" w14:textId="77777777" w:rsidR="006E1228" w:rsidRPr="00562D16" w:rsidRDefault="006E1228" w:rsidP="006E1228">
      <w:pPr>
        <w:spacing w:before="120" w:after="120" w:line="240" w:lineRule="auto"/>
        <w:ind w:left="850"/>
        <w:jc w:val="both"/>
        <w:rPr>
          <w:rFonts w:ascii="Times New Roman" w:eastAsia="Calibri" w:hAnsi="Times New Roman" w:cs="Times New Roman"/>
          <w:b/>
          <w:bCs/>
          <w:i/>
          <w:iCs/>
          <w:noProof/>
          <w:color w:val="4F81BD"/>
          <w:sz w:val="24"/>
          <w:szCs w:val="24"/>
        </w:rPr>
      </w:pPr>
      <w:r>
        <w:rPr>
          <w:rFonts w:ascii="Times New Roman" w:hAnsi="Times New Roman"/>
          <w:b/>
          <w:noProof/>
          <w:sz w:val="24"/>
          <w:u w:val="single"/>
        </w:rPr>
        <w:t xml:space="preserve">A.1 </w:t>
      </w:r>
      <w:r>
        <w:rPr>
          <w:rFonts w:ascii="Times New Roman" w:hAnsi="Times New Roman"/>
          <w:b/>
          <w:noProof/>
          <w:sz w:val="24"/>
          <w:u w:val="single"/>
        </w:rPr>
        <w:tab/>
        <w:t>Описание на реформите и инвестициите за безвъзмездна финансова подкрепа</w:t>
      </w:r>
    </w:p>
    <w:p w14:paraId="4FABF619" w14:textId="6E4A51EF" w:rsidR="006E1228" w:rsidRPr="00562D16" w:rsidRDefault="006E1228" w:rsidP="006E1228">
      <w:pPr>
        <w:spacing w:before="120" w:after="120" w:line="240" w:lineRule="auto"/>
        <w:ind w:left="850"/>
        <w:jc w:val="both"/>
        <w:rPr>
          <w:rFonts w:ascii="Times New Roman" w:eastAsia="Calibri" w:hAnsi="Times New Roman" w:cs="Times New Roman"/>
          <w:noProof/>
          <w:sz w:val="24"/>
          <w:szCs w:val="24"/>
          <w:u w:val="single"/>
        </w:rPr>
      </w:pPr>
      <w:r>
        <w:rPr>
          <w:rFonts w:ascii="Times New Roman" w:hAnsi="Times New Roman"/>
          <w:noProof/>
          <w:sz w:val="24"/>
          <w:u w:val="single"/>
        </w:rPr>
        <w:t>Реформа 1 (К1.Р1): Реформа на предучилищното и училищното образование и на ученето през целия живот</w:t>
      </w:r>
    </w:p>
    <w:p w14:paraId="130D05D6" w14:textId="77777777" w:rsidR="006E1228" w:rsidRPr="00562D16" w:rsidRDefault="006E1228" w:rsidP="006E1228">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 xml:space="preserve">Целта на тази реформа е да се повишат качеството и достъпът до образование и обучение. Реформата се състои във влизането в сила на законодателен пакет, който включва: </w:t>
      </w:r>
    </w:p>
    <w:p w14:paraId="75A593AB" w14:textId="685F92CF" w:rsidR="006E1228" w:rsidRPr="00562D16" w:rsidRDefault="006E1228" w:rsidP="006E1228">
      <w:pPr>
        <w:pStyle w:val="ListParagraph"/>
        <w:numPr>
          <w:ilvl w:val="0"/>
          <w:numId w:val="13"/>
        </w:num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 xml:space="preserve">Изменения на Закона за предучилищното и училищното образование, както и на вторичното законодателство. С измененията се въвеждат: преразглеждане на учебните програми с акцент върху предметите в областта на науката, технологиите, инженерството и математиката (НТИМ/STEM); допълнителни хибридни форми на учене – с възможности за присъствено и дистанционно обучение; както и задължително включване на четиригодишните в предучилищното образование, като това ще се въведе постепенно и ще приключи до учебната 2023/2024 година. </w:t>
      </w:r>
    </w:p>
    <w:p w14:paraId="6C1EF869" w14:textId="77777777" w:rsidR="006E1228" w:rsidRPr="00562D16" w:rsidRDefault="006E1228" w:rsidP="006E1228">
      <w:pPr>
        <w:pStyle w:val="ListParagraph"/>
        <w:numPr>
          <w:ilvl w:val="0"/>
          <w:numId w:val="13"/>
        </w:num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Изменения в Закона за насърчаване на заетостта, с които се улеснява достъпът до обучение и се въвеждат нови възможности за обучение и за удостоверяване на квалификацията;</w:t>
      </w:r>
    </w:p>
    <w:p w14:paraId="7B2CC68F" w14:textId="77777777" w:rsidR="006E1228" w:rsidRPr="00562D16" w:rsidRDefault="006E1228" w:rsidP="006E1228">
      <w:pPr>
        <w:pStyle w:val="ListParagraph"/>
        <w:numPr>
          <w:ilvl w:val="0"/>
          <w:numId w:val="13"/>
        </w:num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Изменения на нормативната уредба на професионалното образование и обучение (ПОО), с които се въвеждат промени в списъка на професиите за ПОО и техните програми съобразно потребностите от квалификация, в т.ч. в областта на опазването на околната среда и цифровите технологии.</w:t>
      </w:r>
    </w:p>
    <w:p w14:paraId="7FCA43DF" w14:textId="4967333D" w:rsidR="006E1228" w:rsidRPr="00562D16" w:rsidRDefault="006E1228" w:rsidP="006E1228">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 xml:space="preserve">Реформата ще включва и приемането на план за действие с мерките с оглед на препоръките в Стратегическата рамка за развитие на образованието, обучението и ученето в Република България (2021—2030 г.) В тази стратегическа рамка ще се определят приоритетите за развитие на българската образователна система до 2030 г. и ще се отправят препоръки, със специален акцент върху достъпа до качествено образование за уязвимите групи, включително ромите. </w:t>
      </w:r>
    </w:p>
    <w:p w14:paraId="0D9ABFD2" w14:textId="77777777" w:rsidR="006E1228" w:rsidRPr="00562D16" w:rsidRDefault="006E1228" w:rsidP="006E1228">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Изпълнението на реформата ще приключи до 30 септември 2023 г.</w:t>
      </w:r>
    </w:p>
    <w:p w14:paraId="04BD8DDF" w14:textId="68F0C58F" w:rsidR="006E1228" w:rsidRPr="00562D16" w:rsidRDefault="006E1228" w:rsidP="006E1228">
      <w:pPr>
        <w:spacing w:before="120" w:after="120" w:line="240" w:lineRule="auto"/>
        <w:ind w:left="850"/>
        <w:jc w:val="both"/>
        <w:rPr>
          <w:rFonts w:ascii="Times New Roman" w:eastAsia="Calibri" w:hAnsi="Times New Roman" w:cs="Times New Roman"/>
          <w:noProof/>
          <w:sz w:val="24"/>
          <w:szCs w:val="24"/>
          <w:u w:val="single"/>
        </w:rPr>
      </w:pPr>
      <w:r>
        <w:rPr>
          <w:rFonts w:ascii="Times New Roman" w:hAnsi="Times New Roman"/>
          <w:noProof/>
          <w:sz w:val="24"/>
          <w:u w:val="single"/>
        </w:rPr>
        <w:t xml:space="preserve">Реформа 2 (К1.Р2): Реформа на висшето образование </w:t>
      </w:r>
    </w:p>
    <w:p w14:paraId="76F8486D" w14:textId="77777777" w:rsidR="006E1228" w:rsidRPr="00562D16" w:rsidRDefault="006E1228" w:rsidP="006E1228">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Целта на реформата е да се повиши ефективността на висшето образование на територията на България.</w:t>
      </w:r>
    </w:p>
    <w:p w14:paraId="2DFF6214" w14:textId="77777777" w:rsidR="006E1228" w:rsidRPr="00562D16" w:rsidRDefault="006E1228" w:rsidP="006E1228">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 xml:space="preserve">Реформата предвижда: </w:t>
      </w:r>
    </w:p>
    <w:p w14:paraId="39626312" w14:textId="77777777" w:rsidR="006E1228" w:rsidRPr="00562D16" w:rsidRDefault="006E1228" w:rsidP="006E1228">
      <w:pPr>
        <w:pStyle w:val="ListParagraph"/>
        <w:numPr>
          <w:ilvl w:val="0"/>
          <w:numId w:val="14"/>
        </w:num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Влизане в сила на измененията и допълненията в Закона за висшето образование. С измененията се освобождават от такса студентите, подписали договор за стаж с работодател, въвеждат се нови програми за секторите с очакван недостиг на работна ръка, както и актуализирана система за акредитация на висшите учебни заведения.</w:t>
      </w:r>
    </w:p>
    <w:p w14:paraId="0E7F8029" w14:textId="77777777" w:rsidR="006E1228" w:rsidRPr="00562D16" w:rsidRDefault="006E1228" w:rsidP="006E1228">
      <w:pPr>
        <w:pStyle w:val="ListParagraph"/>
        <w:numPr>
          <w:ilvl w:val="0"/>
          <w:numId w:val="14"/>
        </w:num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Приемане на Национална карта на висшето образование с анализ на предлагането на висше образование и наличните ресурси на цялата територия.</w:t>
      </w:r>
    </w:p>
    <w:p w14:paraId="4C645778" w14:textId="77777777" w:rsidR="006E1228" w:rsidRPr="00562D16" w:rsidRDefault="006E1228" w:rsidP="006E1228">
      <w:pPr>
        <w:pStyle w:val="ListParagraph"/>
        <w:numPr>
          <w:ilvl w:val="0"/>
          <w:numId w:val="14"/>
        </w:num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Приемане на план за действие с мерките с оглед на препоръките в Стратегията за развитие на висшето образование в Република България 2021—2030 г. В стратегията ще бъдат заложени основните цели и ще се отправят препоръки за насърчаване на достъпа до качествено висше образование, за повишаване на адекватността на висшето образование с потребностите на пазара на труда и за насърчаване на научните изследвания, в т.ч. чрез развитие на международни научно-изследователски мрежи.</w:t>
      </w:r>
    </w:p>
    <w:p w14:paraId="407C87BC" w14:textId="3BD747B6" w:rsidR="006E1228" w:rsidRPr="00562D16" w:rsidRDefault="006E1228" w:rsidP="006E1228">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Изпълнението на реформата ще приключи до 31 декември 2022 г.</w:t>
      </w:r>
    </w:p>
    <w:p w14:paraId="04701BC8" w14:textId="569E78C5" w:rsidR="006E1228" w:rsidRPr="00562D16" w:rsidRDefault="006E1228" w:rsidP="006E1228">
      <w:pPr>
        <w:spacing w:before="120" w:after="120" w:line="240" w:lineRule="auto"/>
        <w:ind w:left="850"/>
        <w:jc w:val="both"/>
        <w:rPr>
          <w:rFonts w:ascii="Times New Roman" w:eastAsia="Calibri" w:hAnsi="Times New Roman" w:cs="Times New Roman"/>
          <w:noProof/>
          <w:sz w:val="24"/>
          <w:szCs w:val="24"/>
          <w:u w:val="single"/>
        </w:rPr>
      </w:pPr>
      <w:r>
        <w:rPr>
          <w:rFonts w:ascii="Times New Roman" w:hAnsi="Times New Roman"/>
          <w:noProof/>
          <w:sz w:val="24"/>
          <w:u w:val="single"/>
        </w:rPr>
        <w:t>Инвестиция 1 (К1.И1): Центрове за НТИМ и иновации в образованието</w:t>
      </w:r>
    </w:p>
    <w:p w14:paraId="5BE66B05" w14:textId="77777777" w:rsidR="006E1228" w:rsidRPr="00562D16" w:rsidRDefault="006E1228" w:rsidP="006E1228">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 xml:space="preserve">С тази инвестиция се допълва реформа 1 „Реформа на предучилищното и училищното образование и на ученето през целия живот“. Целта на инвестицията, с която се допълват мерките на националната програма „Изграждане на училищна STEM среда“, е да се модернизира педагогическият инструментариум и да се подобри обучението по науки, технологии, инженерство и математика (НТИМ) в българските училища чрез изграждане и/или обновяване на един национален и три регионални центъра за НТИМ, както и създаване на повече лаборатории за НТИМ в училищата, в т.ч. класни стаи с достъп до високи технологии. </w:t>
      </w:r>
    </w:p>
    <w:p w14:paraId="31A494D4" w14:textId="77777777" w:rsidR="006E1228" w:rsidRPr="00562D16" w:rsidRDefault="006E1228" w:rsidP="006E1228">
      <w:pPr>
        <w:spacing w:after="0" w:line="240" w:lineRule="auto"/>
        <w:ind w:left="851"/>
        <w:jc w:val="both"/>
        <w:rPr>
          <w:rFonts w:ascii="Times New Roman" w:eastAsia="Calibri" w:hAnsi="Times New Roman" w:cs="Times New Roman"/>
          <w:noProof/>
          <w:sz w:val="24"/>
          <w:szCs w:val="24"/>
        </w:rPr>
      </w:pPr>
      <w:r>
        <w:rPr>
          <w:rFonts w:ascii="Times New Roman" w:hAnsi="Times New Roman"/>
          <w:noProof/>
          <w:sz w:val="24"/>
        </w:rPr>
        <w:t>С лабораториите за НТИМ в училищата, в т.ч. класните стаи с достъп до високи технологии, ще се подобри познаването на цифровите технологии и методиката на преподаване на предметите в областта на НТИМ. Националният център за НТИМ ще бъде централизираното звено, където ще се изготвят материали, средства и методики за обучение както на учителите, така и на учениците. Трите регионални центъра ще подкрепят обучението на учителите и учениците; те също така ще организират конференции, конгреси и семинари.</w:t>
      </w:r>
    </w:p>
    <w:p w14:paraId="11EE6614" w14:textId="77777777" w:rsidR="006E1228" w:rsidRPr="00562D16" w:rsidRDefault="006E1228" w:rsidP="006E1228">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Изпълнението на инвестицията ще приключи до 30 юни 2026 г.</w:t>
      </w:r>
    </w:p>
    <w:p w14:paraId="01CED7AC" w14:textId="76739A20" w:rsidR="006E1228" w:rsidRPr="00562D16" w:rsidRDefault="006E1228" w:rsidP="006E1228">
      <w:pPr>
        <w:spacing w:before="120" w:after="120" w:line="240" w:lineRule="auto"/>
        <w:ind w:left="850"/>
        <w:jc w:val="both"/>
        <w:rPr>
          <w:rFonts w:ascii="Times New Roman" w:eastAsia="Calibri" w:hAnsi="Times New Roman" w:cs="Times New Roman"/>
          <w:noProof/>
          <w:sz w:val="24"/>
          <w:szCs w:val="24"/>
          <w:u w:val="single"/>
        </w:rPr>
      </w:pPr>
      <w:r>
        <w:rPr>
          <w:rFonts w:ascii="Times New Roman" w:hAnsi="Times New Roman"/>
          <w:noProof/>
          <w:sz w:val="24"/>
          <w:u w:val="single"/>
        </w:rPr>
        <w:t xml:space="preserve">Инвестиция 2 (К1.И2): Модернизиране на образователната инфраструктура </w:t>
      </w:r>
    </w:p>
    <w:p w14:paraId="7734A31E" w14:textId="3408DF94" w:rsidR="006E1228" w:rsidRPr="00562D16" w:rsidRDefault="4AC8A402" w:rsidP="006E1228">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С тази инвестиция се допълва реформа 1 „Реформа на предучилищното и училищното образование и на ученето през целия живот“. Инвестицията се състои в изграждане и обновяване на образователна инфраструктура. Тази образователна инфраструктура обхваща детски градини, училища, в т.ч. техникуми, ученически общежития и университетски комплекси.</w:t>
      </w:r>
    </w:p>
    <w:p w14:paraId="3962BA99" w14:textId="0DB8C79C" w:rsidR="006E1228" w:rsidRPr="00562D16" w:rsidRDefault="036B6602" w:rsidP="006E1228">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Местоположението на новоизградената и на обновената съществуваща образователна инфраструктура ще се избира по обективни критерии, по-специално според заложените в националните стратегии национални приоритети и, където е уместно, в резултат на проучване на образователните потребности на територията на страната и на други съответни документи като карти и методики, разработени от министерството на образованието и науката.</w:t>
      </w:r>
    </w:p>
    <w:p w14:paraId="1B9D645D" w14:textId="77777777" w:rsidR="006E1228" w:rsidRPr="00562D16" w:rsidRDefault="006E1228" w:rsidP="006E1228">
      <w:pPr>
        <w:pStyle w:val="ListParagraph"/>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Изпълнението на инвестицията ще приключи до 30 юни 2026 г.</w:t>
      </w:r>
    </w:p>
    <w:p w14:paraId="00200307" w14:textId="5C306532" w:rsidR="006E1228" w:rsidRPr="00562D16" w:rsidRDefault="006E1228" w:rsidP="006E1228">
      <w:pPr>
        <w:spacing w:before="120" w:after="120" w:line="240" w:lineRule="auto"/>
        <w:ind w:left="850"/>
        <w:jc w:val="both"/>
        <w:rPr>
          <w:rFonts w:ascii="Times New Roman" w:eastAsia="Calibri" w:hAnsi="Times New Roman" w:cs="Times New Roman"/>
          <w:noProof/>
          <w:sz w:val="24"/>
          <w:szCs w:val="24"/>
          <w:u w:val="single"/>
        </w:rPr>
      </w:pPr>
      <w:r>
        <w:rPr>
          <w:rFonts w:ascii="Times New Roman" w:hAnsi="Times New Roman"/>
          <w:noProof/>
          <w:sz w:val="24"/>
          <w:u w:val="single"/>
        </w:rPr>
        <w:t>Инвестиция 3 (К1.И3): Предлагане на обучения за придобиване на умения в областта на цифровите технологии и създаване на обучителна платформа за възрастни</w:t>
      </w:r>
    </w:p>
    <w:p w14:paraId="6720E2B5" w14:textId="5EA167AF" w:rsidR="006E1228" w:rsidRPr="00562D16" w:rsidRDefault="006E1228" w:rsidP="006E1228">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 xml:space="preserve">С тази инвестиция се допълва реформа 1 „Реформа на предучилищното и училищното образование и на ученето през целия живот“. С инвестицията се цели да се повиши квалификацията и преквалификация на работната сила, като се акцентира върху боравенето с цифровите технологии. Това ще се постигне чрез създаване на цифрова платформа и електронни ресурси, за да се насърчат възрастните да участват в дистанционни обучения. Инвестицията се състои от две части: </w:t>
      </w:r>
    </w:p>
    <w:p w14:paraId="73A61850" w14:textId="77777777" w:rsidR="006E1228" w:rsidRPr="00562D16" w:rsidRDefault="006E1228" w:rsidP="006E1228">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1.</w:t>
      </w:r>
      <w:r>
        <w:rPr>
          <w:rFonts w:ascii="Times New Roman" w:hAnsi="Times New Roman"/>
          <w:noProof/>
          <w:sz w:val="24"/>
        </w:rPr>
        <w:tab/>
        <w:t>Подинвестиция 1: Електронна обучителна платформа за възрастни</w:t>
      </w:r>
    </w:p>
    <w:p w14:paraId="45FFA621" w14:textId="77777777" w:rsidR="006E1228" w:rsidRPr="00562D16" w:rsidRDefault="006E1228" w:rsidP="006E1228">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Електронната обучителна платформа за възрастни предлага достъп онлайн до курсове и учебни ресурси. За да се покрият потребностите на населението с ниски умения в областта на цифровите технологии и с оглед на отсъствието на достъп до интернет, тази подинвестиция включва също така създаване в цялата страна на мрежа от клубове за умения в областта на цифровите технологии, оборудвани с лаптопи и персонал, така че ползвателите да имат безплатен достъп до цифровата обучителна платформа за възрастни.</w:t>
      </w:r>
      <w:r>
        <w:rPr>
          <w:rFonts w:ascii="Times New Roman" w:hAnsi="Times New Roman"/>
          <w:noProof/>
        </w:rPr>
        <w:t xml:space="preserve"> </w:t>
      </w:r>
      <w:r>
        <w:rPr>
          <w:rFonts w:ascii="Times New Roman" w:hAnsi="Times New Roman"/>
          <w:noProof/>
          <w:sz w:val="24"/>
        </w:rPr>
        <w:t>Клубовете за умения в областта на цифровите технологии ще бъдат разположени в съществуващата инфраструктура: административни сгради, регионални информационни центрове, библиотеки и дирекции по труда.</w:t>
      </w:r>
    </w:p>
    <w:p w14:paraId="7B951D92" w14:textId="77777777" w:rsidR="006E1228" w:rsidRPr="00562D16" w:rsidRDefault="006E1228" w:rsidP="006E1228">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2.</w:t>
      </w:r>
      <w:r>
        <w:rPr>
          <w:rFonts w:ascii="Times New Roman" w:hAnsi="Times New Roman"/>
          <w:noProof/>
          <w:sz w:val="24"/>
        </w:rPr>
        <w:tab/>
        <w:t xml:space="preserve">Подинвестиция 2: Обучения за боравене с цифровите технологии </w:t>
      </w:r>
    </w:p>
    <w:p w14:paraId="229C6539" w14:textId="77777777" w:rsidR="006E1228" w:rsidRPr="00562D16" w:rsidRDefault="006E1228" w:rsidP="006E1228">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 xml:space="preserve">Втората подинвестиция обхваща предлагане на обучения за придобиване на умения в областта на цифровите технологии. Обученията, насочени към безработните и заетите лица, ще са безплатни и ще обхващат базови и средни умения в областта на цифровите технологии, в съответствие с Европейската рамка за цифрови компетентности DigComp2.1. При успешно завършване на обучението ще се издава свидетелство. </w:t>
      </w:r>
    </w:p>
    <w:p w14:paraId="64E406DC" w14:textId="77777777" w:rsidR="006E1228" w:rsidRPr="00562D16" w:rsidRDefault="006E1228" w:rsidP="006E1228">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Изпълнението на инвестицията ще приключи до 30 юни 2026 г.</w:t>
      </w:r>
    </w:p>
    <w:p w14:paraId="1AE806E2" w14:textId="56C38AE2" w:rsidR="006E1228" w:rsidRPr="00562D16" w:rsidRDefault="006E1228" w:rsidP="006E1228">
      <w:pPr>
        <w:spacing w:before="120" w:after="120" w:line="240" w:lineRule="auto"/>
        <w:ind w:left="850"/>
        <w:jc w:val="both"/>
        <w:rPr>
          <w:rFonts w:ascii="Times New Roman" w:eastAsia="Calibri" w:hAnsi="Times New Roman" w:cs="Times New Roman"/>
          <w:noProof/>
          <w:sz w:val="24"/>
          <w:szCs w:val="24"/>
          <w:u w:val="single"/>
        </w:rPr>
      </w:pPr>
      <w:r>
        <w:rPr>
          <w:rFonts w:ascii="Times New Roman" w:hAnsi="Times New Roman"/>
          <w:noProof/>
          <w:sz w:val="24"/>
          <w:u w:val="single"/>
        </w:rPr>
        <w:t>Инвестиция 4 (К1.И4): Младежки центрове</w:t>
      </w:r>
    </w:p>
    <w:p w14:paraId="525CC13A" w14:textId="77777777" w:rsidR="006E1228" w:rsidRPr="00562D16" w:rsidRDefault="006E1228" w:rsidP="006E1228">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 xml:space="preserve">Целта на инвестицията е да се насърчи ограмотяването на младежите, в т.ч. принадлежащите към уязвими групи като ромите, в областта на цифровите технологии, предприемачеството и финансите и оттам – тяхното социално приобщаване и квалификация. Тази инвестиция включва: </w:t>
      </w:r>
    </w:p>
    <w:p w14:paraId="4B6D9F98" w14:textId="77777777" w:rsidR="006E1228" w:rsidRPr="00562D16" w:rsidRDefault="006E1228" w:rsidP="006E1228">
      <w:pPr>
        <w:pStyle w:val="ListParagraph"/>
        <w:numPr>
          <w:ilvl w:val="0"/>
          <w:numId w:val="3"/>
        </w:num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 xml:space="preserve">изграждане на младежки центрове в страната. Младежките центрове ще бъдат разположени в окръжни и неокръжни градове, като местоположението им ще се избира според съответни критерии: безработицата сред младежите, дял на младежите от уязвими групи, в т.ч. роми; </w:t>
      </w:r>
    </w:p>
    <w:p w14:paraId="479055AC" w14:textId="77777777" w:rsidR="006E1228" w:rsidRPr="00562D16" w:rsidRDefault="006E1228" w:rsidP="006E1228">
      <w:pPr>
        <w:pStyle w:val="ListParagraph"/>
        <w:numPr>
          <w:ilvl w:val="0"/>
          <w:numId w:val="3"/>
        </w:num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ще бъде създаден и изграден и национален координационен център, който да координира дейността на младежките центрове и да залага съответните цели.</w:t>
      </w:r>
    </w:p>
    <w:p w14:paraId="07337DF5" w14:textId="3C7497E4" w:rsidR="006E1228" w:rsidRDefault="006E1228" w:rsidP="006E1228">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Изпълнението на инвестицията ще приключи до 30 юни 2026 г.</w:t>
      </w:r>
    </w:p>
    <w:p w14:paraId="5FF3DA32" w14:textId="77777777" w:rsidR="000750E7" w:rsidRPr="008A0F8A" w:rsidRDefault="000750E7" w:rsidP="006E1228">
      <w:pPr>
        <w:spacing w:before="120" w:after="120" w:line="240" w:lineRule="auto"/>
        <w:ind w:left="850"/>
        <w:jc w:val="both"/>
        <w:rPr>
          <w:rFonts w:ascii="Times New Roman" w:eastAsia="Calibri" w:hAnsi="Times New Roman" w:cs="Times New Roman"/>
          <w:noProof/>
          <w:sz w:val="24"/>
          <w:szCs w:val="24"/>
          <w:lang w:val="ru-RU"/>
        </w:rPr>
      </w:pPr>
    </w:p>
    <w:p w14:paraId="5D73C4A4" w14:textId="07225D2C" w:rsidR="006E1228" w:rsidRPr="00562D16" w:rsidRDefault="006E1228" w:rsidP="006E1228">
      <w:pPr>
        <w:spacing w:before="120" w:after="120" w:line="240" w:lineRule="auto"/>
        <w:ind w:left="850"/>
        <w:jc w:val="both"/>
        <w:rPr>
          <w:rFonts w:ascii="Times New Roman" w:eastAsia="Calibri" w:hAnsi="Times New Roman" w:cs="Times New Roman"/>
          <w:b/>
          <w:bCs/>
          <w:noProof/>
          <w:sz w:val="24"/>
          <w:szCs w:val="24"/>
          <w:u w:val="single"/>
        </w:rPr>
      </w:pPr>
      <w:r>
        <w:rPr>
          <w:rFonts w:ascii="Times New Roman" w:hAnsi="Times New Roman"/>
          <w:b/>
          <w:noProof/>
          <w:sz w:val="24"/>
          <w:u w:val="single"/>
        </w:rPr>
        <w:t xml:space="preserve">A.2 </w:t>
      </w:r>
      <w:r>
        <w:rPr>
          <w:rFonts w:ascii="Times New Roman" w:hAnsi="Times New Roman"/>
          <w:b/>
          <w:noProof/>
          <w:sz w:val="24"/>
          <w:u w:val="single"/>
        </w:rPr>
        <w:tab/>
        <w:t>Ключови етапи, цели, показатели и график за мониторинг и изпълнение на безвъзмездната финансова подкрепа</w:t>
      </w:r>
    </w:p>
    <w:p w14:paraId="3D4BC0F6" w14:textId="77777777" w:rsidR="006E1228" w:rsidRPr="008A0F8A" w:rsidRDefault="006E1228" w:rsidP="006E1228">
      <w:pPr>
        <w:spacing w:before="120" w:after="120" w:line="240" w:lineRule="auto"/>
        <w:ind w:left="709"/>
        <w:jc w:val="both"/>
        <w:rPr>
          <w:rFonts w:ascii="Times New Roman" w:eastAsia="Calibri" w:hAnsi="Times New Roman" w:cs="Times New Roman"/>
          <w:noProof/>
          <w:sz w:val="24"/>
          <w:lang w:val="ru-RU"/>
        </w:rPr>
        <w:sectPr w:rsidR="006E1228" w:rsidRPr="008A0F8A" w:rsidSect="00B60432">
          <w:headerReference w:type="even" r:id="rId18"/>
          <w:headerReference w:type="default" r:id="rId19"/>
          <w:footerReference w:type="even" r:id="rId20"/>
          <w:footerReference w:type="default" r:id="rId21"/>
          <w:headerReference w:type="first" r:id="rId22"/>
          <w:footerReference w:type="first" r:id="rId23"/>
          <w:pgSz w:w="11907" w:h="16839"/>
          <w:pgMar w:top="1134" w:right="1134" w:bottom="1134" w:left="1134" w:header="567" w:footer="567" w:gutter="0"/>
          <w:cols w:space="720"/>
          <w:docGrid w:linePitch="360"/>
        </w:sect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09"/>
        <w:gridCol w:w="1587"/>
        <w:gridCol w:w="993"/>
        <w:gridCol w:w="1984"/>
        <w:gridCol w:w="1390"/>
        <w:gridCol w:w="850"/>
        <w:gridCol w:w="879"/>
        <w:gridCol w:w="675"/>
        <w:gridCol w:w="851"/>
        <w:gridCol w:w="742"/>
        <w:gridCol w:w="4650"/>
      </w:tblGrid>
      <w:tr w:rsidR="00855FFB" w:rsidRPr="005241FC" w14:paraId="4F33F212" w14:textId="77777777" w:rsidTr="008E16C0">
        <w:trPr>
          <w:trHeight w:val="854"/>
          <w:tblHeader/>
        </w:trPr>
        <w:tc>
          <w:tcPr>
            <w:tcW w:w="709" w:type="dxa"/>
            <w:vMerge w:val="restart"/>
            <w:shd w:val="clear" w:color="auto" w:fill="C6D9F1"/>
            <w:noWrap/>
            <w:vAlign w:val="center"/>
          </w:tcPr>
          <w:p w14:paraId="1E368119" w14:textId="480856F1" w:rsidR="00855FFB" w:rsidRPr="00D26611" w:rsidRDefault="00855FFB" w:rsidP="00855FFB">
            <w:pPr>
              <w:spacing w:after="0"/>
              <w:jc w:val="center"/>
              <w:rPr>
                <w:rFonts w:ascii="Times New Roman" w:eastAsia="Calibri" w:hAnsi="Times New Roman" w:cs="Times New Roman"/>
                <w:b/>
                <w:bCs/>
                <w:noProof/>
                <w:color w:val="000000"/>
                <w:sz w:val="20"/>
                <w:szCs w:val="20"/>
              </w:rPr>
            </w:pPr>
            <w:r>
              <w:rPr>
                <w:rFonts w:ascii="Times New Roman" w:hAnsi="Times New Roman"/>
                <w:b/>
                <w:noProof/>
                <w:sz w:val="20"/>
              </w:rPr>
              <w:t>Пореден номер</w:t>
            </w:r>
          </w:p>
        </w:tc>
        <w:tc>
          <w:tcPr>
            <w:tcW w:w="1587" w:type="dxa"/>
            <w:vMerge w:val="restart"/>
            <w:shd w:val="clear" w:color="auto" w:fill="C6D9F1"/>
            <w:noWrap/>
            <w:vAlign w:val="center"/>
          </w:tcPr>
          <w:p w14:paraId="2C036CDB" w14:textId="77777777" w:rsidR="00855FFB" w:rsidRPr="00D26611" w:rsidRDefault="00855FFB" w:rsidP="00855FFB">
            <w:pPr>
              <w:spacing w:after="0"/>
              <w:jc w:val="center"/>
              <w:rPr>
                <w:rFonts w:ascii="Times New Roman" w:eastAsia="Calibri" w:hAnsi="Times New Roman" w:cs="Times New Roman"/>
                <w:b/>
                <w:bCs/>
                <w:noProof/>
                <w:color w:val="000000"/>
                <w:sz w:val="20"/>
                <w:szCs w:val="20"/>
              </w:rPr>
            </w:pPr>
            <w:r>
              <w:rPr>
                <w:rFonts w:ascii="Times New Roman" w:hAnsi="Times New Roman"/>
                <w:b/>
                <w:noProof/>
                <w:sz w:val="20"/>
              </w:rPr>
              <w:t>Свързана мярка (реформа или инвестиция)</w:t>
            </w:r>
          </w:p>
        </w:tc>
        <w:tc>
          <w:tcPr>
            <w:tcW w:w="993" w:type="dxa"/>
            <w:vMerge w:val="restart"/>
            <w:shd w:val="clear" w:color="auto" w:fill="C6D9F1"/>
            <w:noWrap/>
            <w:vAlign w:val="center"/>
          </w:tcPr>
          <w:p w14:paraId="1A73E00F" w14:textId="77777777" w:rsidR="00855FFB" w:rsidRPr="00D26611" w:rsidRDefault="00855FFB" w:rsidP="00855FFB">
            <w:pPr>
              <w:spacing w:after="0"/>
              <w:jc w:val="center"/>
              <w:rPr>
                <w:rFonts w:ascii="Times New Roman" w:eastAsia="Calibri" w:hAnsi="Times New Roman" w:cs="Times New Roman"/>
                <w:b/>
                <w:bCs/>
                <w:noProof/>
                <w:color w:val="000000"/>
                <w:sz w:val="20"/>
                <w:szCs w:val="20"/>
              </w:rPr>
            </w:pPr>
            <w:r>
              <w:rPr>
                <w:rFonts w:ascii="Times New Roman" w:hAnsi="Times New Roman"/>
                <w:b/>
                <w:noProof/>
                <w:sz w:val="20"/>
              </w:rPr>
              <w:t>Ключов етап / Цел</w:t>
            </w:r>
          </w:p>
        </w:tc>
        <w:tc>
          <w:tcPr>
            <w:tcW w:w="1984" w:type="dxa"/>
            <w:vMerge w:val="restart"/>
            <w:shd w:val="clear" w:color="auto" w:fill="C6D9F1"/>
            <w:noWrap/>
            <w:vAlign w:val="center"/>
          </w:tcPr>
          <w:p w14:paraId="6A675266" w14:textId="77777777" w:rsidR="00855FFB" w:rsidRPr="00D26611" w:rsidRDefault="00855FFB" w:rsidP="00855FFB">
            <w:pPr>
              <w:spacing w:after="0"/>
              <w:jc w:val="center"/>
              <w:rPr>
                <w:rFonts w:ascii="Times New Roman" w:eastAsia="Calibri" w:hAnsi="Times New Roman" w:cs="Times New Roman"/>
                <w:b/>
                <w:bCs/>
                <w:noProof/>
                <w:color w:val="000000"/>
                <w:sz w:val="20"/>
                <w:szCs w:val="20"/>
              </w:rPr>
            </w:pPr>
            <w:r>
              <w:rPr>
                <w:rFonts w:ascii="Times New Roman" w:hAnsi="Times New Roman"/>
                <w:b/>
                <w:noProof/>
                <w:sz w:val="20"/>
              </w:rPr>
              <w:t>Наименование</w:t>
            </w:r>
          </w:p>
        </w:tc>
        <w:tc>
          <w:tcPr>
            <w:tcW w:w="1390" w:type="dxa"/>
            <w:vMerge w:val="restart"/>
            <w:shd w:val="clear" w:color="auto" w:fill="C6D9F1"/>
            <w:noWrap/>
            <w:vAlign w:val="center"/>
          </w:tcPr>
          <w:p w14:paraId="18D100AD" w14:textId="77777777" w:rsidR="00855FFB" w:rsidRPr="00D26611" w:rsidRDefault="00855FFB" w:rsidP="00855FFB">
            <w:pPr>
              <w:spacing w:after="0"/>
              <w:jc w:val="center"/>
              <w:rPr>
                <w:rFonts w:ascii="Times New Roman" w:eastAsia="Calibri" w:hAnsi="Times New Roman" w:cs="Times New Roman"/>
                <w:b/>
                <w:bCs/>
                <w:noProof/>
                <w:color w:val="000000"/>
                <w:sz w:val="20"/>
                <w:szCs w:val="20"/>
              </w:rPr>
            </w:pPr>
            <w:r>
              <w:rPr>
                <w:rFonts w:ascii="Times New Roman" w:hAnsi="Times New Roman"/>
                <w:b/>
                <w:noProof/>
                <w:sz w:val="20"/>
              </w:rPr>
              <w:t xml:space="preserve">Качествени показатели </w:t>
            </w:r>
            <w:r>
              <w:rPr>
                <w:rFonts w:ascii="Times New Roman" w:hAnsi="Times New Roman"/>
                <w:b/>
                <w:noProof/>
                <w:sz w:val="20"/>
              </w:rPr>
              <w:br/>
              <w:t>(за ключовите етапи)</w:t>
            </w:r>
          </w:p>
        </w:tc>
        <w:tc>
          <w:tcPr>
            <w:tcW w:w="2404" w:type="dxa"/>
            <w:gridSpan w:val="3"/>
            <w:shd w:val="clear" w:color="auto" w:fill="C6D9F1"/>
            <w:noWrap/>
            <w:vAlign w:val="center"/>
          </w:tcPr>
          <w:p w14:paraId="2513BCB9" w14:textId="77777777" w:rsidR="00855FFB" w:rsidRPr="00D26611" w:rsidRDefault="00855FFB" w:rsidP="00855FFB">
            <w:pPr>
              <w:spacing w:after="0"/>
              <w:jc w:val="center"/>
              <w:rPr>
                <w:rFonts w:ascii="Times New Roman" w:eastAsia="Calibri" w:hAnsi="Times New Roman" w:cs="Times New Roman"/>
                <w:b/>
                <w:bCs/>
                <w:noProof/>
                <w:color w:val="000000"/>
                <w:sz w:val="20"/>
                <w:szCs w:val="20"/>
              </w:rPr>
            </w:pPr>
            <w:r>
              <w:rPr>
                <w:rFonts w:ascii="Times New Roman" w:hAnsi="Times New Roman"/>
                <w:b/>
                <w:noProof/>
                <w:sz w:val="20"/>
              </w:rPr>
              <w:t xml:space="preserve">Количествени показатели </w:t>
            </w:r>
            <w:r>
              <w:rPr>
                <w:rFonts w:ascii="Times New Roman" w:hAnsi="Times New Roman"/>
                <w:b/>
                <w:noProof/>
                <w:sz w:val="20"/>
              </w:rPr>
              <w:br/>
              <w:t>(за целите)</w:t>
            </w:r>
          </w:p>
        </w:tc>
        <w:tc>
          <w:tcPr>
            <w:tcW w:w="1593" w:type="dxa"/>
            <w:gridSpan w:val="2"/>
            <w:shd w:val="clear" w:color="auto" w:fill="C6D9F1"/>
            <w:noWrap/>
            <w:vAlign w:val="center"/>
          </w:tcPr>
          <w:p w14:paraId="013BD0D0" w14:textId="037CF312" w:rsidR="00855FFB" w:rsidRPr="00D26611" w:rsidRDefault="00855FFB" w:rsidP="00855FFB">
            <w:pPr>
              <w:spacing w:after="0"/>
              <w:jc w:val="center"/>
              <w:rPr>
                <w:rFonts w:ascii="Times New Roman" w:eastAsia="Calibri" w:hAnsi="Times New Roman" w:cs="Times New Roman"/>
                <w:b/>
                <w:bCs/>
                <w:noProof/>
                <w:color w:val="000000"/>
                <w:sz w:val="20"/>
                <w:szCs w:val="20"/>
              </w:rPr>
            </w:pPr>
            <w:r>
              <w:rPr>
                <w:rFonts w:ascii="Times New Roman" w:hAnsi="Times New Roman"/>
                <w:b/>
                <w:noProof/>
                <w:sz w:val="20"/>
              </w:rPr>
              <w:t>Ориентировъчен график за приключване</w:t>
            </w:r>
          </w:p>
        </w:tc>
        <w:tc>
          <w:tcPr>
            <w:tcW w:w="4650" w:type="dxa"/>
            <w:vMerge w:val="restart"/>
            <w:shd w:val="clear" w:color="auto" w:fill="C6D9F1"/>
            <w:noWrap/>
            <w:vAlign w:val="center"/>
          </w:tcPr>
          <w:p w14:paraId="6EC6799A" w14:textId="77777777" w:rsidR="00855FFB" w:rsidRPr="00D26611" w:rsidRDefault="00855FFB" w:rsidP="00855FFB">
            <w:pPr>
              <w:spacing w:after="0"/>
              <w:jc w:val="center"/>
              <w:rPr>
                <w:rFonts w:ascii="Times New Roman" w:eastAsia="Calibri" w:hAnsi="Times New Roman" w:cs="Times New Roman"/>
                <w:b/>
                <w:bCs/>
                <w:noProof/>
                <w:color w:val="000000"/>
                <w:sz w:val="20"/>
                <w:szCs w:val="20"/>
              </w:rPr>
            </w:pPr>
            <w:r>
              <w:rPr>
                <w:rFonts w:ascii="Times New Roman" w:hAnsi="Times New Roman"/>
                <w:b/>
                <w:noProof/>
                <w:sz w:val="20"/>
              </w:rPr>
              <w:t>Описание на всеки ключов етап и цел</w:t>
            </w:r>
          </w:p>
        </w:tc>
      </w:tr>
      <w:tr w:rsidR="00855FFB" w:rsidRPr="00D26611" w14:paraId="308FEB38" w14:textId="77777777" w:rsidTr="008E16C0">
        <w:trPr>
          <w:trHeight w:val="217"/>
          <w:tblHeader/>
        </w:trPr>
        <w:tc>
          <w:tcPr>
            <w:tcW w:w="709" w:type="dxa"/>
            <w:vMerge/>
            <w:noWrap/>
          </w:tcPr>
          <w:p w14:paraId="16DA7BED" w14:textId="77777777" w:rsidR="00855FFB" w:rsidRPr="008A0F8A" w:rsidRDefault="00855FFB" w:rsidP="00C937A7">
            <w:pPr>
              <w:spacing w:after="0"/>
              <w:rPr>
                <w:rFonts w:ascii="Times New Roman" w:eastAsia="Calibri" w:hAnsi="Times New Roman" w:cs="Times New Roman"/>
                <w:b/>
                <w:noProof/>
                <w:color w:val="000000"/>
                <w:sz w:val="20"/>
                <w:szCs w:val="20"/>
                <w:lang w:val="ru-RU"/>
              </w:rPr>
            </w:pPr>
          </w:p>
        </w:tc>
        <w:tc>
          <w:tcPr>
            <w:tcW w:w="1587" w:type="dxa"/>
            <w:vMerge/>
            <w:noWrap/>
          </w:tcPr>
          <w:p w14:paraId="56D0EF57" w14:textId="77777777" w:rsidR="00855FFB" w:rsidRPr="008A0F8A" w:rsidRDefault="00855FFB" w:rsidP="00C937A7">
            <w:pPr>
              <w:spacing w:after="0"/>
              <w:rPr>
                <w:rFonts w:ascii="Times New Roman" w:eastAsia="Calibri" w:hAnsi="Times New Roman" w:cs="Times New Roman"/>
                <w:b/>
                <w:noProof/>
                <w:color w:val="000000"/>
                <w:sz w:val="20"/>
                <w:szCs w:val="20"/>
                <w:lang w:val="ru-RU"/>
              </w:rPr>
            </w:pPr>
          </w:p>
        </w:tc>
        <w:tc>
          <w:tcPr>
            <w:tcW w:w="993" w:type="dxa"/>
            <w:vMerge/>
            <w:noWrap/>
          </w:tcPr>
          <w:p w14:paraId="287AB7F2" w14:textId="77777777" w:rsidR="00855FFB" w:rsidRPr="008A0F8A" w:rsidRDefault="00855FFB" w:rsidP="00C937A7">
            <w:pPr>
              <w:spacing w:after="0"/>
              <w:rPr>
                <w:rFonts w:ascii="Times New Roman" w:eastAsia="Calibri" w:hAnsi="Times New Roman" w:cs="Times New Roman"/>
                <w:b/>
                <w:noProof/>
                <w:color w:val="000000"/>
                <w:sz w:val="20"/>
                <w:szCs w:val="20"/>
                <w:lang w:val="ru-RU"/>
              </w:rPr>
            </w:pPr>
          </w:p>
        </w:tc>
        <w:tc>
          <w:tcPr>
            <w:tcW w:w="1984" w:type="dxa"/>
            <w:vMerge/>
            <w:noWrap/>
          </w:tcPr>
          <w:p w14:paraId="06EF8281" w14:textId="77777777" w:rsidR="00855FFB" w:rsidRPr="008A0F8A" w:rsidRDefault="00855FFB" w:rsidP="00C937A7">
            <w:pPr>
              <w:spacing w:after="0"/>
              <w:rPr>
                <w:rFonts w:ascii="Times New Roman" w:eastAsia="Calibri" w:hAnsi="Times New Roman" w:cs="Times New Roman"/>
                <w:b/>
                <w:noProof/>
                <w:color w:val="000000"/>
                <w:sz w:val="20"/>
                <w:szCs w:val="20"/>
                <w:lang w:val="ru-RU"/>
              </w:rPr>
            </w:pPr>
          </w:p>
        </w:tc>
        <w:tc>
          <w:tcPr>
            <w:tcW w:w="1390" w:type="dxa"/>
            <w:vMerge/>
            <w:noWrap/>
          </w:tcPr>
          <w:p w14:paraId="2D6E3C32" w14:textId="77777777" w:rsidR="00855FFB" w:rsidRPr="008A0F8A" w:rsidRDefault="00855FFB" w:rsidP="00C937A7">
            <w:pPr>
              <w:spacing w:after="0"/>
              <w:rPr>
                <w:rFonts w:ascii="Times New Roman" w:eastAsia="Calibri" w:hAnsi="Times New Roman" w:cs="Times New Roman"/>
                <w:b/>
                <w:noProof/>
                <w:color w:val="000000"/>
                <w:sz w:val="20"/>
                <w:szCs w:val="20"/>
                <w:lang w:val="ru-RU"/>
              </w:rPr>
            </w:pPr>
          </w:p>
        </w:tc>
        <w:tc>
          <w:tcPr>
            <w:tcW w:w="850" w:type="dxa"/>
            <w:shd w:val="clear" w:color="auto" w:fill="C6D9F1"/>
            <w:noWrap/>
          </w:tcPr>
          <w:p w14:paraId="79081FE1" w14:textId="77777777" w:rsidR="00855FFB" w:rsidRPr="00D26611" w:rsidRDefault="00855FFB" w:rsidP="00855FFB">
            <w:pPr>
              <w:spacing w:after="0"/>
              <w:jc w:val="center"/>
              <w:rPr>
                <w:rFonts w:ascii="Times New Roman" w:eastAsia="Calibri" w:hAnsi="Times New Roman" w:cs="Times New Roman"/>
                <w:b/>
                <w:bCs/>
                <w:noProof/>
                <w:color w:val="000000"/>
                <w:sz w:val="20"/>
                <w:szCs w:val="20"/>
              </w:rPr>
            </w:pPr>
            <w:r>
              <w:rPr>
                <w:rFonts w:ascii="Times New Roman" w:hAnsi="Times New Roman"/>
                <w:b/>
                <w:noProof/>
                <w:sz w:val="20"/>
              </w:rPr>
              <w:t>Мерна единица</w:t>
            </w:r>
          </w:p>
        </w:tc>
        <w:tc>
          <w:tcPr>
            <w:tcW w:w="879" w:type="dxa"/>
            <w:shd w:val="clear" w:color="auto" w:fill="C6D9F1"/>
            <w:noWrap/>
          </w:tcPr>
          <w:p w14:paraId="47BBF326" w14:textId="40874FA4" w:rsidR="00855FFB" w:rsidRPr="00D26611" w:rsidRDefault="00855FFB" w:rsidP="00855FFB">
            <w:pPr>
              <w:spacing w:after="0"/>
              <w:jc w:val="center"/>
              <w:rPr>
                <w:rFonts w:ascii="Times New Roman" w:eastAsia="Calibri" w:hAnsi="Times New Roman" w:cs="Times New Roman"/>
                <w:b/>
                <w:bCs/>
                <w:noProof/>
                <w:color w:val="000000"/>
                <w:sz w:val="20"/>
                <w:szCs w:val="20"/>
              </w:rPr>
            </w:pPr>
            <w:r>
              <w:rPr>
                <w:rFonts w:ascii="Times New Roman" w:hAnsi="Times New Roman"/>
                <w:b/>
                <w:noProof/>
                <w:sz w:val="20"/>
              </w:rPr>
              <w:t>Базова линия</w:t>
            </w:r>
          </w:p>
        </w:tc>
        <w:tc>
          <w:tcPr>
            <w:tcW w:w="675" w:type="dxa"/>
            <w:shd w:val="clear" w:color="auto" w:fill="C6D9F1"/>
            <w:noWrap/>
          </w:tcPr>
          <w:p w14:paraId="106BCEC0" w14:textId="220727FD" w:rsidR="00855FFB" w:rsidRPr="00D26611" w:rsidRDefault="00855FFB" w:rsidP="00855FFB">
            <w:pPr>
              <w:spacing w:after="0"/>
              <w:jc w:val="center"/>
              <w:rPr>
                <w:rFonts w:ascii="Times New Roman" w:eastAsia="Calibri" w:hAnsi="Times New Roman" w:cs="Times New Roman"/>
                <w:b/>
                <w:bCs/>
                <w:noProof/>
                <w:color w:val="000000"/>
                <w:sz w:val="20"/>
                <w:szCs w:val="20"/>
              </w:rPr>
            </w:pPr>
            <w:r>
              <w:rPr>
                <w:rFonts w:ascii="Times New Roman" w:hAnsi="Times New Roman"/>
                <w:b/>
                <w:noProof/>
                <w:sz w:val="20"/>
              </w:rPr>
              <w:t>Цел</w:t>
            </w:r>
          </w:p>
        </w:tc>
        <w:tc>
          <w:tcPr>
            <w:tcW w:w="851" w:type="dxa"/>
            <w:shd w:val="clear" w:color="auto" w:fill="C6D9F1"/>
            <w:noWrap/>
          </w:tcPr>
          <w:p w14:paraId="12E75C57" w14:textId="77777777" w:rsidR="00855FFB" w:rsidRPr="00D26611" w:rsidRDefault="00855FFB" w:rsidP="00855FFB">
            <w:pPr>
              <w:spacing w:after="0"/>
              <w:jc w:val="center"/>
              <w:rPr>
                <w:rFonts w:ascii="Times New Roman" w:eastAsia="Calibri" w:hAnsi="Times New Roman" w:cs="Times New Roman"/>
                <w:b/>
                <w:bCs/>
                <w:noProof/>
                <w:color w:val="000000"/>
                <w:sz w:val="20"/>
                <w:szCs w:val="20"/>
              </w:rPr>
            </w:pPr>
            <w:r>
              <w:rPr>
                <w:rFonts w:ascii="Times New Roman" w:hAnsi="Times New Roman"/>
                <w:b/>
                <w:noProof/>
                <w:sz w:val="20"/>
              </w:rPr>
              <w:t>Тримесечие</w:t>
            </w:r>
          </w:p>
        </w:tc>
        <w:tc>
          <w:tcPr>
            <w:tcW w:w="742" w:type="dxa"/>
            <w:shd w:val="clear" w:color="auto" w:fill="C6D9F1"/>
            <w:noWrap/>
          </w:tcPr>
          <w:p w14:paraId="50CE3F1C" w14:textId="77777777" w:rsidR="00855FFB" w:rsidRPr="00D26611" w:rsidRDefault="00855FFB" w:rsidP="00855FFB">
            <w:pPr>
              <w:spacing w:after="0"/>
              <w:jc w:val="center"/>
              <w:rPr>
                <w:rFonts w:ascii="Times New Roman" w:eastAsia="Calibri" w:hAnsi="Times New Roman" w:cs="Times New Roman"/>
                <w:b/>
                <w:bCs/>
                <w:noProof/>
                <w:color w:val="000000"/>
                <w:sz w:val="20"/>
                <w:szCs w:val="20"/>
              </w:rPr>
            </w:pPr>
            <w:r>
              <w:rPr>
                <w:rFonts w:ascii="Times New Roman" w:hAnsi="Times New Roman"/>
                <w:b/>
                <w:noProof/>
                <w:sz w:val="20"/>
              </w:rPr>
              <w:t>Година</w:t>
            </w:r>
          </w:p>
        </w:tc>
        <w:tc>
          <w:tcPr>
            <w:tcW w:w="4650" w:type="dxa"/>
            <w:vMerge/>
            <w:noWrap/>
          </w:tcPr>
          <w:p w14:paraId="1357F648" w14:textId="77777777" w:rsidR="00855FFB" w:rsidRPr="00D26611" w:rsidRDefault="00855FFB" w:rsidP="00C937A7">
            <w:pPr>
              <w:spacing w:after="0"/>
              <w:rPr>
                <w:rFonts w:ascii="Times New Roman" w:eastAsia="Calibri" w:hAnsi="Times New Roman" w:cs="Times New Roman"/>
                <w:b/>
                <w:noProof/>
                <w:color w:val="000000"/>
                <w:sz w:val="20"/>
                <w:szCs w:val="20"/>
              </w:rPr>
            </w:pPr>
          </w:p>
        </w:tc>
      </w:tr>
      <w:tr w:rsidR="006E1228" w:rsidRPr="005241FC" w14:paraId="00EB7FBC" w14:textId="77777777" w:rsidTr="008E16C0">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tcPr>
          <w:p w14:paraId="1C3F8CA0" w14:textId="73D42932" w:rsidR="006E1228" w:rsidRPr="00D26611" w:rsidRDefault="006E1228" w:rsidP="00C937A7">
            <w:pPr>
              <w:spacing w:after="0"/>
              <w:rPr>
                <w:rFonts w:ascii="Times New Roman" w:eastAsia="Times New Roman" w:hAnsi="Times New Roman" w:cs="Times New Roman"/>
                <w:noProof/>
                <w:sz w:val="20"/>
                <w:szCs w:val="20"/>
              </w:rPr>
            </w:pPr>
            <w:r>
              <w:rPr>
                <w:rFonts w:ascii="Times New Roman" w:hAnsi="Times New Roman"/>
                <w:noProof/>
                <w:color w:val="006100"/>
                <w:sz w:val="20"/>
              </w:rPr>
              <w:t>1</w:t>
            </w:r>
          </w:p>
        </w:tc>
        <w:tc>
          <w:tcPr>
            <w:tcW w:w="1587" w:type="dxa"/>
            <w:tcBorders>
              <w:top w:val="single" w:sz="4" w:space="0" w:color="auto"/>
              <w:left w:val="nil"/>
              <w:bottom w:val="single" w:sz="4" w:space="0" w:color="auto"/>
              <w:right w:val="single" w:sz="4" w:space="0" w:color="auto"/>
            </w:tcBorders>
            <w:shd w:val="clear" w:color="auto" w:fill="C6EFCE"/>
            <w:noWrap/>
          </w:tcPr>
          <w:p w14:paraId="4D02A254" w14:textId="77777777" w:rsidR="006E1228" w:rsidRPr="00D26611" w:rsidRDefault="006E1228" w:rsidP="00C937A7">
            <w:pPr>
              <w:spacing w:after="0"/>
              <w:rPr>
                <w:rFonts w:ascii="Times New Roman" w:hAnsi="Times New Roman" w:cs="Times New Roman"/>
                <w:noProof/>
                <w:color w:val="006100"/>
                <w:sz w:val="20"/>
                <w:szCs w:val="20"/>
              </w:rPr>
            </w:pPr>
            <w:r>
              <w:rPr>
                <w:rFonts w:ascii="Times New Roman" w:hAnsi="Times New Roman"/>
                <w:noProof/>
                <w:color w:val="006100"/>
                <w:sz w:val="20"/>
              </w:rPr>
              <w:t xml:space="preserve">К1.Р1: </w:t>
            </w:r>
          </w:p>
          <w:p w14:paraId="791A3FF0" w14:textId="77777777"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Реформа на предучилищното и училищното образование и на ученето през целия живот</w:t>
            </w:r>
          </w:p>
        </w:tc>
        <w:tc>
          <w:tcPr>
            <w:tcW w:w="993" w:type="dxa"/>
            <w:tcBorders>
              <w:top w:val="single" w:sz="4" w:space="0" w:color="auto"/>
              <w:left w:val="nil"/>
              <w:bottom w:val="single" w:sz="4" w:space="0" w:color="auto"/>
              <w:right w:val="single" w:sz="4" w:space="0" w:color="auto"/>
            </w:tcBorders>
            <w:shd w:val="clear" w:color="auto" w:fill="C6EFCE"/>
            <w:noWrap/>
          </w:tcPr>
          <w:p w14:paraId="7F13C8B4" w14:textId="77777777"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984" w:type="dxa"/>
            <w:tcBorders>
              <w:top w:val="single" w:sz="4" w:space="0" w:color="auto"/>
              <w:left w:val="nil"/>
              <w:bottom w:val="single" w:sz="4" w:space="0" w:color="auto"/>
              <w:right w:val="single" w:sz="4" w:space="0" w:color="auto"/>
            </w:tcBorders>
            <w:shd w:val="clear" w:color="auto" w:fill="C6EFCE"/>
            <w:noWrap/>
          </w:tcPr>
          <w:p w14:paraId="35079E99" w14:textId="77777777" w:rsidR="006E1228" w:rsidRPr="00D26611" w:rsidRDefault="006E1228" w:rsidP="00C937A7">
            <w:pPr>
              <w:spacing w:after="0"/>
              <w:rPr>
                <w:rFonts w:ascii="Times New Roman" w:hAnsi="Times New Roman" w:cs="Times New Roman"/>
                <w:noProof/>
                <w:color w:val="006100"/>
                <w:sz w:val="20"/>
                <w:szCs w:val="20"/>
              </w:rPr>
            </w:pPr>
            <w:r>
              <w:rPr>
                <w:rFonts w:ascii="Times New Roman" w:hAnsi="Times New Roman"/>
                <w:noProof/>
                <w:color w:val="006100"/>
                <w:sz w:val="20"/>
              </w:rPr>
              <w:t>Влизане в сила на измененията на Закона за предучилищното и училищното образование и на вторичното законодателство.</w:t>
            </w:r>
          </w:p>
        </w:tc>
        <w:tc>
          <w:tcPr>
            <w:tcW w:w="1390" w:type="dxa"/>
            <w:tcBorders>
              <w:top w:val="single" w:sz="4" w:space="0" w:color="auto"/>
              <w:left w:val="nil"/>
              <w:bottom w:val="single" w:sz="4" w:space="0" w:color="auto"/>
              <w:right w:val="single" w:sz="4" w:space="0" w:color="auto"/>
            </w:tcBorders>
            <w:shd w:val="clear" w:color="auto" w:fill="C6EFCE"/>
            <w:noWrap/>
          </w:tcPr>
          <w:p w14:paraId="005C1B25" w14:textId="5A4EA23D" w:rsidR="006E1228" w:rsidRPr="00D26611" w:rsidRDefault="006E1228" w:rsidP="00C937A7">
            <w:pPr>
              <w:spacing w:after="0"/>
              <w:rPr>
                <w:rFonts w:ascii="Times New Roman" w:hAnsi="Times New Roman" w:cs="Times New Roman"/>
                <w:noProof/>
                <w:color w:val="006100"/>
                <w:sz w:val="20"/>
                <w:szCs w:val="20"/>
              </w:rPr>
            </w:pPr>
            <w:r>
              <w:rPr>
                <w:rFonts w:ascii="Times New Roman" w:hAnsi="Times New Roman"/>
                <w:noProof/>
                <w:color w:val="006100"/>
                <w:sz w:val="20"/>
              </w:rPr>
              <w:t>Законова разпоредба, указваща влизането в сила на измененията и допълненията на Закона за предучилищното и училищното образование и на вторичното законодателство</w:t>
            </w:r>
          </w:p>
        </w:tc>
        <w:tc>
          <w:tcPr>
            <w:tcW w:w="850" w:type="dxa"/>
            <w:tcBorders>
              <w:top w:val="single" w:sz="4" w:space="0" w:color="auto"/>
              <w:left w:val="nil"/>
              <w:bottom w:val="single" w:sz="4" w:space="0" w:color="auto"/>
              <w:right w:val="single" w:sz="4" w:space="0" w:color="auto"/>
            </w:tcBorders>
            <w:shd w:val="clear" w:color="auto" w:fill="C6EFCE"/>
            <w:noWrap/>
          </w:tcPr>
          <w:p w14:paraId="6889F976" w14:textId="77777777" w:rsidR="006E1228" w:rsidRPr="008A0F8A" w:rsidRDefault="006E1228" w:rsidP="00C937A7">
            <w:pPr>
              <w:spacing w:after="0"/>
              <w:rPr>
                <w:rFonts w:ascii="Times New Roman" w:eastAsia="Times New Roman" w:hAnsi="Times New Roman" w:cs="Times New Roman"/>
                <w:noProof/>
                <w:color w:val="006100"/>
                <w:sz w:val="20"/>
                <w:szCs w:val="20"/>
                <w:lang w:val="ru-RU" w:eastAsia="en-GB"/>
              </w:rPr>
            </w:pPr>
          </w:p>
        </w:tc>
        <w:tc>
          <w:tcPr>
            <w:tcW w:w="879" w:type="dxa"/>
            <w:tcBorders>
              <w:top w:val="single" w:sz="4" w:space="0" w:color="auto"/>
              <w:left w:val="nil"/>
              <w:bottom w:val="single" w:sz="4" w:space="0" w:color="auto"/>
              <w:right w:val="single" w:sz="4" w:space="0" w:color="auto"/>
            </w:tcBorders>
            <w:shd w:val="clear" w:color="auto" w:fill="C6EFCE"/>
            <w:noWrap/>
          </w:tcPr>
          <w:p w14:paraId="1034055B" w14:textId="77777777" w:rsidR="006E1228" w:rsidRPr="008A0F8A" w:rsidRDefault="006E1228" w:rsidP="00C937A7">
            <w:pPr>
              <w:spacing w:after="0"/>
              <w:rPr>
                <w:rFonts w:ascii="Times New Roman" w:eastAsia="Times New Roman" w:hAnsi="Times New Roman" w:cs="Times New Roman"/>
                <w:noProof/>
                <w:color w:val="006100"/>
                <w:sz w:val="20"/>
                <w:szCs w:val="20"/>
                <w:lang w:val="ru-RU" w:eastAsia="en-GB"/>
              </w:rPr>
            </w:pPr>
          </w:p>
        </w:tc>
        <w:tc>
          <w:tcPr>
            <w:tcW w:w="675" w:type="dxa"/>
            <w:tcBorders>
              <w:top w:val="single" w:sz="4" w:space="0" w:color="auto"/>
              <w:left w:val="nil"/>
              <w:bottom w:val="single" w:sz="4" w:space="0" w:color="auto"/>
              <w:right w:val="single" w:sz="4" w:space="0" w:color="auto"/>
            </w:tcBorders>
            <w:shd w:val="clear" w:color="auto" w:fill="C6EFCE"/>
            <w:noWrap/>
          </w:tcPr>
          <w:p w14:paraId="36BE1B9F" w14:textId="77777777" w:rsidR="006E1228" w:rsidRPr="008A0F8A" w:rsidRDefault="006E1228" w:rsidP="00C937A7">
            <w:pPr>
              <w:spacing w:after="0"/>
              <w:rPr>
                <w:rFonts w:ascii="Times New Roman" w:eastAsia="Times New Roman" w:hAnsi="Times New Roman" w:cs="Times New Roman"/>
                <w:noProof/>
                <w:color w:val="006100"/>
                <w:sz w:val="20"/>
                <w:szCs w:val="20"/>
                <w:lang w:val="ru-RU" w:eastAsia="en-GB"/>
              </w:rPr>
            </w:pPr>
          </w:p>
        </w:tc>
        <w:tc>
          <w:tcPr>
            <w:tcW w:w="851" w:type="dxa"/>
            <w:tcBorders>
              <w:top w:val="single" w:sz="4" w:space="0" w:color="auto"/>
              <w:left w:val="nil"/>
              <w:bottom w:val="single" w:sz="4" w:space="0" w:color="auto"/>
              <w:right w:val="single" w:sz="4" w:space="0" w:color="auto"/>
            </w:tcBorders>
            <w:shd w:val="clear" w:color="auto" w:fill="C6EFCE"/>
            <w:noWrap/>
          </w:tcPr>
          <w:p w14:paraId="36367901" w14:textId="77777777"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T4</w:t>
            </w:r>
          </w:p>
        </w:tc>
        <w:tc>
          <w:tcPr>
            <w:tcW w:w="742" w:type="dxa"/>
            <w:tcBorders>
              <w:top w:val="single" w:sz="4" w:space="0" w:color="auto"/>
              <w:left w:val="nil"/>
              <w:bottom w:val="single" w:sz="4" w:space="0" w:color="auto"/>
              <w:right w:val="single" w:sz="4" w:space="0" w:color="auto"/>
            </w:tcBorders>
            <w:shd w:val="clear" w:color="auto" w:fill="C6EFCE"/>
            <w:noWrap/>
          </w:tcPr>
          <w:p w14:paraId="62CCF7D3" w14:textId="77777777"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2020</w:t>
            </w:r>
          </w:p>
        </w:tc>
        <w:tc>
          <w:tcPr>
            <w:tcW w:w="4650" w:type="dxa"/>
            <w:tcBorders>
              <w:top w:val="single" w:sz="4" w:space="0" w:color="auto"/>
              <w:left w:val="nil"/>
              <w:bottom w:val="single" w:sz="4" w:space="0" w:color="auto"/>
              <w:right w:val="single" w:sz="4" w:space="0" w:color="auto"/>
            </w:tcBorders>
            <w:shd w:val="clear" w:color="auto" w:fill="C6EFCE"/>
            <w:noWrap/>
          </w:tcPr>
          <w:p w14:paraId="6C4C3909" w14:textId="77777777" w:rsidR="006E1228" w:rsidRPr="00D26611" w:rsidRDefault="006E1228"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Измененията на Закона за предучилищното и училищното образование, както и на вторичното законодателство, включват:</w:t>
            </w:r>
          </w:p>
          <w:p w14:paraId="4334F0E0" w14:textId="15B2EC02" w:rsidR="006E1228" w:rsidRPr="00D26611" w:rsidRDefault="006E1228" w:rsidP="00A3795A">
            <w:pPr>
              <w:pStyle w:val="ListParagraph"/>
              <w:numPr>
                <w:ilvl w:val="0"/>
                <w:numId w:val="3"/>
              </w:numPr>
              <w:spacing w:after="0" w:line="240" w:lineRule="auto"/>
              <w:ind w:left="539" w:hanging="284"/>
              <w:rPr>
                <w:rFonts w:ascii="Times New Roman" w:eastAsia="Times New Roman" w:hAnsi="Times New Roman" w:cs="Times New Roman"/>
                <w:noProof/>
                <w:color w:val="006100"/>
                <w:sz w:val="20"/>
                <w:szCs w:val="20"/>
              </w:rPr>
            </w:pPr>
            <w:r>
              <w:rPr>
                <w:rFonts w:ascii="Times New Roman" w:hAnsi="Times New Roman"/>
                <w:noProof/>
                <w:color w:val="006100"/>
                <w:sz w:val="20"/>
              </w:rPr>
              <w:t>актуализиране на основните учебни програми и учебни предмети в областта на НТИМ, както следва: въвеждане на нови умения в областта на информационните технологии (кодиране) в пети-седми клас; увеличаване на часовете по математика в пети-седми клас; увеличаване на часовете по география и икономика в шести клас;</w:t>
            </w:r>
          </w:p>
          <w:p w14:paraId="61099CB6" w14:textId="77777777" w:rsidR="006E1228" w:rsidRPr="00D26611" w:rsidRDefault="006E1228" w:rsidP="00A3795A">
            <w:pPr>
              <w:pStyle w:val="ListParagraph"/>
              <w:numPr>
                <w:ilvl w:val="0"/>
                <w:numId w:val="3"/>
              </w:numPr>
              <w:spacing w:after="0" w:line="240" w:lineRule="auto"/>
              <w:ind w:left="539" w:hanging="284"/>
              <w:rPr>
                <w:rFonts w:ascii="Times New Roman" w:eastAsia="Times New Roman" w:hAnsi="Times New Roman" w:cs="Times New Roman"/>
                <w:noProof/>
                <w:color w:val="006100"/>
                <w:sz w:val="20"/>
                <w:szCs w:val="20"/>
              </w:rPr>
            </w:pPr>
            <w:r>
              <w:rPr>
                <w:rFonts w:ascii="Times New Roman" w:hAnsi="Times New Roman"/>
                <w:noProof/>
                <w:color w:val="006100"/>
                <w:sz w:val="20"/>
              </w:rPr>
              <w:t>допълнителни възможности за дистанционно обучение, включително хибридни форми, съчетаващи присъствено и дистанционно обучение;</w:t>
            </w:r>
          </w:p>
          <w:p w14:paraId="1C804BE0" w14:textId="77777777" w:rsidR="006E1228" w:rsidRPr="00D26611" w:rsidRDefault="006E1228" w:rsidP="00A3795A">
            <w:pPr>
              <w:pStyle w:val="ListParagraph"/>
              <w:numPr>
                <w:ilvl w:val="0"/>
                <w:numId w:val="3"/>
              </w:numPr>
              <w:spacing w:after="0" w:line="240" w:lineRule="auto"/>
              <w:ind w:left="539" w:hanging="284"/>
              <w:rPr>
                <w:rFonts w:ascii="Times New Roman" w:eastAsia="Times New Roman" w:hAnsi="Times New Roman" w:cs="Times New Roman"/>
                <w:noProof/>
                <w:color w:val="006100"/>
                <w:sz w:val="20"/>
                <w:szCs w:val="20"/>
              </w:rPr>
            </w:pPr>
            <w:r>
              <w:rPr>
                <w:rFonts w:ascii="Times New Roman" w:hAnsi="Times New Roman"/>
                <w:noProof/>
                <w:color w:val="006100"/>
                <w:sz w:val="20"/>
              </w:rPr>
              <w:t>включване на четиригодишните в задължителната предучилищна програма. Изменението предвижда постепенно въвеждане на задължителните норми, което трябва да приключи не по-късно от учебната 2023/2024 година.</w:t>
            </w:r>
          </w:p>
        </w:tc>
      </w:tr>
      <w:tr w:rsidR="006E1228" w:rsidRPr="005241FC" w14:paraId="3E77BE95" w14:textId="77777777" w:rsidTr="008E16C0">
        <w:trPr>
          <w:trHeight w:val="309"/>
        </w:trPr>
        <w:tc>
          <w:tcPr>
            <w:tcW w:w="709" w:type="dxa"/>
            <w:tcBorders>
              <w:top w:val="nil"/>
              <w:left w:val="single" w:sz="4" w:space="0" w:color="auto"/>
              <w:bottom w:val="single" w:sz="4" w:space="0" w:color="auto"/>
              <w:right w:val="single" w:sz="4" w:space="0" w:color="auto"/>
            </w:tcBorders>
            <w:shd w:val="clear" w:color="auto" w:fill="C6EFCE"/>
            <w:noWrap/>
          </w:tcPr>
          <w:p w14:paraId="658FFAFA" w14:textId="762578C4" w:rsidR="006E1228" w:rsidRPr="00D26611" w:rsidRDefault="006E1228" w:rsidP="00C937A7">
            <w:pPr>
              <w:spacing w:after="0"/>
              <w:rPr>
                <w:rFonts w:ascii="Times New Roman" w:eastAsia="Times New Roman" w:hAnsi="Times New Roman" w:cs="Times New Roman"/>
                <w:noProof/>
                <w:sz w:val="20"/>
                <w:szCs w:val="20"/>
              </w:rPr>
            </w:pPr>
            <w:r>
              <w:rPr>
                <w:rFonts w:ascii="Times New Roman" w:hAnsi="Times New Roman"/>
                <w:noProof/>
                <w:color w:val="006100"/>
                <w:sz w:val="20"/>
              </w:rPr>
              <w:t>2</w:t>
            </w:r>
          </w:p>
        </w:tc>
        <w:tc>
          <w:tcPr>
            <w:tcW w:w="1587" w:type="dxa"/>
            <w:tcBorders>
              <w:top w:val="nil"/>
              <w:left w:val="nil"/>
              <w:bottom w:val="single" w:sz="4" w:space="0" w:color="auto"/>
              <w:right w:val="single" w:sz="4" w:space="0" w:color="auto"/>
            </w:tcBorders>
            <w:shd w:val="clear" w:color="auto" w:fill="C6EFCE"/>
            <w:noWrap/>
          </w:tcPr>
          <w:p w14:paraId="5F9C450D" w14:textId="77777777" w:rsidR="006E1228" w:rsidRPr="00D26611" w:rsidRDefault="006E1228" w:rsidP="00C937A7">
            <w:pPr>
              <w:spacing w:after="0"/>
              <w:rPr>
                <w:rFonts w:ascii="Times New Roman" w:hAnsi="Times New Roman" w:cs="Times New Roman"/>
                <w:noProof/>
                <w:color w:val="006100"/>
                <w:sz w:val="20"/>
                <w:szCs w:val="20"/>
              </w:rPr>
            </w:pPr>
            <w:r>
              <w:rPr>
                <w:rFonts w:ascii="Times New Roman" w:hAnsi="Times New Roman"/>
                <w:noProof/>
                <w:color w:val="006100"/>
                <w:sz w:val="20"/>
              </w:rPr>
              <w:t xml:space="preserve">К1.Р1: </w:t>
            </w:r>
          </w:p>
          <w:p w14:paraId="0911EF2C" w14:textId="77777777"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Реформа на предучилищното и училищното образование и на ученето през целия живот</w:t>
            </w:r>
          </w:p>
        </w:tc>
        <w:tc>
          <w:tcPr>
            <w:tcW w:w="993" w:type="dxa"/>
            <w:tcBorders>
              <w:top w:val="nil"/>
              <w:left w:val="nil"/>
              <w:bottom w:val="single" w:sz="4" w:space="0" w:color="auto"/>
              <w:right w:val="single" w:sz="4" w:space="0" w:color="auto"/>
            </w:tcBorders>
            <w:shd w:val="clear" w:color="auto" w:fill="C6EFCE"/>
            <w:noWrap/>
          </w:tcPr>
          <w:p w14:paraId="10113099" w14:textId="77777777"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984" w:type="dxa"/>
            <w:tcBorders>
              <w:top w:val="nil"/>
              <w:left w:val="nil"/>
              <w:bottom w:val="single" w:sz="4" w:space="0" w:color="auto"/>
              <w:right w:val="single" w:sz="4" w:space="0" w:color="auto"/>
            </w:tcBorders>
            <w:shd w:val="clear" w:color="auto" w:fill="C6EFCE"/>
            <w:noWrap/>
          </w:tcPr>
          <w:p w14:paraId="7E82073D" w14:textId="77777777"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Влизане в сила на измененията на Закона за насърчаване на заетостта</w:t>
            </w:r>
          </w:p>
        </w:tc>
        <w:tc>
          <w:tcPr>
            <w:tcW w:w="1390" w:type="dxa"/>
            <w:tcBorders>
              <w:top w:val="nil"/>
              <w:left w:val="nil"/>
              <w:bottom w:val="single" w:sz="4" w:space="0" w:color="auto"/>
              <w:right w:val="single" w:sz="4" w:space="0" w:color="auto"/>
            </w:tcBorders>
            <w:shd w:val="clear" w:color="auto" w:fill="C6EFCE"/>
            <w:noWrap/>
          </w:tcPr>
          <w:p w14:paraId="5D5CAF10" w14:textId="0C14C725"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Законова разпоредба, указваща влизането в сила на измененията и допълненията на Закона за насърчаване на заетостта </w:t>
            </w:r>
          </w:p>
        </w:tc>
        <w:tc>
          <w:tcPr>
            <w:tcW w:w="850" w:type="dxa"/>
            <w:tcBorders>
              <w:top w:val="nil"/>
              <w:left w:val="nil"/>
              <w:bottom w:val="single" w:sz="4" w:space="0" w:color="auto"/>
              <w:right w:val="single" w:sz="4" w:space="0" w:color="auto"/>
            </w:tcBorders>
            <w:shd w:val="clear" w:color="auto" w:fill="C6EFCE"/>
            <w:noWrap/>
          </w:tcPr>
          <w:p w14:paraId="47B4D50D" w14:textId="77777777" w:rsidR="006E1228" w:rsidRPr="008A0F8A" w:rsidRDefault="006E1228" w:rsidP="00C937A7">
            <w:pPr>
              <w:spacing w:after="0"/>
              <w:rPr>
                <w:rFonts w:ascii="Times New Roman" w:eastAsia="Times New Roman" w:hAnsi="Times New Roman" w:cs="Times New Roman"/>
                <w:noProof/>
                <w:color w:val="006100"/>
                <w:sz w:val="20"/>
                <w:szCs w:val="20"/>
                <w:lang w:val="ru-RU" w:eastAsia="en-GB"/>
              </w:rPr>
            </w:pPr>
          </w:p>
        </w:tc>
        <w:tc>
          <w:tcPr>
            <w:tcW w:w="879" w:type="dxa"/>
            <w:tcBorders>
              <w:top w:val="nil"/>
              <w:left w:val="nil"/>
              <w:bottom w:val="single" w:sz="4" w:space="0" w:color="auto"/>
              <w:right w:val="single" w:sz="4" w:space="0" w:color="auto"/>
            </w:tcBorders>
            <w:shd w:val="clear" w:color="auto" w:fill="C6EFCE"/>
            <w:noWrap/>
          </w:tcPr>
          <w:p w14:paraId="7F5E1E33" w14:textId="77777777" w:rsidR="006E1228" w:rsidRPr="008A0F8A" w:rsidRDefault="006E1228" w:rsidP="00C937A7">
            <w:pPr>
              <w:spacing w:after="0"/>
              <w:rPr>
                <w:rFonts w:ascii="Times New Roman" w:eastAsia="Times New Roman" w:hAnsi="Times New Roman" w:cs="Times New Roman"/>
                <w:noProof/>
                <w:color w:val="006100"/>
                <w:sz w:val="20"/>
                <w:szCs w:val="20"/>
                <w:lang w:val="ru-RU" w:eastAsia="en-GB"/>
              </w:rPr>
            </w:pPr>
          </w:p>
        </w:tc>
        <w:tc>
          <w:tcPr>
            <w:tcW w:w="675" w:type="dxa"/>
            <w:tcBorders>
              <w:top w:val="nil"/>
              <w:left w:val="nil"/>
              <w:bottom w:val="single" w:sz="4" w:space="0" w:color="auto"/>
              <w:right w:val="single" w:sz="4" w:space="0" w:color="auto"/>
            </w:tcBorders>
            <w:shd w:val="clear" w:color="auto" w:fill="C6EFCE"/>
            <w:noWrap/>
          </w:tcPr>
          <w:p w14:paraId="58B9797F" w14:textId="77777777" w:rsidR="006E1228" w:rsidRPr="008A0F8A" w:rsidRDefault="006E1228" w:rsidP="00C937A7">
            <w:pPr>
              <w:spacing w:after="0"/>
              <w:rPr>
                <w:rFonts w:ascii="Times New Roman" w:eastAsia="Times New Roman" w:hAnsi="Times New Roman" w:cs="Times New Roman"/>
                <w:noProof/>
                <w:color w:val="006100"/>
                <w:sz w:val="20"/>
                <w:szCs w:val="20"/>
                <w:lang w:val="ru-RU" w:eastAsia="en-GB"/>
              </w:rPr>
            </w:pPr>
          </w:p>
        </w:tc>
        <w:tc>
          <w:tcPr>
            <w:tcW w:w="851" w:type="dxa"/>
            <w:tcBorders>
              <w:top w:val="nil"/>
              <w:left w:val="nil"/>
              <w:bottom w:val="single" w:sz="4" w:space="0" w:color="auto"/>
              <w:right w:val="single" w:sz="4" w:space="0" w:color="auto"/>
            </w:tcBorders>
            <w:shd w:val="clear" w:color="auto" w:fill="C6EFCE"/>
            <w:noWrap/>
          </w:tcPr>
          <w:p w14:paraId="5E76D76C" w14:textId="73DF21A0"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T4</w:t>
            </w:r>
          </w:p>
        </w:tc>
        <w:tc>
          <w:tcPr>
            <w:tcW w:w="742" w:type="dxa"/>
            <w:tcBorders>
              <w:top w:val="nil"/>
              <w:left w:val="nil"/>
              <w:bottom w:val="single" w:sz="4" w:space="0" w:color="auto"/>
              <w:right w:val="single" w:sz="4" w:space="0" w:color="auto"/>
            </w:tcBorders>
            <w:shd w:val="clear" w:color="auto" w:fill="C6EFCE"/>
            <w:noWrap/>
          </w:tcPr>
          <w:p w14:paraId="103345B8" w14:textId="77777777"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2022</w:t>
            </w:r>
          </w:p>
        </w:tc>
        <w:tc>
          <w:tcPr>
            <w:tcW w:w="4650" w:type="dxa"/>
            <w:tcBorders>
              <w:top w:val="nil"/>
              <w:left w:val="nil"/>
              <w:bottom w:val="single" w:sz="4" w:space="0" w:color="auto"/>
              <w:right w:val="single" w:sz="4" w:space="0" w:color="auto"/>
            </w:tcBorders>
            <w:shd w:val="clear" w:color="auto" w:fill="C6EFCE"/>
            <w:noWrap/>
          </w:tcPr>
          <w:p w14:paraId="1A066482" w14:textId="77777777" w:rsidR="006E1228" w:rsidRPr="00D26611" w:rsidRDefault="006E1228" w:rsidP="00C937A7">
            <w:pPr>
              <w:spacing w:after="0"/>
              <w:rPr>
                <w:rFonts w:ascii="Times New Roman" w:hAnsi="Times New Roman" w:cs="Times New Roman"/>
                <w:noProof/>
                <w:color w:val="006100"/>
                <w:sz w:val="20"/>
                <w:szCs w:val="20"/>
              </w:rPr>
            </w:pPr>
            <w:r>
              <w:rPr>
                <w:rFonts w:ascii="Times New Roman" w:hAnsi="Times New Roman"/>
                <w:noProof/>
                <w:color w:val="006100"/>
                <w:sz w:val="20"/>
              </w:rPr>
              <w:t>С измененията на Закона за насърчаване на заетостта:</w:t>
            </w:r>
          </w:p>
          <w:p w14:paraId="024A9FB4" w14:textId="77777777" w:rsidR="006E1228" w:rsidRPr="00D26611" w:rsidRDefault="006E1228" w:rsidP="00A3795A">
            <w:pPr>
              <w:pStyle w:val="ListParagraph"/>
              <w:numPr>
                <w:ilvl w:val="0"/>
                <w:numId w:val="3"/>
              </w:numPr>
              <w:spacing w:after="0" w:line="240" w:lineRule="auto"/>
              <w:ind w:left="539" w:hanging="284"/>
              <w:rPr>
                <w:rFonts w:ascii="Times New Roman" w:hAnsi="Times New Roman" w:cs="Times New Roman"/>
                <w:noProof/>
                <w:color w:val="006100"/>
                <w:sz w:val="20"/>
                <w:szCs w:val="20"/>
              </w:rPr>
            </w:pPr>
            <w:r>
              <w:rPr>
                <w:rFonts w:ascii="Times New Roman" w:hAnsi="Times New Roman"/>
                <w:noProof/>
                <w:color w:val="006100"/>
                <w:sz w:val="20"/>
              </w:rPr>
              <w:t>за лицата над 16-годишна възраст се въвежда възможност за съчетаване на професионалното обучение с участието в курс;</w:t>
            </w:r>
          </w:p>
          <w:p w14:paraId="03DD7304" w14:textId="142895AF" w:rsidR="006E1228" w:rsidRPr="00D26611" w:rsidRDefault="006E1228" w:rsidP="00A3795A">
            <w:pPr>
              <w:pStyle w:val="ListParagraph"/>
              <w:numPr>
                <w:ilvl w:val="0"/>
                <w:numId w:val="3"/>
              </w:numPr>
              <w:spacing w:after="0" w:line="240" w:lineRule="auto"/>
              <w:ind w:left="539" w:hanging="284"/>
              <w:rPr>
                <w:rFonts w:ascii="Times New Roman" w:hAnsi="Times New Roman" w:cs="Times New Roman"/>
                <w:noProof/>
                <w:color w:val="006100"/>
                <w:sz w:val="20"/>
                <w:szCs w:val="20"/>
              </w:rPr>
            </w:pPr>
            <w:r>
              <w:rPr>
                <w:rFonts w:ascii="Times New Roman" w:hAnsi="Times New Roman"/>
                <w:noProof/>
                <w:color w:val="006100"/>
                <w:sz w:val="20"/>
              </w:rPr>
              <w:t xml:space="preserve">се въвежда възможност за удостоверяване на придобитите по неформален път или чрез самообучение професионални умения и възлова квалификация; </w:t>
            </w:r>
          </w:p>
          <w:p w14:paraId="619223E4" w14:textId="77777777" w:rsidR="006E1228" w:rsidRPr="00D26611" w:rsidRDefault="006E1228" w:rsidP="00A3795A">
            <w:pPr>
              <w:pStyle w:val="ListParagraph"/>
              <w:numPr>
                <w:ilvl w:val="0"/>
                <w:numId w:val="3"/>
              </w:numPr>
              <w:spacing w:after="0" w:line="240" w:lineRule="auto"/>
              <w:ind w:left="539" w:hanging="284"/>
              <w:rPr>
                <w:rFonts w:ascii="Times New Roman" w:eastAsia="Times New Roman" w:hAnsi="Times New Roman" w:cs="Times New Roman"/>
                <w:noProof/>
                <w:color w:val="006100"/>
                <w:sz w:val="20"/>
                <w:szCs w:val="20"/>
              </w:rPr>
            </w:pPr>
            <w:r>
              <w:rPr>
                <w:rFonts w:ascii="Times New Roman" w:hAnsi="Times New Roman"/>
                <w:noProof/>
                <w:color w:val="006100"/>
                <w:sz w:val="20"/>
              </w:rPr>
              <w:t>се увеличава гъвкавостта на възможностите за обучение, в т.ч. чрез увеличаване на предлагането онлайн на обучения.</w:t>
            </w:r>
          </w:p>
        </w:tc>
      </w:tr>
      <w:tr w:rsidR="00764FBA" w:rsidRPr="005241FC" w14:paraId="13F7E947" w14:textId="77777777" w:rsidTr="008E16C0">
        <w:trPr>
          <w:trHeight w:val="309"/>
        </w:trPr>
        <w:tc>
          <w:tcPr>
            <w:tcW w:w="709" w:type="dxa"/>
            <w:tcBorders>
              <w:top w:val="nil"/>
              <w:left w:val="single" w:sz="4" w:space="0" w:color="auto"/>
              <w:bottom w:val="single" w:sz="4" w:space="0" w:color="auto"/>
              <w:right w:val="single" w:sz="4" w:space="0" w:color="auto"/>
            </w:tcBorders>
            <w:shd w:val="clear" w:color="auto" w:fill="C6EFCE"/>
            <w:noWrap/>
          </w:tcPr>
          <w:p w14:paraId="48913459" w14:textId="7D5A5C0F" w:rsidR="00764FBA" w:rsidRPr="00D26611" w:rsidRDefault="00764FBA" w:rsidP="00764FBA">
            <w:pPr>
              <w:spacing w:after="0"/>
              <w:rPr>
                <w:rFonts w:ascii="Times New Roman" w:hAnsi="Times New Roman" w:cs="Times New Roman"/>
                <w:noProof/>
                <w:color w:val="006100"/>
                <w:sz w:val="20"/>
                <w:szCs w:val="20"/>
              </w:rPr>
            </w:pPr>
            <w:r>
              <w:rPr>
                <w:rFonts w:ascii="Times New Roman" w:hAnsi="Times New Roman"/>
                <w:noProof/>
                <w:color w:val="006100"/>
                <w:sz w:val="20"/>
              </w:rPr>
              <w:t>3</w:t>
            </w:r>
          </w:p>
        </w:tc>
        <w:tc>
          <w:tcPr>
            <w:tcW w:w="1587" w:type="dxa"/>
            <w:tcBorders>
              <w:top w:val="nil"/>
              <w:left w:val="nil"/>
              <w:bottom w:val="single" w:sz="4" w:space="0" w:color="auto"/>
              <w:right w:val="single" w:sz="4" w:space="0" w:color="auto"/>
            </w:tcBorders>
            <w:shd w:val="clear" w:color="auto" w:fill="C6EFCE"/>
            <w:noWrap/>
          </w:tcPr>
          <w:p w14:paraId="158DEF5F" w14:textId="77777777" w:rsidR="00764FBA" w:rsidRPr="00D26611" w:rsidRDefault="00764FBA" w:rsidP="00764FBA">
            <w:pPr>
              <w:spacing w:after="0"/>
              <w:rPr>
                <w:rFonts w:ascii="Times New Roman" w:hAnsi="Times New Roman" w:cs="Times New Roman"/>
                <w:noProof/>
                <w:color w:val="006100"/>
                <w:sz w:val="20"/>
                <w:szCs w:val="20"/>
              </w:rPr>
            </w:pPr>
            <w:r>
              <w:rPr>
                <w:rFonts w:ascii="Times New Roman" w:hAnsi="Times New Roman"/>
                <w:noProof/>
                <w:color w:val="006100"/>
                <w:sz w:val="20"/>
              </w:rPr>
              <w:t xml:space="preserve">К1.Р1: </w:t>
            </w:r>
          </w:p>
          <w:p w14:paraId="05920CC2" w14:textId="0124D7BF" w:rsidR="00764FBA" w:rsidRPr="00D26611" w:rsidRDefault="00764FBA" w:rsidP="00764FBA">
            <w:pPr>
              <w:spacing w:after="0"/>
              <w:rPr>
                <w:rFonts w:ascii="Times New Roman" w:hAnsi="Times New Roman" w:cs="Times New Roman"/>
                <w:noProof/>
                <w:color w:val="006100"/>
                <w:sz w:val="20"/>
                <w:szCs w:val="20"/>
              </w:rPr>
            </w:pPr>
            <w:r>
              <w:rPr>
                <w:rFonts w:ascii="Times New Roman" w:hAnsi="Times New Roman"/>
                <w:noProof/>
                <w:color w:val="006100"/>
                <w:sz w:val="20"/>
              </w:rPr>
              <w:t>Реформа на предучилищното и училищното образование и на ученето през целия живот</w:t>
            </w:r>
          </w:p>
        </w:tc>
        <w:tc>
          <w:tcPr>
            <w:tcW w:w="993" w:type="dxa"/>
            <w:tcBorders>
              <w:top w:val="nil"/>
              <w:left w:val="nil"/>
              <w:bottom w:val="single" w:sz="4" w:space="0" w:color="auto"/>
              <w:right w:val="single" w:sz="4" w:space="0" w:color="auto"/>
            </w:tcBorders>
            <w:shd w:val="clear" w:color="auto" w:fill="C6EFCE"/>
            <w:noWrap/>
          </w:tcPr>
          <w:p w14:paraId="4F001A75" w14:textId="7D7571C1" w:rsidR="00764FBA" w:rsidRPr="00D26611" w:rsidRDefault="00764FBA" w:rsidP="00764FBA">
            <w:pPr>
              <w:spacing w:after="0"/>
              <w:rPr>
                <w:rFonts w:ascii="Times New Roman" w:hAnsi="Times New Roman" w:cs="Times New Roman"/>
                <w:noProof/>
                <w:color w:val="006100"/>
                <w:sz w:val="20"/>
                <w:szCs w:val="20"/>
              </w:rPr>
            </w:pPr>
            <w:r>
              <w:rPr>
                <w:rFonts w:ascii="Times New Roman" w:hAnsi="Times New Roman"/>
                <w:noProof/>
                <w:color w:val="006100"/>
                <w:sz w:val="20"/>
              </w:rPr>
              <w:t>Ключов етап</w:t>
            </w:r>
          </w:p>
        </w:tc>
        <w:tc>
          <w:tcPr>
            <w:tcW w:w="1984" w:type="dxa"/>
            <w:tcBorders>
              <w:top w:val="nil"/>
              <w:left w:val="nil"/>
              <w:bottom w:val="single" w:sz="4" w:space="0" w:color="auto"/>
              <w:right w:val="single" w:sz="4" w:space="0" w:color="auto"/>
            </w:tcBorders>
            <w:shd w:val="clear" w:color="auto" w:fill="C6EFCE"/>
            <w:noWrap/>
          </w:tcPr>
          <w:p w14:paraId="5203EC3F" w14:textId="1D9A023C" w:rsidR="00764FBA" w:rsidRPr="00D26611" w:rsidRDefault="00764FBA" w:rsidP="00764FBA">
            <w:pPr>
              <w:spacing w:after="0"/>
              <w:rPr>
                <w:rFonts w:ascii="Times New Roman" w:hAnsi="Times New Roman" w:cs="Times New Roman"/>
                <w:noProof/>
                <w:color w:val="006100"/>
                <w:sz w:val="20"/>
                <w:szCs w:val="20"/>
              </w:rPr>
            </w:pPr>
            <w:r>
              <w:rPr>
                <w:rFonts w:ascii="Times New Roman" w:hAnsi="Times New Roman"/>
                <w:noProof/>
                <w:color w:val="006100"/>
                <w:sz w:val="20"/>
              </w:rPr>
              <w:t>План за действие за изпълнение на Стратегическата рамка за развитие на образованието, обучението и ученето в Република България (2021—2030 г.)</w:t>
            </w:r>
          </w:p>
        </w:tc>
        <w:tc>
          <w:tcPr>
            <w:tcW w:w="1390" w:type="dxa"/>
            <w:tcBorders>
              <w:top w:val="nil"/>
              <w:left w:val="nil"/>
              <w:bottom w:val="single" w:sz="4" w:space="0" w:color="auto"/>
              <w:right w:val="single" w:sz="4" w:space="0" w:color="auto"/>
            </w:tcBorders>
            <w:shd w:val="clear" w:color="auto" w:fill="C6EFCE"/>
            <w:noWrap/>
          </w:tcPr>
          <w:p w14:paraId="7B8AFC62" w14:textId="3854863F" w:rsidR="00764FBA" w:rsidRPr="00D26611" w:rsidRDefault="00764FBA" w:rsidP="00764FBA">
            <w:pPr>
              <w:spacing w:after="0"/>
              <w:rPr>
                <w:rFonts w:ascii="Times New Roman" w:hAnsi="Times New Roman" w:cs="Times New Roman"/>
                <w:noProof/>
                <w:color w:val="006100"/>
                <w:sz w:val="20"/>
                <w:szCs w:val="20"/>
              </w:rPr>
            </w:pPr>
            <w:r>
              <w:rPr>
                <w:rFonts w:ascii="Times New Roman" w:hAnsi="Times New Roman"/>
                <w:noProof/>
                <w:color w:val="006100"/>
                <w:sz w:val="20"/>
              </w:rPr>
              <w:t xml:space="preserve">Приемане от Министерския съвет </w:t>
            </w:r>
          </w:p>
        </w:tc>
        <w:tc>
          <w:tcPr>
            <w:tcW w:w="850" w:type="dxa"/>
            <w:tcBorders>
              <w:top w:val="nil"/>
              <w:left w:val="nil"/>
              <w:bottom w:val="single" w:sz="4" w:space="0" w:color="auto"/>
              <w:right w:val="single" w:sz="4" w:space="0" w:color="auto"/>
            </w:tcBorders>
            <w:shd w:val="clear" w:color="auto" w:fill="C6EFCE"/>
            <w:noWrap/>
          </w:tcPr>
          <w:p w14:paraId="1E013117" w14:textId="77777777" w:rsidR="00764FBA" w:rsidRPr="00D26611" w:rsidRDefault="00764FBA" w:rsidP="00764FBA">
            <w:pPr>
              <w:spacing w:after="0"/>
              <w:rPr>
                <w:rFonts w:ascii="Times New Roman" w:eastAsia="Times New Roman" w:hAnsi="Times New Roman" w:cs="Times New Roman"/>
                <w:noProof/>
                <w:color w:val="006100"/>
                <w:sz w:val="20"/>
                <w:szCs w:val="20"/>
                <w:lang w:val="en-US" w:eastAsia="en-GB"/>
              </w:rPr>
            </w:pPr>
          </w:p>
        </w:tc>
        <w:tc>
          <w:tcPr>
            <w:tcW w:w="879" w:type="dxa"/>
            <w:tcBorders>
              <w:top w:val="nil"/>
              <w:left w:val="nil"/>
              <w:bottom w:val="single" w:sz="4" w:space="0" w:color="auto"/>
              <w:right w:val="single" w:sz="4" w:space="0" w:color="auto"/>
            </w:tcBorders>
            <w:shd w:val="clear" w:color="auto" w:fill="C6EFCE"/>
            <w:noWrap/>
          </w:tcPr>
          <w:p w14:paraId="2EC51201" w14:textId="77777777" w:rsidR="00764FBA" w:rsidRPr="00D26611" w:rsidRDefault="00764FBA" w:rsidP="00764FBA">
            <w:pPr>
              <w:spacing w:after="0"/>
              <w:rPr>
                <w:rFonts w:ascii="Times New Roman" w:eastAsia="Times New Roman" w:hAnsi="Times New Roman" w:cs="Times New Roman"/>
                <w:noProof/>
                <w:color w:val="006100"/>
                <w:sz w:val="20"/>
                <w:szCs w:val="20"/>
                <w:lang w:val="en-US" w:eastAsia="en-GB"/>
              </w:rPr>
            </w:pPr>
          </w:p>
        </w:tc>
        <w:tc>
          <w:tcPr>
            <w:tcW w:w="675" w:type="dxa"/>
            <w:tcBorders>
              <w:top w:val="nil"/>
              <w:left w:val="nil"/>
              <w:bottom w:val="single" w:sz="4" w:space="0" w:color="auto"/>
              <w:right w:val="single" w:sz="4" w:space="0" w:color="auto"/>
            </w:tcBorders>
            <w:shd w:val="clear" w:color="auto" w:fill="C6EFCE"/>
            <w:noWrap/>
          </w:tcPr>
          <w:p w14:paraId="59507140" w14:textId="77777777" w:rsidR="00764FBA" w:rsidRPr="00D26611" w:rsidRDefault="00764FBA" w:rsidP="00764FBA">
            <w:pPr>
              <w:spacing w:after="0"/>
              <w:rPr>
                <w:rFonts w:ascii="Times New Roman" w:eastAsia="Times New Roman" w:hAnsi="Times New Roman" w:cs="Times New Roman"/>
                <w:noProof/>
                <w:color w:val="006100"/>
                <w:sz w:val="20"/>
                <w:szCs w:val="20"/>
                <w:lang w:val="en-US" w:eastAsia="en-GB"/>
              </w:rPr>
            </w:pPr>
          </w:p>
        </w:tc>
        <w:tc>
          <w:tcPr>
            <w:tcW w:w="851" w:type="dxa"/>
            <w:tcBorders>
              <w:top w:val="nil"/>
              <w:left w:val="nil"/>
              <w:bottom w:val="single" w:sz="4" w:space="0" w:color="auto"/>
              <w:right w:val="single" w:sz="4" w:space="0" w:color="auto"/>
            </w:tcBorders>
            <w:shd w:val="clear" w:color="auto" w:fill="C6EFCE"/>
            <w:noWrap/>
          </w:tcPr>
          <w:p w14:paraId="7E1589A0" w14:textId="1DAEFF8C" w:rsidR="00764FBA" w:rsidRPr="00D26611" w:rsidRDefault="00764FBA" w:rsidP="00764FBA">
            <w:pPr>
              <w:spacing w:after="0"/>
              <w:rPr>
                <w:rFonts w:ascii="Times New Roman" w:hAnsi="Times New Roman" w:cs="Times New Roman"/>
                <w:noProof/>
                <w:color w:val="006100"/>
                <w:sz w:val="20"/>
                <w:szCs w:val="20"/>
              </w:rPr>
            </w:pPr>
            <w:r>
              <w:rPr>
                <w:rFonts w:ascii="Times New Roman" w:hAnsi="Times New Roman"/>
                <w:noProof/>
                <w:color w:val="006100"/>
                <w:sz w:val="20"/>
              </w:rPr>
              <w:t>T4</w:t>
            </w:r>
          </w:p>
        </w:tc>
        <w:tc>
          <w:tcPr>
            <w:tcW w:w="742" w:type="dxa"/>
            <w:tcBorders>
              <w:top w:val="nil"/>
              <w:left w:val="nil"/>
              <w:bottom w:val="single" w:sz="4" w:space="0" w:color="auto"/>
              <w:right w:val="single" w:sz="4" w:space="0" w:color="auto"/>
            </w:tcBorders>
            <w:shd w:val="clear" w:color="auto" w:fill="C6EFCE"/>
            <w:noWrap/>
          </w:tcPr>
          <w:p w14:paraId="1B4DB61D" w14:textId="5D8E5D79" w:rsidR="00764FBA" w:rsidRPr="00D26611" w:rsidRDefault="00764FBA" w:rsidP="00764FBA">
            <w:pPr>
              <w:spacing w:after="0"/>
              <w:rPr>
                <w:rFonts w:ascii="Times New Roman" w:hAnsi="Times New Roman" w:cs="Times New Roman"/>
                <w:noProof/>
                <w:color w:val="006100"/>
                <w:sz w:val="20"/>
                <w:szCs w:val="20"/>
              </w:rPr>
            </w:pPr>
            <w:r>
              <w:rPr>
                <w:rFonts w:ascii="Times New Roman" w:hAnsi="Times New Roman"/>
                <w:noProof/>
                <w:color w:val="006100"/>
                <w:sz w:val="20"/>
              </w:rPr>
              <w:t>2022</w:t>
            </w:r>
          </w:p>
        </w:tc>
        <w:tc>
          <w:tcPr>
            <w:tcW w:w="4650" w:type="dxa"/>
            <w:tcBorders>
              <w:top w:val="nil"/>
              <w:left w:val="nil"/>
              <w:bottom w:val="single" w:sz="4" w:space="0" w:color="auto"/>
              <w:right w:val="single" w:sz="4" w:space="0" w:color="auto"/>
            </w:tcBorders>
            <w:shd w:val="clear" w:color="auto" w:fill="C6EFCE"/>
            <w:noWrap/>
          </w:tcPr>
          <w:p w14:paraId="39A4CCF7" w14:textId="77777777" w:rsidR="00764FBA" w:rsidRPr="00D26611" w:rsidRDefault="00764FBA" w:rsidP="00764FBA">
            <w:pPr>
              <w:spacing w:after="0"/>
              <w:rPr>
                <w:rFonts w:ascii="Times New Roman" w:hAnsi="Times New Roman" w:cs="Times New Roman"/>
                <w:noProof/>
                <w:color w:val="006100"/>
                <w:sz w:val="20"/>
                <w:szCs w:val="20"/>
              </w:rPr>
            </w:pPr>
            <w:r>
              <w:rPr>
                <w:rFonts w:ascii="Times New Roman" w:hAnsi="Times New Roman"/>
                <w:noProof/>
                <w:color w:val="006100"/>
                <w:sz w:val="20"/>
              </w:rPr>
              <w:t>В Плана за действие за изпълнение на Стратегическата рамка за развитие на образованието, обучението и ученето в Република България (2021—2030 г.) се формулират мерки и действия, в т.ч. график, за постигане целите на Стратегическата рамка.</w:t>
            </w:r>
          </w:p>
          <w:p w14:paraId="0257E9B0" w14:textId="77777777" w:rsidR="00764FBA" w:rsidRPr="008A0F8A" w:rsidRDefault="00764FBA" w:rsidP="00764FBA">
            <w:pPr>
              <w:spacing w:after="0"/>
              <w:rPr>
                <w:rFonts w:ascii="Times New Roman" w:hAnsi="Times New Roman" w:cs="Times New Roman"/>
                <w:noProof/>
                <w:color w:val="006100"/>
                <w:sz w:val="20"/>
                <w:szCs w:val="20"/>
                <w:lang w:val="ru-RU"/>
              </w:rPr>
            </w:pPr>
          </w:p>
          <w:p w14:paraId="01ACC322" w14:textId="77777777" w:rsidR="00764FBA" w:rsidRPr="00D26611" w:rsidRDefault="00764FBA" w:rsidP="00764FBA">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Целите на Стратегическата рамка ще включват:</w:t>
            </w:r>
          </w:p>
          <w:p w14:paraId="5BC699B0" w14:textId="77777777" w:rsidR="00764FBA" w:rsidRPr="00D26611" w:rsidRDefault="00764FBA" w:rsidP="00764FBA">
            <w:pPr>
              <w:pStyle w:val="ListParagraph"/>
              <w:numPr>
                <w:ilvl w:val="0"/>
                <w:numId w:val="3"/>
              </w:numPr>
              <w:spacing w:after="0" w:line="240" w:lineRule="auto"/>
              <w:ind w:left="539" w:hanging="284"/>
              <w:rPr>
                <w:rFonts w:ascii="Times New Roman" w:hAnsi="Times New Roman" w:cs="Times New Roman"/>
                <w:noProof/>
                <w:color w:val="006100"/>
                <w:sz w:val="20"/>
                <w:szCs w:val="20"/>
              </w:rPr>
            </w:pPr>
            <w:r>
              <w:rPr>
                <w:rFonts w:ascii="Times New Roman" w:hAnsi="Times New Roman"/>
                <w:noProof/>
                <w:color w:val="006100"/>
                <w:sz w:val="20"/>
              </w:rPr>
              <w:t>по-добър достъп до качествено образование за децата от уязвими групи, включително ромите;</w:t>
            </w:r>
          </w:p>
          <w:p w14:paraId="6D02D776" w14:textId="77777777" w:rsidR="00764FBA" w:rsidRPr="00D26611" w:rsidRDefault="00764FBA" w:rsidP="00764FBA">
            <w:pPr>
              <w:pStyle w:val="ListParagraph"/>
              <w:numPr>
                <w:ilvl w:val="0"/>
                <w:numId w:val="3"/>
              </w:numPr>
              <w:spacing w:after="0" w:line="240" w:lineRule="auto"/>
              <w:ind w:left="539" w:hanging="284"/>
              <w:rPr>
                <w:rFonts w:ascii="Times New Roman" w:hAnsi="Times New Roman" w:cs="Times New Roman"/>
                <w:noProof/>
                <w:color w:val="006100"/>
                <w:sz w:val="20"/>
                <w:szCs w:val="20"/>
              </w:rPr>
            </w:pPr>
            <w:r>
              <w:rPr>
                <w:rFonts w:ascii="Times New Roman" w:hAnsi="Times New Roman"/>
                <w:noProof/>
                <w:color w:val="006100"/>
                <w:sz w:val="20"/>
              </w:rPr>
              <w:t>по-широко обхващане на децата в образователната система;</w:t>
            </w:r>
          </w:p>
          <w:p w14:paraId="2110BCF6" w14:textId="77777777" w:rsidR="00764FBA" w:rsidRPr="00D26611" w:rsidRDefault="00764FBA" w:rsidP="00764FBA">
            <w:pPr>
              <w:pStyle w:val="ListParagraph"/>
              <w:numPr>
                <w:ilvl w:val="0"/>
                <w:numId w:val="3"/>
              </w:numPr>
              <w:spacing w:after="0" w:line="240" w:lineRule="auto"/>
              <w:ind w:left="539" w:hanging="284"/>
              <w:rPr>
                <w:rFonts w:ascii="Times New Roman" w:hAnsi="Times New Roman" w:cs="Times New Roman"/>
                <w:noProof/>
                <w:color w:val="006100"/>
                <w:sz w:val="20"/>
                <w:szCs w:val="20"/>
              </w:rPr>
            </w:pPr>
            <w:r>
              <w:rPr>
                <w:rFonts w:ascii="Times New Roman" w:hAnsi="Times New Roman"/>
                <w:noProof/>
                <w:color w:val="006100"/>
                <w:sz w:val="20"/>
              </w:rPr>
              <w:t>въвеждане на изменена система за квалификация на учителите и на ефективни управленски практики на образователните институции;</w:t>
            </w:r>
          </w:p>
          <w:p w14:paraId="1A2DDCD8" w14:textId="77777777" w:rsidR="00764FBA" w:rsidRPr="00D26611" w:rsidRDefault="00764FBA" w:rsidP="00764FBA">
            <w:pPr>
              <w:pStyle w:val="ListParagraph"/>
              <w:numPr>
                <w:ilvl w:val="0"/>
                <w:numId w:val="3"/>
              </w:numPr>
              <w:spacing w:after="0" w:line="240" w:lineRule="auto"/>
              <w:ind w:left="539" w:hanging="284"/>
              <w:rPr>
                <w:rFonts w:ascii="Times New Roman" w:hAnsi="Times New Roman" w:cs="Times New Roman"/>
                <w:noProof/>
                <w:color w:val="006100"/>
                <w:sz w:val="20"/>
                <w:szCs w:val="20"/>
              </w:rPr>
            </w:pPr>
            <w:r>
              <w:rPr>
                <w:rFonts w:ascii="Times New Roman" w:hAnsi="Times New Roman"/>
                <w:noProof/>
                <w:color w:val="006100"/>
                <w:sz w:val="20"/>
              </w:rPr>
              <w:t>иновации в училищата с акцент върху цифровата трансформация и устойчивото развитие.</w:t>
            </w:r>
          </w:p>
          <w:p w14:paraId="6C7E1C23" w14:textId="77777777" w:rsidR="00764FBA" w:rsidRPr="008A0F8A" w:rsidRDefault="00764FBA" w:rsidP="00764FBA">
            <w:pPr>
              <w:spacing w:after="0"/>
              <w:rPr>
                <w:rFonts w:ascii="Times New Roman" w:hAnsi="Times New Roman" w:cs="Times New Roman"/>
                <w:noProof/>
                <w:color w:val="006100"/>
                <w:sz w:val="20"/>
                <w:szCs w:val="20"/>
                <w:lang w:val="ru-RU"/>
              </w:rPr>
            </w:pPr>
          </w:p>
          <w:p w14:paraId="0F503B19" w14:textId="3D0A6A78" w:rsidR="00764FBA" w:rsidRPr="00D26611" w:rsidRDefault="00764FBA" w:rsidP="00764FBA">
            <w:pPr>
              <w:spacing w:after="0"/>
              <w:rPr>
                <w:rFonts w:ascii="Times New Roman" w:hAnsi="Times New Roman" w:cs="Times New Roman"/>
                <w:noProof/>
                <w:color w:val="006100"/>
                <w:sz w:val="20"/>
                <w:szCs w:val="20"/>
              </w:rPr>
            </w:pPr>
            <w:r>
              <w:rPr>
                <w:rFonts w:ascii="Times New Roman" w:hAnsi="Times New Roman"/>
                <w:noProof/>
                <w:color w:val="006100"/>
                <w:sz w:val="20"/>
              </w:rPr>
              <w:t>Преди да бъде приет, планът за действие се проучва от консултативен съвет, който отговаря за мониторинга и докладването за изпълнението на стратегическата рамка.</w:t>
            </w:r>
          </w:p>
        </w:tc>
      </w:tr>
      <w:tr w:rsidR="006E1228" w:rsidRPr="005241FC" w14:paraId="6C8F580F" w14:textId="77777777" w:rsidTr="008E16C0">
        <w:trPr>
          <w:trHeight w:val="309"/>
        </w:trPr>
        <w:tc>
          <w:tcPr>
            <w:tcW w:w="709" w:type="dxa"/>
            <w:tcBorders>
              <w:top w:val="nil"/>
              <w:left w:val="single" w:sz="4" w:space="0" w:color="auto"/>
              <w:bottom w:val="single" w:sz="4" w:space="0" w:color="auto"/>
              <w:right w:val="single" w:sz="4" w:space="0" w:color="auto"/>
            </w:tcBorders>
            <w:shd w:val="clear" w:color="auto" w:fill="C6EFCE"/>
            <w:noWrap/>
          </w:tcPr>
          <w:p w14:paraId="12D71FBE" w14:textId="3CF76154" w:rsidR="006E1228" w:rsidRPr="00D26611" w:rsidRDefault="00764FBA" w:rsidP="00C937A7">
            <w:pPr>
              <w:spacing w:after="0"/>
              <w:rPr>
                <w:rFonts w:ascii="Times New Roman" w:eastAsia="Times New Roman" w:hAnsi="Times New Roman" w:cs="Times New Roman"/>
                <w:noProof/>
                <w:sz w:val="20"/>
                <w:szCs w:val="20"/>
              </w:rPr>
            </w:pPr>
            <w:r>
              <w:rPr>
                <w:rFonts w:ascii="Times New Roman" w:hAnsi="Times New Roman"/>
                <w:noProof/>
                <w:color w:val="006100"/>
                <w:sz w:val="20"/>
              </w:rPr>
              <w:t>4</w:t>
            </w:r>
          </w:p>
        </w:tc>
        <w:tc>
          <w:tcPr>
            <w:tcW w:w="1587" w:type="dxa"/>
            <w:tcBorders>
              <w:top w:val="nil"/>
              <w:left w:val="nil"/>
              <w:bottom w:val="single" w:sz="4" w:space="0" w:color="auto"/>
              <w:right w:val="single" w:sz="4" w:space="0" w:color="auto"/>
            </w:tcBorders>
            <w:shd w:val="clear" w:color="auto" w:fill="C6EFCE"/>
            <w:noWrap/>
          </w:tcPr>
          <w:p w14:paraId="61E965AF" w14:textId="77777777" w:rsidR="006E1228" w:rsidRPr="00D26611" w:rsidRDefault="006E1228" w:rsidP="00C937A7">
            <w:pPr>
              <w:spacing w:after="0"/>
              <w:rPr>
                <w:rFonts w:ascii="Times New Roman" w:hAnsi="Times New Roman" w:cs="Times New Roman"/>
                <w:noProof/>
                <w:color w:val="006100"/>
                <w:sz w:val="20"/>
                <w:szCs w:val="20"/>
              </w:rPr>
            </w:pPr>
            <w:r>
              <w:rPr>
                <w:rFonts w:ascii="Times New Roman" w:hAnsi="Times New Roman"/>
                <w:noProof/>
                <w:color w:val="006100"/>
                <w:sz w:val="20"/>
              </w:rPr>
              <w:t xml:space="preserve">К1.Р1: </w:t>
            </w:r>
          </w:p>
          <w:p w14:paraId="51EEC41D" w14:textId="77777777"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Реформа на предучилищното и училищното образование и на ученето през целия живот</w:t>
            </w:r>
          </w:p>
        </w:tc>
        <w:tc>
          <w:tcPr>
            <w:tcW w:w="993" w:type="dxa"/>
            <w:tcBorders>
              <w:top w:val="nil"/>
              <w:left w:val="nil"/>
              <w:bottom w:val="single" w:sz="4" w:space="0" w:color="auto"/>
              <w:right w:val="single" w:sz="4" w:space="0" w:color="auto"/>
            </w:tcBorders>
            <w:shd w:val="clear" w:color="auto" w:fill="C6EFCE"/>
            <w:noWrap/>
          </w:tcPr>
          <w:p w14:paraId="4FE668B2" w14:textId="77777777"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984" w:type="dxa"/>
            <w:tcBorders>
              <w:top w:val="nil"/>
              <w:left w:val="nil"/>
              <w:bottom w:val="single" w:sz="4" w:space="0" w:color="auto"/>
              <w:right w:val="single" w:sz="4" w:space="0" w:color="auto"/>
            </w:tcBorders>
            <w:shd w:val="clear" w:color="auto" w:fill="C6EFCE"/>
            <w:noWrap/>
          </w:tcPr>
          <w:p w14:paraId="554B5E89" w14:textId="77777777"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Влизане в сила на измененията на нормативната уредба на професионалното образование и обучение </w:t>
            </w:r>
          </w:p>
        </w:tc>
        <w:tc>
          <w:tcPr>
            <w:tcW w:w="1390" w:type="dxa"/>
            <w:tcBorders>
              <w:top w:val="nil"/>
              <w:left w:val="nil"/>
              <w:bottom w:val="single" w:sz="4" w:space="0" w:color="auto"/>
              <w:right w:val="single" w:sz="4" w:space="0" w:color="auto"/>
            </w:tcBorders>
            <w:shd w:val="clear" w:color="auto" w:fill="C6EFCE"/>
            <w:noWrap/>
          </w:tcPr>
          <w:p w14:paraId="4776A0DC" w14:textId="740319BC"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Законова разпоредба, указваща влизането в сила на измененията на нормативната уредба на професионалното образование и обучение </w:t>
            </w:r>
          </w:p>
        </w:tc>
        <w:tc>
          <w:tcPr>
            <w:tcW w:w="850" w:type="dxa"/>
            <w:tcBorders>
              <w:top w:val="nil"/>
              <w:left w:val="nil"/>
              <w:bottom w:val="single" w:sz="4" w:space="0" w:color="auto"/>
              <w:right w:val="single" w:sz="4" w:space="0" w:color="auto"/>
            </w:tcBorders>
            <w:shd w:val="clear" w:color="auto" w:fill="C6EFCE"/>
            <w:noWrap/>
          </w:tcPr>
          <w:p w14:paraId="2D05F1C3" w14:textId="77777777" w:rsidR="006E1228" w:rsidRPr="008A0F8A" w:rsidRDefault="006E1228" w:rsidP="00C937A7">
            <w:pPr>
              <w:spacing w:after="0"/>
              <w:rPr>
                <w:rFonts w:ascii="Times New Roman" w:eastAsia="Times New Roman" w:hAnsi="Times New Roman" w:cs="Times New Roman"/>
                <w:noProof/>
                <w:color w:val="006100"/>
                <w:sz w:val="20"/>
                <w:szCs w:val="20"/>
                <w:lang w:val="ru-RU" w:eastAsia="en-GB"/>
              </w:rPr>
            </w:pPr>
          </w:p>
        </w:tc>
        <w:tc>
          <w:tcPr>
            <w:tcW w:w="879" w:type="dxa"/>
            <w:tcBorders>
              <w:top w:val="nil"/>
              <w:left w:val="nil"/>
              <w:bottom w:val="single" w:sz="4" w:space="0" w:color="auto"/>
              <w:right w:val="single" w:sz="4" w:space="0" w:color="auto"/>
            </w:tcBorders>
            <w:shd w:val="clear" w:color="auto" w:fill="C6EFCE"/>
            <w:noWrap/>
          </w:tcPr>
          <w:p w14:paraId="58189783" w14:textId="77777777" w:rsidR="006E1228" w:rsidRPr="008A0F8A" w:rsidRDefault="006E1228" w:rsidP="00C937A7">
            <w:pPr>
              <w:spacing w:after="0"/>
              <w:rPr>
                <w:rFonts w:ascii="Times New Roman" w:eastAsia="Calibri" w:hAnsi="Times New Roman" w:cs="Times New Roman"/>
                <w:noProof/>
                <w:color w:val="006100"/>
                <w:sz w:val="20"/>
                <w:szCs w:val="20"/>
                <w:lang w:val="ru-RU"/>
              </w:rPr>
            </w:pPr>
          </w:p>
        </w:tc>
        <w:tc>
          <w:tcPr>
            <w:tcW w:w="675" w:type="dxa"/>
            <w:tcBorders>
              <w:top w:val="nil"/>
              <w:left w:val="nil"/>
              <w:bottom w:val="single" w:sz="4" w:space="0" w:color="auto"/>
              <w:right w:val="single" w:sz="4" w:space="0" w:color="auto"/>
            </w:tcBorders>
            <w:shd w:val="clear" w:color="auto" w:fill="C6EFCE"/>
            <w:noWrap/>
          </w:tcPr>
          <w:p w14:paraId="427955FB" w14:textId="77777777" w:rsidR="006E1228" w:rsidRPr="008A0F8A" w:rsidRDefault="006E1228" w:rsidP="00C937A7">
            <w:pPr>
              <w:spacing w:after="0"/>
              <w:rPr>
                <w:rFonts w:ascii="Times New Roman" w:eastAsia="Times New Roman" w:hAnsi="Times New Roman" w:cs="Times New Roman"/>
                <w:noProof/>
                <w:color w:val="006100"/>
                <w:sz w:val="20"/>
                <w:szCs w:val="20"/>
                <w:lang w:val="ru-RU" w:eastAsia="en-GB"/>
              </w:rPr>
            </w:pPr>
          </w:p>
        </w:tc>
        <w:tc>
          <w:tcPr>
            <w:tcW w:w="851" w:type="dxa"/>
            <w:tcBorders>
              <w:top w:val="nil"/>
              <w:left w:val="nil"/>
              <w:bottom w:val="single" w:sz="4" w:space="0" w:color="auto"/>
              <w:right w:val="single" w:sz="4" w:space="0" w:color="auto"/>
            </w:tcBorders>
            <w:shd w:val="clear" w:color="auto" w:fill="C6EFCE"/>
            <w:noWrap/>
          </w:tcPr>
          <w:p w14:paraId="43E44C69" w14:textId="5219E259"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T3</w:t>
            </w:r>
          </w:p>
        </w:tc>
        <w:tc>
          <w:tcPr>
            <w:tcW w:w="742" w:type="dxa"/>
            <w:tcBorders>
              <w:top w:val="nil"/>
              <w:left w:val="nil"/>
              <w:bottom w:val="single" w:sz="4" w:space="0" w:color="auto"/>
              <w:right w:val="single" w:sz="4" w:space="0" w:color="auto"/>
            </w:tcBorders>
            <w:shd w:val="clear" w:color="auto" w:fill="C6EFCE"/>
            <w:noWrap/>
          </w:tcPr>
          <w:p w14:paraId="285423E6" w14:textId="77777777"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2023</w:t>
            </w:r>
          </w:p>
        </w:tc>
        <w:tc>
          <w:tcPr>
            <w:tcW w:w="4650" w:type="dxa"/>
            <w:tcBorders>
              <w:top w:val="nil"/>
              <w:left w:val="nil"/>
              <w:bottom w:val="single" w:sz="4" w:space="0" w:color="auto"/>
              <w:right w:val="single" w:sz="4" w:space="0" w:color="auto"/>
            </w:tcBorders>
            <w:shd w:val="clear" w:color="auto" w:fill="C6EFCE"/>
            <w:noWrap/>
          </w:tcPr>
          <w:p w14:paraId="3EF1FA88" w14:textId="77777777" w:rsidR="006E1228" w:rsidRPr="00D26611" w:rsidRDefault="006E1228"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С измененията на нормативната уредба на професионалното образование и обучение (ПОО), съобразно потребностите от квалификация, в т.ч. в областта на опазването на околната среда и цифровите технологии:</w:t>
            </w:r>
          </w:p>
          <w:p w14:paraId="64251449" w14:textId="77777777" w:rsidR="006E1228" w:rsidRPr="00D26611" w:rsidRDefault="006E1228" w:rsidP="00A3795A">
            <w:pPr>
              <w:pStyle w:val="ListParagraph"/>
              <w:numPr>
                <w:ilvl w:val="0"/>
                <w:numId w:val="3"/>
              </w:numPr>
              <w:spacing w:after="0" w:line="240" w:lineRule="auto"/>
              <w:ind w:left="539" w:hanging="284"/>
              <w:rPr>
                <w:rFonts w:ascii="Times New Roman" w:hAnsi="Times New Roman" w:cs="Times New Roman"/>
                <w:noProof/>
                <w:color w:val="006100"/>
                <w:sz w:val="20"/>
                <w:szCs w:val="20"/>
              </w:rPr>
            </w:pPr>
            <w:r>
              <w:rPr>
                <w:rFonts w:ascii="Times New Roman" w:hAnsi="Times New Roman"/>
                <w:noProof/>
                <w:color w:val="006100"/>
                <w:sz w:val="20"/>
              </w:rPr>
              <w:t>ще се актуализира списъкът на професиите за ПОО и държавните образователни стандарти, плановете и програмите за придобиване на професионална квалификация;</w:t>
            </w:r>
          </w:p>
          <w:p w14:paraId="7D882F66" w14:textId="77777777" w:rsidR="006E1228" w:rsidRPr="00D26611" w:rsidRDefault="006E1228" w:rsidP="00A3795A">
            <w:pPr>
              <w:pStyle w:val="ListParagraph"/>
              <w:numPr>
                <w:ilvl w:val="0"/>
                <w:numId w:val="3"/>
              </w:numPr>
              <w:spacing w:after="0" w:line="240" w:lineRule="auto"/>
              <w:ind w:left="539" w:hanging="284"/>
              <w:rPr>
                <w:rFonts w:ascii="Times New Roman" w:hAnsi="Times New Roman" w:cs="Times New Roman"/>
                <w:noProof/>
                <w:color w:val="006100"/>
                <w:sz w:val="20"/>
                <w:szCs w:val="20"/>
              </w:rPr>
            </w:pPr>
            <w:r>
              <w:rPr>
                <w:rFonts w:ascii="Times New Roman" w:hAnsi="Times New Roman"/>
                <w:noProof/>
                <w:color w:val="006100"/>
                <w:sz w:val="20"/>
              </w:rPr>
              <w:t>ще се актуализира учебното съдържание и програмите за обучение, в т.ч. чрез въвеждане на системи за обучение в сътрудничество с работодателите (напр. учене в процеса на работа) и на двойна система за ПОО; ще се въведат гъвкави предложения за обучение, в т.ч. онлайн.</w:t>
            </w:r>
          </w:p>
        </w:tc>
      </w:tr>
      <w:tr w:rsidR="006E1228" w:rsidRPr="005241FC" w14:paraId="6E20CED0" w14:textId="77777777" w:rsidTr="008E16C0">
        <w:trPr>
          <w:trHeight w:val="309"/>
        </w:trPr>
        <w:tc>
          <w:tcPr>
            <w:tcW w:w="709" w:type="dxa"/>
            <w:tcBorders>
              <w:top w:val="nil"/>
              <w:left w:val="single" w:sz="4" w:space="0" w:color="auto"/>
              <w:bottom w:val="single" w:sz="4" w:space="0" w:color="auto"/>
              <w:right w:val="single" w:sz="4" w:space="0" w:color="auto"/>
            </w:tcBorders>
            <w:shd w:val="clear" w:color="auto" w:fill="C6EFCE"/>
            <w:noWrap/>
          </w:tcPr>
          <w:p w14:paraId="38866374" w14:textId="14A92496" w:rsidR="006E1228" w:rsidRPr="00D26611" w:rsidRDefault="006E1228" w:rsidP="00C937A7">
            <w:pPr>
              <w:spacing w:after="0"/>
              <w:rPr>
                <w:rFonts w:ascii="Times New Roman" w:eastAsia="Times New Roman" w:hAnsi="Times New Roman" w:cs="Times New Roman"/>
                <w:noProof/>
                <w:sz w:val="20"/>
                <w:szCs w:val="20"/>
              </w:rPr>
            </w:pPr>
            <w:r>
              <w:rPr>
                <w:rFonts w:ascii="Times New Roman" w:hAnsi="Times New Roman"/>
                <w:noProof/>
                <w:color w:val="006100"/>
                <w:sz w:val="20"/>
              </w:rPr>
              <w:t>5</w:t>
            </w:r>
          </w:p>
        </w:tc>
        <w:tc>
          <w:tcPr>
            <w:tcW w:w="1587" w:type="dxa"/>
            <w:tcBorders>
              <w:top w:val="nil"/>
              <w:left w:val="nil"/>
              <w:bottom w:val="single" w:sz="4" w:space="0" w:color="auto"/>
              <w:right w:val="single" w:sz="4" w:space="0" w:color="auto"/>
            </w:tcBorders>
            <w:shd w:val="clear" w:color="auto" w:fill="C6EFCE"/>
            <w:noWrap/>
          </w:tcPr>
          <w:p w14:paraId="16A228B8" w14:textId="77777777" w:rsidR="006E1228" w:rsidRPr="00D26611" w:rsidRDefault="006E1228" w:rsidP="00C937A7">
            <w:pPr>
              <w:spacing w:after="0"/>
              <w:rPr>
                <w:rFonts w:ascii="Times New Roman" w:hAnsi="Times New Roman" w:cs="Times New Roman"/>
                <w:noProof/>
                <w:color w:val="006100"/>
                <w:sz w:val="20"/>
                <w:szCs w:val="20"/>
              </w:rPr>
            </w:pPr>
            <w:r>
              <w:rPr>
                <w:rFonts w:ascii="Times New Roman" w:hAnsi="Times New Roman"/>
                <w:noProof/>
                <w:color w:val="006100"/>
                <w:sz w:val="20"/>
              </w:rPr>
              <w:t xml:space="preserve">К1.Р2: </w:t>
            </w:r>
          </w:p>
          <w:p w14:paraId="6600CA92" w14:textId="77777777"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Реформа на висшето образование</w:t>
            </w:r>
          </w:p>
        </w:tc>
        <w:tc>
          <w:tcPr>
            <w:tcW w:w="993" w:type="dxa"/>
            <w:tcBorders>
              <w:top w:val="nil"/>
              <w:left w:val="nil"/>
              <w:bottom w:val="single" w:sz="4" w:space="0" w:color="auto"/>
              <w:right w:val="single" w:sz="4" w:space="0" w:color="auto"/>
            </w:tcBorders>
            <w:shd w:val="clear" w:color="auto" w:fill="C6EFCE"/>
            <w:noWrap/>
          </w:tcPr>
          <w:p w14:paraId="476837ED" w14:textId="77777777"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984" w:type="dxa"/>
            <w:tcBorders>
              <w:top w:val="nil"/>
              <w:left w:val="nil"/>
              <w:bottom w:val="single" w:sz="4" w:space="0" w:color="auto"/>
              <w:right w:val="single" w:sz="4" w:space="0" w:color="auto"/>
            </w:tcBorders>
            <w:shd w:val="clear" w:color="auto" w:fill="C6EFCE"/>
            <w:noWrap/>
          </w:tcPr>
          <w:p w14:paraId="043666BA" w14:textId="77777777"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Влизане в сила на измененията на Закона за висшето образование</w:t>
            </w:r>
          </w:p>
        </w:tc>
        <w:tc>
          <w:tcPr>
            <w:tcW w:w="1390" w:type="dxa"/>
            <w:tcBorders>
              <w:top w:val="nil"/>
              <w:left w:val="nil"/>
              <w:bottom w:val="single" w:sz="4" w:space="0" w:color="auto"/>
              <w:right w:val="single" w:sz="4" w:space="0" w:color="auto"/>
            </w:tcBorders>
            <w:shd w:val="clear" w:color="auto" w:fill="C6EFCE"/>
            <w:noWrap/>
          </w:tcPr>
          <w:p w14:paraId="360FA910" w14:textId="77777777" w:rsidR="006E1228" w:rsidRPr="00D26611" w:rsidRDefault="006E1228" w:rsidP="00C937A7">
            <w:pPr>
              <w:spacing w:after="0"/>
              <w:rPr>
                <w:rFonts w:ascii="Times New Roman" w:hAnsi="Times New Roman" w:cs="Times New Roman"/>
                <w:noProof/>
                <w:color w:val="006100"/>
                <w:sz w:val="20"/>
                <w:szCs w:val="20"/>
              </w:rPr>
            </w:pPr>
            <w:r>
              <w:rPr>
                <w:rFonts w:ascii="Times New Roman" w:hAnsi="Times New Roman"/>
                <w:noProof/>
                <w:color w:val="006100"/>
                <w:sz w:val="20"/>
              </w:rPr>
              <w:t xml:space="preserve">Законова разпоредба, указваща влизането в сила на измененията и допълненията на Закона за висшето образование </w:t>
            </w:r>
          </w:p>
        </w:tc>
        <w:tc>
          <w:tcPr>
            <w:tcW w:w="850" w:type="dxa"/>
            <w:tcBorders>
              <w:top w:val="nil"/>
              <w:left w:val="nil"/>
              <w:bottom w:val="single" w:sz="4" w:space="0" w:color="auto"/>
              <w:right w:val="single" w:sz="4" w:space="0" w:color="auto"/>
            </w:tcBorders>
            <w:shd w:val="clear" w:color="auto" w:fill="C6EFCE"/>
            <w:noWrap/>
          </w:tcPr>
          <w:p w14:paraId="11D5AD32" w14:textId="77777777" w:rsidR="006E1228" w:rsidRPr="008A0F8A" w:rsidRDefault="006E1228" w:rsidP="00C937A7">
            <w:pPr>
              <w:spacing w:after="0"/>
              <w:rPr>
                <w:rFonts w:ascii="Times New Roman" w:eastAsia="Times New Roman" w:hAnsi="Times New Roman" w:cs="Times New Roman"/>
                <w:noProof/>
                <w:color w:val="006100"/>
                <w:sz w:val="20"/>
                <w:szCs w:val="20"/>
                <w:lang w:val="ru-RU" w:eastAsia="en-GB"/>
              </w:rPr>
            </w:pPr>
          </w:p>
        </w:tc>
        <w:tc>
          <w:tcPr>
            <w:tcW w:w="879" w:type="dxa"/>
            <w:tcBorders>
              <w:top w:val="nil"/>
              <w:left w:val="nil"/>
              <w:bottom w:val="single" w:sz="4" w:space="0" w:color="auto"/>
              <w:right w:val="single" w:sz="4" w:space="0" w:color="auto"/>
            </w:tcBorders>
            <w:shd w:val="clear" w:color="auto" w:fill="C6EFCE"/>
            <w:noWrap/>
          </w:tcPr>
          <w:p w14:paraId="4D621D99" w14:textId="77777777" w:rsidR="006E1228" w:rsidRPr="008A0F8A" w:rsidRDefault="006E1228" w:rsidP="00C937A7">
            <w:pPr>
              <w:spacing w:after="0"/>
              <w:rPr>
                <w:rFonts w:ascii="Times New Roman" w:eastAsia="Times New Roman" w:hAnsi="Times New Roman" w:cs="Times New Roman"/>
                <w:noProof/>
                <w:color w:val="006100"/>
                <w:sz w:val="20"/>
                <w:szCs w:val="20"/>
                <w:lang w:val="ru-RU" w:eastAsia="en-GB"/>
              </w:rPr>
            </w:pPr>
          </w:p>
        </w:tc>
        <w:tc>
          <w:tcPr>
            <w:tcW w:w="675" w:type="dxa"/>
            <w:tcBorders>
              <w:top w:val="nil"/>
              <w:left w:val="nil"/>
              <w:bottom w:val="single" w:sz="4" w:space="0" w:color="auto"/>
              <w:right w:val="single" w:sz="4" w:space="0" w:color="auto"/>
            </w:tcBorders>
            <w:shd w:val="clear" w:color="auto" w:fill="C6EFCE"/>
            <w:noWrap/>
          </w:tcPr>
          <w:p w14:paraId="48164688" w14:textId="77777777" w:rsidR="006E1228" w:rsidRPr="008A0F8A" w:rsidRDefault="006E1228" w:rsidP="00C937A7">
            <w:pPr>
              <w:spacing w:after="0"/>
              <w:rPr>
                <w:rFonts w:ascii="Times New Roman" w:eastAsia="Times New Roman" w:hAnsi="Times New Roman" w:cs="Times New Roman"/>
                <w:noProof/>
                <w:color w:val="006100"/>
                <w:sz w:val="20"/>
                <w:szCs w:val="20"/>
                <w:lang w:val="ru-RU" w:eastAsia="en-GB"/>
              </w:rPr>
            </w:pPr>
          </w:p>
        </w:tc>
        <w:tc>
          <w:tcPr>
            <w:tcW w:w="851" w:type="dxa"/>
            <w:tcBorders>
              <w:top w:val="nil"/>
              <w:left w:val="nil"/>
              <w:bottom w:val="single" w:sz="4" w:space="0" w:color="auto"/>
              <w:right w:val="single" w:sz="4" w:space="0" w:color="auto"/>
            </w:tcBorders>
            <w:shd w:val="clear" w:color="auto" w:fill="C6EFCE"/>
            <w:noWrap/>
          </w:tcPr>
          <w:p w14:paraId="199CA1FB" w14:textId="77777777"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T1</w:t>
            </w:r>
          </w:p>
        </w:tc>
        <w:tc>
          <w:tcPr>
            <w:tcW w:w="742" w:type="dxa"/>
            <w:tcBorders>
              <w:top w:val="nil"/>
              <w:left w:val="nil"/>
              <w:bottom w:val="single" w:sz="4" w:space="0" w:color="auto"/>
              <w:right w:val="single" w:sz="4" w:space="0" w:color="auto"/>
            </w:tcBorders>
            <w:shd w:val="clear" w:color="auto" w:fill="C6EFCE"/>
            <w:noWrap/>
          </w:tcPr>
          <w:p w14:paraId="28FED41B" w14:textId="77777777"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2020</w:t>
            </w:r>
          </w:p>
        </w:tc>
        <w:tc>
          <w:tcPr>
            <w:tcW w:w="4650" w:type="dxa"/>
            <w:tcBorders>
              <w:top w:val="nil"/>
              <w:left w:val="nil"/>
              <w:bottom w:val="single" w:sz="4" w:space="0" w:color="auto"/>
              <w:right w:val="single" w:sz="4" w:space="0" w:color="auto"/>
            </w:tcBorders>
            <w:shd w:val="clear" w:color="auto" w:fill="C6EFCE"/>
            <w:noWrap/>
          </w:tcPr>
          <w:p w14:paraId="531BD2F2" w14:textId="77777777" w:rsidR="006E1228" w:rsidRPr="00D26611" w:rsidRDefault="006E1228"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С измененията на Закона за висшето образование:</w:t>
            </w:r>
          </w:p>
          <w:p w14:paraId="6D785E29" w14:textId="77777777" w:rsidR="006E1228" w:rsidRPr="00D26611" w:rsidRDefault="006E1228" w:rsidP="00A3795A">
            <w:pPr>
              <w:pStyle w:val="ListParagraph"/>
              <w:numPr>
                <w:ilvl w:val="0"/>
                <w:numId w:val="3"/>
              </w:numPr>
              <w:spacing w:after="0" w:line="240" w:lineRule="auto"/>
              <w:ind w:left="539" w:hanging="284"/>
              <w:rPr>
                <w:rFonts w:ascii="Times New Roman" w:hAnsi="Times New Roman" w:cs="Times New Roman"/>
                <w:noProof/>
                <w:color w:val="006100"/>
                <w:sz w:val="20"/>
                <w:szCs w:val="20"/>
              </w:rPr>
            </w:pPr>
            <w:r>
              <w:rPr>
                <w:rFonts w:ascii="Times New Roman" w:hAnsi="Times New Roman"/>
                <w:noProof/>
                <w:color w:val="006100"/>
                <w:sz w:val="20"/>
              </w:rPr>
              <w:t xml:space="preserve">ще се въведе изменена система за акредитация на висшите учебни заведения, както и статут на „научноизследователски университет“; </w:t>
            </w:r>
          </w:p>
          <w:p w14:paraId="3DC13957" w14:textId="77777777" w:rsidR="006E1228" w:rsidRPr="00D26611" w:rsidRDefault="006E1228" w:rsidP="00A3795A">
            <w:pPr>
              <w:pStyle w:val="ListParagraph"/>
              <w:numPr>
                <w:ilvl w:val="0"/>
                <w:numId w:val="3"/>
              </w:numPr>
              <w:spacing w:after="0" w:line="240" w:lineRule="auto"/>
              <w:ind w:left="539" w:hanging="284"/>
              <w:rPr>
                <w:rFonts w:ascii="Times New Roman" w:hAnsi="Times New Roman" w:cs="Times New Roman"/>
                <w:noProof/>
                <w:color w:val="006100"/>
                <w:sz w:val="20"/>
                <w:szCs w:val="20"/>
              </w:rPr>
            </w:pPr>
            <w:r>
              <w:rPr>
                <w:rFonts w:ascii="Times New Roman" w:hAnsi="Times New Roman"/>
                <w:noProof/>
                <w:color w:val="006100"/>
                <w:sz w:val="20"/>
              </w:rPr>
              <w:t xml:space="preserve">студентите или наскоро дипломираните висшисти, подписали договор за стаж с работодател, ще могат да бъдат освободени от такси в държавните висши учебни заведения; </w:t>
            </w:r>
          </w:p>
          <w:p w14:paraId="38C18E8E" w14:textId="77777777" w:rsidR="006E1228" w:rsidRPr="00D26611" w:rsidRDefault="006E1228" w:rsidP="00A3795A">
            <w:pPr>
              <w:pStyle w:val="ListParagraph"/>
              <w:numPr>
                <w:ilvl w:val="0"/>
                <w:numId w:val="3"/>
              </w:numPr>
              <w:spacing w:after="0" w:line="240" w:lineRule="auto"/>
              <w:ind w:left="539" w:hanging="284"/>
              <w:rPr>
                <w:rFonts w:ascii="Times New Roman" w:hAnsi="Times New Roman" w:cs="Times New Roman"/>
                <w:noProof/>
                <w:color w:val="006100"/>
                <w:sz w:val="20"/>
                <w:szCs w:val="20"/>
              </w:rPr>
            </w:pPr>
            <w:r>
              <w:rPr>
                <w:rFonts w:ascii="Times New Roman" w:hAnsi="Times New Roman"/>
                <w:noProof/>
                <w:color w:val="006100"/>
                <w:sz w:val="20"/>
              </w:rPr>
              <w:t xml:space="preserve">ще се актуализира списъкът на „защитените специализации“ въз основа на очаквания недостиг на работна ръка на пазара на труда; </w:t>
            </w:r>
          </w:p>
          <w:p w14:paraId="7486B027" w14:textId="6F40FE03" w:rsidR="006E1228" w:rsidRPr="00D26611" w:rsidRDefault="006E1228" w:rsidP="00A3795A">
            <w:pPr>
              <w:pStyle w:val="ListParagraph"/>
              <w:numPr>
                <w:ilvl w:val="0"/>
                <w:numId w:val="3"/>
              </w:numPr>
              <w:spacing w:after="0" w:line="240" w:lineRule="auto"/>
              <w:ind w:left="539" w:hanging="284"/>
              <w:rPr>
                <w:rFonts w:ascii="Times New Roman" w:eastAsia="Times New Roman" w:hAnsi="Times New Roman" w:cs="Times New Roman"/>
                <w:noProof/>
                <w:color w:val="006100"/>
                <w:sz w:val="20"/>
                <w:szCs w:val="20"/>
              </w:rPr>
            </w:pPr>
            <w:r>
              <w:rPr>
                <w:rFonts w:ascii="Times New Roman" w:hAnsi="Times New Roman"/>
                <w:noProof/>
                <w:color w:val="006100"/>
                <w:sz w:val="20"/>
              </w:rPr>
              <w:t>ще се въведе възможност за сключване на до две споразумения между държавните висши училища и държавните или общинските училища в системата на предучилищното и училищното образование. Със споразуменията ще се насърчи специализираното обучение в рамките на средното образование.</w:t>
            </w:r>
          </w:p>
        </w:tc>
      </w:tr>
      <w:tr w:rsidR="006E1228" w:rsidRPr="005241FC" w14:paraId="3DA02904" w14:textId="77777777" w:rsidTr="008E16C0">
        <w:trPr>
          <w:trHeight w:val="309"/>
        </w:trPr>
        <w:tc>
          <w:tcPr>
            <w:tcW w:w="709" w:type="dxa"/>
            <w:tcBorders>
              <w:top w:val="nil"/>
              <w:left w:val="single" w:sz="4" w:space="0" w:color="auto"/>
              <w:bottom w:val="single" w:sz="4" w:space="0" w:color="auto"/>
              <w:right w:val="single" w:sz="4" w:space="0" w:color="auto"/>
            </w:tcBorders>
            <w:shd w:val="clear" w:color="auto" w:fill="C6EFCE"/>
            <w:noWrap/>
          </w:tcPr>
          <w:p w14:paraId="7BAAEB22" w14:textId="30BC7FDE" w:rsidR="006E1228" w:rsidRPr="00D26611" w:rsidRDefault="006E1228" w:rsidP="00C937A7">
            <w:pPr>
              <w:spacing w:after="0"/>
              <w:rPr>
                <w:rFonts w:ascii="Times New Roman" w:hAnsi="Times New Roman" w:cs="Times New Roman"/>
                <w:noProof/>
                <w:color w:val="006100"/>
                <w:sz w:val="20"/>
                <w:szCs w:val="20"/>
              </w:rPr>
            </w:pPr>
            <w:r>
              <w:rPr>
                <w:rFonts w:ascii="Times New Roman" w:hAnsi="Times New Roman"/>
                <w:noProof/>
                <w:color w:val="006100"/>
                <w:sz w:val="20"/>
              </w:rPr>
              <w:t>6</w:t>
            </w:r>
          </w:p>
        </w:tc>
        <w:tc>
          <w:tcPr>
            <w:tcW w:w="1587" w:type="dxa"/>
            <w:tcBorders>
              <w:top w:val="nil"/>
              <w:left w:val="nil"/>
              <w:bottom w:val="single" w:sz="4" w:space="0" w:color="auto"/>
              <w:right w:val="single" w:sz="4" w:space="0" w:color="auto"/>
            </w:tcBorders>
            <w:shd w:val="clear" w:color="auto" w:fill="C6EFCE"/>
            <w:noWrap/>
          </w:tcPr>
          <w:p w14:paraId="670B7501" w14:textId="77777777" w:rsidR="006E1228" w:rsidRPr="00D26611" w:rsidRDefault="006E1228" w:rsidP="00C937A7">
            <w:pPr>
              <w:spacing w:after="0"/>
              <w:rPr>
                <w:rFonts w:ascii="Times New Roman" w:hAnsi="Times New Roman" w:cs="Times New Roman"/>
                <w:noProof/>
                <w:color w:val="006100"/>
                <w:sz w:val="20"/>
                <w:szCs w:val="20"/>
              </w:rPr>
            </w:pPr>
            <w:r>
              <w:rPr>
                <w:rFonts w:ascii="Times New Roman" w:hAnsi="Times New Roman"/>
                <w:noProof/>
                <w:color w:val="006100"/>
                <w:sz w:val="20"/>
              </w:rPr>
              <w:t xml:space="preserve">К1.Р2: </w:t>
            </w:r>
          </w:p>
          <w:p w14:paraId="3D9498BB" w14:textId="77777777" w:rsidR="006E1228" w:rsidRPr="00D26611" w:rsidRDefault="006E1228" w:rsidP="00C937A7">
            <w:pPr>
              <w:spacing w:after="0"/>
              <w:rPr>
                <w:rFonts w:ascii="Times New Roman" w:hAnsi="Times New Roman" w:cs="Times New Roman"/>
                <w:noProof/>
                <w:color w:val="006100"/>
                <w:sz w:val="20"/>
                <w:szCs w:val="20"/>
              </w:rPr>
            </w:pPr>
            <w:r>
              <w:rPr>
                <w:rFonts w:ascii="Times New Roman" w:hAnsi="Times New Roman"/>
                <w:noProof/>
                <w:color w:val="006100"/>
                <w:sz w:val="20"/>
              </w:rPr>
              <w:t>Реформа на висшето образование</w:t>
            </w:r>
          </w:p>
        </w:tc>
        <w:tc>
          <w:tcPr>
            <w:tcW w:w="993" w:type="dxa"/>
            <w:tcBorders>
              <w:top w:val="nil"/>
              <w:left w:val="nil"/>
              <w:bottom w:val="single" w:sz="4" w:space="0" w:color="auto"/>
              <w:right w:val="single" w:sz="4" w:space="0" w:color="auto"/>
            </w:tcBorders>
            <w:shd w:val="clear" w:color="auto" w:fill="C6EFCE"/>
            <w:noWrap/>
          </w:tcPr>
          <w:p w14:paraId="08B410F5" w14:textId="77777777" w:rsidR="006E1228" w:rsidRPr="00D26611" w:rsidRDefault="006E1228" w:rsidP="00C937A7">
            <w:pPr>
              <w:spacing w:after="0"/>
              <w:rPr>
                <w:rFonts w:ascii="Times New Roman" w:hAnsi="Times New Roman" w:cs="Times New Roman"/>
                <w:noProof/>
                <w:color w:val="006100"/>
                <w:sz w:val="20"/>
                <w:szCs w:val="20"/>
              </w:rPr>
            </w:pPr>
            <w:r>
              <w:rPr>
                <w:rFonts w:ascii="Times New Roman" w:hAnsi="Times New Roman"/>
                <w:noProof/>
                <w:color w:val="006100"/>
                <w:sz w:val="20"/>
              </w:rPr>
              <w:t>Ключов етап</w:t>
            </w:r>
          </w:p>
        </w:tc>
        <w:tc>
          <w:tcPr>
            <w:tcW w:w="1984" w:type="dxa"/>
            <w:tcBorders>
              <w:top w:val="nil"/>
              <w:left w:val="nil"/>
              <w:bottom w:val="single" w:sz="4" w:space="0" w:color="auto"/>
              <w:right w:val="single" w:sz="4" w:space="0" w:color="auto"/>
            </w:tcBorders>
            <w:shd w:val="clear" w:color="auto" w:fill="C6EFCE"/>
            <w:noWrap/>
          </w:tcPr>
          <w:p w14:paraId="7EFB445E" w14:textId="77777777" w:rsidR="006E1228" w:rsidRPr="00D26611" w:rsidRDefault="006E1228" w:rsidP="00C937A7">
            <w:pPr>
              <w:spacing w:after="0"/>
              <w:rPr>
                <w:rFonts w:ascii="Times New Roman" w:hAnsi="Times New Roman" w:cs="Times New Roman"/>
                <w:noProof/>
                <w:color w:val="006100"/>
                <w:sz w:val="20"/>
                <w:szCs w:val="20"/>
              </w:rPr>
            </w:pPr>
            <w:r>
              <w:rPr>
                <w:rFonts w:ascii="Times New Roman" w:hAnsi="Times New Roman"/>
                <w:noProof/>
                <w:color w:val="006100"/>
                <w:sz w:val="20"/>
              </w:rPr>
              <w:t>Национална карта на висшето образование</w:t>
            </w:r>
          </w:p>
        </w:tc>
        <w:tc>
          <w:tcPr>
            <w:tcW w:w="1390" w:type="dxa"/>
            <w:tcBorders>
              <w:top w:val="nil"/>
              <w:left w:val="nil"/>
              <w:bottom w:val="single" w:sz="4" w:space="0" w:color="auto"/>
              <w:right w:val="single" w:sz="4" w:space="0" w:color="auto"/>
            </w:tcBorders>
            <w:shd w:val="clear" w:color="auto" w:fill="C6EFCE"/>
            <w:noWrap/>
          </w:tcPr>
          <w:p w14:paraId="087AC14A" w14:textId="77777777" w:rsidR="006E1228" w:rsidRPr="00D26611" w:rsidRDefault="006E1228" w:rsidP="00C937A7">
            <w:pPr>
              <w:spacing w:after="0"/>
              <w:rPr>
                <w:rFonts w:ascii="Times New Roman" w:hAnsi="Times New Roman" w:cs="Times New Roman"/>
                <w:noProof/>
                <w:color w:val="006100"/>
                <w:sz w:val="20"/>
                <w:szCs w:val="20"/>
              </w:rPr>
            </w:pPr>
            <w:r>
              <w:rPr>
                <w:rFonts w:ascii="Times New Roman" w:hAnsi="Times New Roman"/>
                <w:noProof/>
                <w:color w:val="006100"/>
                <w:sz w:val="20"/>
              </w:rPr>
              <w:t xml:space="preserve">Приемане от Министерския съвет </w:t>
            </w:r>
          </w:p>
        </w:tc>
        <w:tc>
          <w:tcPr>
            <w:tcW w:w="850" w:type="dxa"/>
            <w:tcBorders>
              <w:top w:val="nil"/>
              <w:left w:val="nil"/>
              <w:bottom w:val="single" w:sz="4" w:space="0" w:color="auto"/>
              <w:right w:val="single" w:sz="4" w:space="0" w:color="auto"/>
            </w:tcBorders>
            <w:shd w:val="clear" w:color="auto" w:fill="C6EFCE"/>
            <w:noWrap/>
          </w:tcPr>
          <w:p w14:paraId="6855E02A" w14:textId="77777777" w:rsidR="006E1228" w:rsidRPr="00D26611" w:rsidRDefault="006E1228" w:rsidP="00C937A7">
            <w:pPr>
              <w:spacing w:after="0"/>
              <w:rPr>
                <w:rFonts w:ascii="Times New Roman" w:eastAsia="Times New Roman" w:hAnsi="Times New Roman" w:cs="Times New Roman"/>
                <w:noProof/>
                <w:color w:val="006100"/>
                <w:sz w:val="20"/>
                <w:szCs w:val="20"/>
                <w:lang w:val="en-US" w:eastAsia="en-GB"/>
              </w:rPr>
            </w:pPr>
          </w:p>
        </w:tc>
        <w:tc>
          <w:tcPr>
            <w:tcW w:w="879" w:type="dxa"/>
            <w:tcBorders>
              <w:top w:val="nil"/>
              <w:left w:val="nil"/>
              <w:bottom w:val="single" w:sz="4" w:space="0" w:color="auto"/>
              <w:right w:val="single" w:sz="4" w:space="0" w:color="auto"/>
            </w:tcBorders>
            <w:shd w:val="clear" w:color="auto" w:fill="C6EFCE"/>
            <w:noWrap/>
          </w:tcPr>
          <w:p w14:paraId="41859282" w14:textId="77777777" w:rsidR="006E1228" w:rsidRPr="00D26611" w:rsidRDefault="006E1228" w:rsidP="00C937A7">
            <w:pPr>
              <w:spacing w:after="0"/>
              <w:rPr>
                <w:rFonts w:ascii="Times New Roman" w:eastAsia="Calibri" w:hAnsi="Times New Roman" w:cs="Times New Roman"/>
                <w:noProof/>
                <w:color w:val="006100"/>
                <w:sz w:val="20"/>
                <w:szCs w:val="20"/>
                <w:lang w:val="en-US"/>
              </w:rPr>
            </w:pPr>
          </w:p>
        </w:tc>
        <w:tc>
          <w:tcPr>
            <w:tcW w:w="675" w:type="dxa"/>
            <w:tcBorders>
              <w:top w:val="nil"/>
              <w:left w:val="nil"/>
              <w:bottom w:val="single" w:sz="4" w:space="0" w:color="auto"/>
              <w:right w:val="single" w:sz="4" w:space="0" w:color="auto"/>
            </w:tcBorders>
            <w:shd w:val="clear" w:color="auto" w:fill="C6EFCE"/>
            <w:noWrap/>
          </w:tcPr>
          <w:p w14:paraId="3C526A9B" w14:textId="77777777" w:rsidR="006E1228" w:rsidRPr="00D26611" w:rsidRDefault="006E1228" w:rsidP="00C937A7">
            <w:pPr>
              <w:spacing w:after="0"/>
              <w:rPr>
                <w:rFonts w:ascii="Times New Roman" w:eastAsia="Calibri" w:hAnsi="Times New Roman" w:cs="Times New Roman"/>
                <w:noProof/>
                <w:color w:val="006100"/>
                <w:sz w:val="20"/>
                <w:szCs w:val="20"/>
                <w:lang w:val="en-US"/>
              </w:rPr>
            </w:pPr>
          </w:p>
        </w:tc>
        <w:tc>
          <w:tcPr>
            <w:tcW w:w="851" w:type="dxa"/>
            <w:tcBorders>
              <w:top w:val="nil"/>
              <w:left w:val="nil"/>
              <w:bottom w:val="single" w:sz="4" w:space="0" w:color="auto"/>
              <w:right w:val="single" w:sz="4" w:space="0" w:color="auto"/>
            </w:tcBorders>
            <w:shd w:val="clear" w:color="auto" w:fill="C6EFCE"/>
            <w:noWrap/>
          </w:tcPr>
          <w:p w14:paraId="40D08CEF" w14:textId="77777777" w:rsidR="006E1228" w:rsidRPr="00D26611" w:rsidRDefault="006E1228" w:rsidP="00C937A7">
            <w:pPr>
              <w:spacing w:after="0"/>
              <w:rPr>
                <w:rFonts w:ascii="Times New Roman" w:hAnsi="Times New Roman" w:cs="Times New Roman"/>
                <w:noProof/>
                <w:color w:val="006100"/>
                <w:sz w:val="20"/>
                <w:szCs w:val="20"/>
              </w:rPr>
            </w:pPr>
            <w:r>
              <w:rPr>
                <w:rFonts w:ascii="Times New Roman" w:hAnsi="Times New Roman"/>
                <w:noProof/>
                <w:color w:val="006100"/>
                <w:sz w:val="20"/>
              </w:rPr>
              <w:t>T3</w:t>
            </w:r>
          </w:p>
        </w:tc>
        <w:tc>
          <w:tcPr>
            <w:tcW w:w="742" w:type="dxa"/>
            <w:tcBorders>
              <w:top w:val="nil"/>
              <w:left w:val="nil"/>
              <w:bottom w:val="single" w:sz="4" w:space="0" w:color="auto"/>
              <w:right w:val="single" w:sz="4" w:space="0" w:color="auto"/>
            </w:tcBorders>
            <w:shd w:val="clear" w:color="auto" w:fill="C6EFCE"/>
            <w:noWrap/>
          </w:tcPr>
          <w:p w14:paraId="1BBB7163" w14:textId="77777777" w:rsidR="006E1228" w:rsidRPr="00D26611" w:rsidRDefault="006E1228" w:rsidP="00C937A7">
            <w:pPr>
              <w:spacing w:after="0"/>
              <w:rPr>
                <w:rFonts w:ascii="Times New Roman" w:hAnsi="Times New Roman" w:cs="Times New Roman"/>
                <w:noProof/>
                <w:color w:val="006100"/>
                <w:sz w:val="20"/>
                <w:szCs w:val="20"/>
              </w:rPr>
            </w:pPr>
            <w:r>
              <w:rPr>
                <w:rFonts w:ascii="Times New Roman" w:hAnsi="Times New Roman"/>
                <w:noProof/>
                <w:color w:val="006100"/>
                <w:sz w:val="20"/>
              </w:rPr>
              <w:t>2021</w:t>
            </w:r>
          </w:p>
        </w:tc>
        <w:tc>
          <w:tcPr>
            <w:tcW w:w="4650" w:type="dxa"/>
            <w:tcBorders>
              <w:top w:val="nil"/>
              <w:left w:val="nil"/>
              <w:bottom w:val="single" w:sz="4" w:space="0" w:color="auto"/>
              <w:right w:val="single" w:sz="4" w:space="0" w:color="auto"/>
            </w:tcBorders>
            <w:shd w:val="clear" w:color="auto" w:fill="C6EFCE"/>
            <w:noWrap/>
          </w:tcPr>
          <w:p w14:paraId="00F99E2A" w14:textId="77777777" w:rsidR="006E1228" w:rsidRPr="00D26611" w:rsidRDefault="006E1228"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Националната карта на висшето образование ще подпомогне формулирането на препоръки за насърчаване на по-балансирано разпределяне на предлагането на висше образование в страната.</w:t>
            </w:r>
          </w:p>
          <w:p w14:paraId="03355168" w14:textId="77777777" w:rsidR="006E1228" w:rsidRPr="008A0F8A" w:rsidRDefault="006E1228" w:rsidP="00C937A7">
            <w:pPr>
              <w:spacing w:after="0" w:line="240" w:lineRule="auto"/>
              <w:rPr>
                <w:rFonts w:ascii="Times New Roman" w:hAnsi="Times New Roman" w:cs="Times New Roman"/>
                <w:noProof/>
                <w:color w:val="006100"/>
                <w:sz w:val="20"/>
                <w:szCs w:val="20"/>
                <w:lang w:val="ru-RU"/>
              </w:rPr>
            </w:pPr>
          </w:p>
          <w:p w14:paraId="2F80B356" w14:textId="77777777" w:rsidR="006E1228" w:rsidRPr="00D26611" w:rsidRDefault="006E1228"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Картата предоставя анализ на:</w:t>
            </w:r>
          </w:p>
          <w:p w14:paraId="776CC430" w14:textId="77777777" w:rsidR="006E1228" w:rsidRPr="00D26611" w:rsidRDefault="006E1228" w:rsidP="000A75C5">
            <w:pPr>
              <w:pStyle w:val="ListParagraph"/>
              <w:numPr>
                <w:ilvl w:val="0"/>
                <w:numId w:val="3"/>
              </w:numPr>
              <w:spacing w:after="0" w:line="240" w:lineRule="auto"/>
              <w:ind w:left="394" w:hanging="283"/>
              <w:rPr>
                <w:rFonts w:ascii="Times New Roman" w:hAnsi="Times New Roman" w:cs="Times New Roman"/>
                <w:noProof/>
                <w:color w:val="006100"/>
                <w:sz w:val="20"/>
                <w:szCs w:val="20"/>
              </w:rPr>
            </w:pPr>
            <w:r>
              <w:rPr>
                <w:rFonts w:ascii="Times New Roman" w:hAnsi="Times New Roman"/>
                <w:noProof/>
                <w:color w:val="006100"/>
                <w:sz w:val="20"/>
              </w:rPr>
              <w:t>териториалното разпределение на предлагането на висше образование в Република България, включително информация за националното и регионалното социално-икономическо развитие и конюнктура на пазара на труда;</w:t>
            </w:r>
          </w:p>
          <w:p w14:paraId="22AF641B" w14:textId="77777777" w:rsidR="006E1228" w:rsidRPr="00D26611" w:rsidRDefault="006E1228" w:rsidP="000A75C5">
            <w:pPr>
              <w:pStyle w:val="ListParagraph"/>
              <w:numPr>
                <w:ilvl w:val="0"/>
                <w:numId w:val="3"/>
              </w:numPr>
              <w:spacing w:after="0" w:line="240" w:lineRule="auto"/>
              <w:ind w:left="394" w:hanging="283"/>
              <w:rPr>
                <w:rFonts w:ascii="Times New Roman" w:hAnsi="Times New Roman" w:cs="Times New Roman"/>
                <w:noProof/>
                <w:color w:val="006100"/>
                <w:sz w:val="20"/>
                <w:szCs w:val="20"/>
              </w:rPr>
            </w:pPr>
            <w:r>
              <w:rPr>
                <w:rFonts w:ascii="Times New Roman" w:hAnsi="Times New Roman"/>
                <w:noProof/>
                <w:color w:val="006100"/>
                <w:sz w:val="20"/>
              </w:rPr>
              <w:t>наличните ресурси във висшите учебни заведения, включително академичен персонал и студенти.</w:t>
            </w:r>
          </w:p>
        </w:tc>
      </w:tr>
      <w:tr w:rsidR="006E1228" w:rsidRPr="005241FC" w14:paraId="5B5108DA" w14:textId="77777777" w:rsidTr="008E16C0">
        <w:trPr>
          <w:trHeight w:val="309"/>
        </w:trPr>
        <w:tc>
          <w:tcPr>
            <w:tcW w:w="709" w:type="dxa"/>
            <w:tcBorders>
              <w:top w:val="nil"/>
              <w:left w:val="single" w:sz="4" w:space="0" w:color="auto"/>
              <w:bottom w:val="single" w:sz="4" w:space="0" w:color="auto"/>
              <w:right w:val="single" w:sz="4" w:space="0" w:color="auto"/>
            </w:tcBorders>
            <w:shd w:val="clear" w:color="auto" w:fill="C6EFCE"/>
            <w:noWrap/>
          </w:tcPr>
          <w:p w14:paraId="445243B0" w14:textId="62D6CC21" w:rsidR="006E1228" w:rsidRPr="00D26611" w:rsidRDefault="006E1228" w:rsidP="00C937A7">
            <w:pPr>
              <w:spacing w:after="0"/>
              <w:rPr>
                <w:rFonts w:ascii="Times New Roman" w:hAnsi="Times New Roman" w:cs="Times New Roman"/>
                <w:noProof/>
                <w:color w:val="006100"/>
                <w:sz w:val="20"/>
                <w:szCs w:val="20"/>
              </w:rPr>
            </w:pPr>
            <w:r>
              <w:rPr>
                <w:rFonts w:ascii="Times New Roman" w:hAnsi="Times New Roman"/>
                <w:noProof/>
                <w:color w:val="006100"/>
                <w:sz w:val="20"/>
              </w:rPr>
              <w:t>7</w:t>
            </w:r>
          </w:p>
        </w:tc>
        <w:tc>
          <w:tcPr>
            <w:tcW w:w="1587" w:type="dxa"/>
            <w:tcBorders>
              <w:top w:val="nil"/>
              <w:left w:val="nil"/>
              <w:bottom w:val="single" w:sz="4" w:space="0" w:color="auto"/>
              <w:right w:val="single" w:sz="4" w:space="0" w:color="auto"/>
            </w:tcBorders>
            <w:shd w:val="clear" w:color="auto" w:fill="C6EFCE"/>
            <w:noWrap/>
          </w:tcPr>
          <w:p w14:paraId="22FB8A7C" w14:textId="77777777" w:rsidR="006E1228" w:rsidRPr="00D26611" w:rsidRDefault="006E1228" w:rsidP="00C937A7">
            <w:pPr>
              <w:spacing w:after="0"/>
              <w:rPr>
                <w:rFonts w:ascii="Times New Roman" w:hAnsi="Times New Roman" w:cs="Times New Roman"/>
                <w:noProof/>
                <w:color w:val="006100"/>
                <w:sz w:val="20"/>
                <w:szCs w:val="20"/>
              </w:rPr>
            </w:pPr>
            <w:r>
              <w:rPr>
                <w:rFonts w:ascii="Times New Roman" w:hAnsi="Times New Roman"/>
                <w:noProof/>
                <w:color w:val="006100"/>
                <w:sz w:val="20"/>
              </w:rPr>
              <w:t xml:space="preserve">К1.Р2: </w:t>
            </w:r>
          </w:p>
          <w:p w14:paraId="26FC7ED4" w14:textId="77777777" w:rsidR="006E1228" w:rsidRPr="00D26611" w:rsidRDefault="006E1228" w:rsidP="00C937A7">
            <w:pPr>
              <w:spacing w:after="0"/>
              <w:rPr>
                <w:rFonts w:ascii="Times New Roman" w:hAnsi="Times New Roman" w:cs="Times New Roman"/>
                <w:noProof/>
                <w:color w:val="006100"/>
                <w:sz w:val="20"/>
                <w:szCs w:val="20"/>
              </w:rPr>
            </w:pPr>
            <w:r>
              <w:rPr>
                <w:rFonts w:ascii="Times New Roman" w:hAnsi="Times New Roman"/>
                <w:noProof/>
                <w:color w:val="006100"/>
                <w:sz w:val="20"/>
              </w:rPr>
              <w:t>Реформа на висшето образование</w:t>
            </w:r>
          </w:p>
        </w:tc>
        <w:tc>
          <w:tcPr>
            <w:tcW w:w="993" w:type="dxa"/>
            <w:tcBorders>
              <w:top w:val="nil"/>
              <w:left w:val="nil"/>
              <w:bottom w:val="single" w:sz="4" w:space="0" w:color="auto"/>
              <w:right w:val="single" w:sz="4" w:space="0" w:color="auto"/>
            </w:tcBorders>
            <w:shd w:val="clear" w:color="auto" w:fill="C6EFCE"/>
            <w:noWrap/>
          </w:tcPr>
          <w:p w14:paraId="3F9A654E" w14:textId="77777777" w:rsidR="006E1228" w:rsidRPr="00D26611" w:rsidRDefault="006E1228" w:rsidP="00C937A7">
            <w:pPr>
              <w:spacing w:after="0"/>
              <w:rPr>
                <w:rFonts w:ascii="Times New Roman" w:hAnsi="Times New Roman" w:cs="Times New Roman"/>
                <w:noProof/>
                <w:color w:val="006100"/>
                <w:sz w:val="20"/>
                <w:szCs w:val="20"/>
              </w:rPr>
            </w:pPr>
            <w:r>
              <w:rPr>
                <w:rFonts w:ascii="Times New Roman" w:hAnsi="Times New Roman"/>
                <w:noProof/>
                <w:color w:val="006100"/>
                <w:sz w:val="20"/>
              </w:rPr>
              <w:t>Ключов етап</w:t>
            </w:r>
          </w:p>
        </w:tc>
        <w:tc>
          <w:tcPr>
            <w:tcW w:w="1984" w:type="dxa"/>
            <w:tcBorders>
              <w:top w:val="nil"/>
              <w:left w:val="nil"/>
              <w:bottom w:val="single" w:sz="4" w:space="0" w:color="auto"/>
              <w:right w:val="single" w:sz="4" w:space="0" w:color="auto"/>
            </w:tcBorders>
            <w:shd w:val="clear" w:color="auto" w:fill="C6EFCE"/>
            <w:noWrap/>
          </w:tcPr>
          <w:p w14:paraId="212D3675" w14:textId="77777777" w:rsidR="006E1228" w:rsidRPr="00D26611" w:rsidRDefault="006E1228" w:rsidP="00C937A7">
            <w:pPr>
              <w:spacing w:after="0"/>
              <w:rPr>
                <w:rFonts w:ascii="Times New Roman" w:hAnsi="Times New Roman" w:cs="Times New Roman"/>
                <w:noProof/>
                <w:color w:val="006100"/>
                <w:sz w:val="20"/>
                <w:szCs w:val="20"/>
              </w:rPr>
            </w:pPr>
            <w:r>
              <w:rPr>
                <w:rFonts w:ascii="Times New Roman" w:hAnsi="Times New Roman"/>
                <w:noProof/>
                <w:color w:val="006100"/>
                <w:sz w:val="20"/>
              </w:rPr>
              <w:t>План за действие за изпълнение на Стратегията за развитие на висшето образование в Република България (2021—2030 г.)</w:t>
            </w:r>
          </w:p>
        </w:tc>
        <w:tc>
          <w:tcPr>
            <w:tcW w:w="1390" w:type="dxa"/>
            <w:tcBorders>
              <w:top w:val="nil"/>
              <w:left w:val="nil"/>
              <w:bottom w:val="single" w:sz="4" w:space="0" w:color="auto"/>
              <w:right w:val="single" w:sz="4" w:space="0" w:color="auto"/>
            </w:tcBorders>
            <w:shd w:val="clear" w:color="auto" w:fill="C6EFCE"/>
            <w:noWrap/>
          </w:tcPr>
          <w:p w14:paraId="5E8EE72A" w14:textId="77777777" w:rsidR="006E1228" w:rsidRPr="00D26611" w:rsidRDefault="006E1228" w:rsidP="00C937A7">
            <w:pPr>
              <w:spacing w:after="0"/>
              <w:rPr>
                <w:rFonts w:ascii="Times New Roman" w:hAnsi="Times New Roman" w:cs="Times New Roman"/>
                <w:noProof/>
                <w:color w:val="006100"/>
                <w:sz w:val="20"/>
                <w:szCs w:val="20"/>
              </w:rPr>
            </w:pPr>
            <w:r>
              <w:rPr>
                <w:rFonts w:ascii="Times New Roman" w:hAnsi="Times New Roman"/>
                <w:noProof/>
                <w:color w:val="006100"/>
                <w:sz w:val="20"/>
              </w:rPr>
              <w:t xml:space="preserve">Приемане от Министерския съвет </w:t>
            </w:r>
          </w:p>
        </w:tc>
        <w:tc>
          <w:tcPr>
            <w:tcW w:w="850" w:type="dxa"/>
            <w:tcBorders>
              <w:top w:val="nil"/>
              <w:left w:val="nil"/>
              <w:bottom w:val="single" w:sz="4" w:space="0" w:color="auto"/>
              <w:right w:val="single" w:sz="4" w:space="0" w:color="auto"/>
            </w:tcBorders>
            <w:shd w:val="clear" w:color="auto" w:fill="C6EFCE"/>
            <w:noWrap/>
          </w:tcPr>
          <w:p w14:paraId="2B472D18" w14:textId="77777777" w:rsidR="006E1228" w:rsidRPr="00D26611" w:rsidRDefault="006E1228" w:rsidP="00C937A7">
            <w:pPr>
              <w:spacing w:after="0"/>
              <w:rPr>
                <w:rFonts w:ascii="Times New Roman" w:eastAsia="Times New Roman" w:hAnsi="Times New Roman" w:cs="Times New Roman"/>
                <w:noProof/>
                <w:color w:val="006100"/>
                <w:sz w:val="20"/>
                <w:szCs w:val="20"/>
                <w:lang w:val="en-US" w:eastAsia="en-GB"/>
              </w:rPr>
            </w:pPr>
          </w:p>
        </w:tc>
        <w:tc>
          <w:tcPr>
            <w:tcW w:w="879" w:type="dxa"/>
            <w:tcBorders>
              <w:top w:val="nil"/>
              <w:left w:val="nil"/>
              <w:bottom w:val="single" w:sz="4" w:space="0" w:color="auto"/>
              <w:right w:val="single" w:sz="4" w:space="0" w:color="auto"/>
            </w:tcBorders>
            <w:shd w:val="clear" w:color="auto" w:fill="C6EFCE"/>
            <w:noWrap/>
          </w:tcPr>
          <w:p w14:paraId="6499CEB4" w14:textId="77777777" w:rsidR="006E1228" w:rsidRPr="00D26611" w:rsidRDefault="006E1228" w:rsidP="00C937A7">
            <w:pPr>
              <w:spacing w:after="0"/>
              <w:rPr>
                <w:rFonts w:ascii="Times New Roman" w:eastAsia="Calibri" w:hAnsi="Times New Roman" w:cs="Times New Roman"/>
                <w:noProof/>
                <w:color w:val="006100"/>
                <w:sz w:val="20"/>
                <w:szCs w:val="20"/>
                <w:lang w:val="en-US"/>
              </w:rPr>
            </w:pPr>
          </w:p>
        </w:tc>
        <w:tc>
          <w:tcPr>
            <w:tcW w:w="675" w:type="dxa"/>
            <w:tcBorders>
              <w:top w:val="nil"/>
              <w:left w:val="nil"/>
              <w:bottom w:val="single" w:sz="4" w:space="0" w:color="auto"/>
              <w:right w:val="single" w:sz="4" w:space="0" w:color="auto"/>
            </w:tcBorders>
            <w:shd w:val="clear" w:color="auto" w:fill="C6EFCE"/>
            <w:noWrap/>
          </w:tcPr>
          <w:p w14:paraId="7B9BB930" w14:textId="77777777" w:rsidR="006E1228" w:rsidRPr="00D26611" w:rsidRDefault="006E1228" w:rsidP="00C937A7">
            <w:pPr>
              <w:spacing w:after="0"/>
              <w:rPr>
                <w:rFonts w:ascii="Times New Roman" w:eastAsia="Calibri" w:hAnsi="Times New Roman" w:cs="Times New Roman"/>
                <w:noProof/>
                <w:color w:val="006100"/>
                <w:sz w:val="20"/>
                <w:szCs w:val="20"/>
                <w:lang w:val="en-US"/>
              </w:rPr>
            </w:pPr>
          </w:p>
        </w:tc>
        <w:tc>
          <w:tcPr>
            <w:tcW w:w="851" w:type="dxa"/>
            <w:tcBorders>
              <w:top w:val="nil"/>
              <w:left w:val="nil"/>
              <w:bottom w:val="single" w:sz="4" w:space="0" w:color="auto"/>
              <w:right w:val="single" w:sz="4" w:space="0" w:color="auto"/>
            </w:tcBorders>
            <w:shd w:val="clear" w:color="auto" w:fill="C6EFCE"/>
            <w:noWrap/>
          </w:tcPr>
          <w:p w14:paraId="201C5290" w14:textId="26655054" w:rsidR="006E1228" w:rsidRPr="00D26611" w:rsidRDefault="006E1228" w:rsidP="00C937A7">
            <w:pPr>
              <w:spacing w:after="0"/>
              <w:rPr>
                <w:rFonts w:ascii="Times New Roman" w:hAnsi="Times New Roman" w:cs="Times New Roman"/>
                <w:noProof/>
                <w:color w:val="006100"/>
                <w:sz w:val="20"/>
                <w:szCs w:val="20"/>
              </w:rPr>
            </w:pPr>
            <w:r>
              <w:rPr>
                <w:rFonts w:ascii="Times New Roman" w:hAnsi="Times New Roman"/>
                <w:noProof/>
                <w:color w:val="006100"/>
                <w:sz w:val="20"/>
              </w:rPr>
              <w:t>T4</w:t>
            </w:r>
          </w:p>
        </w:tc>
        <w:tc>
          <w:tcPr>
            <w:tcW w:w="742" w:type="dxa"/>
            <w:tcBorders>
              <w:top w:val="nil"/>
              <w:left w:val="nil"/>
              <w:bottom w:val="single" w:sz="4" w:space="0" w:color="auto"/>
              <w:right w:val="single" w:sz="4" w:space="0" w:color="auto"/>
            </w:tcBorders>
            <w:shd w:val="clear" w:color="auto" w:fill="C6EFCE"/>
            <w:noWrap/>
          </w:tcPr>
          <w:p w14:paraId="799815FB" w14:textId="795D99B8" w:rsidR="006E1228" w:rsidRPr="00D26611" w:rsidRDefault="006E1228" w:rsidP="00C937A7">
            <w:pPr>
              <w:spacing w:after="0"/>
              <w:rPr>
                <w:rFonts w:ascii="Times New Roman" w:hAnsi="Times New Roman" w:cs="Times New Roman"/>
                <w:noProof/>
                <w:color w:val="006100"/>
                <w:sz w:val="20"/>
                <w:szCs w:val="20"/>
              </w:rPr>
            </w:pPr>
            <w:r>
              <w:rPr>
                <w:rFonts w:ascii="Times New Roman" w:hAnsi="Times New Roman"/>
                <w:noProof/>
                <w:color w:val="006100"/>
                <w:sz w:val="20"/>
              </w:rPr>
              <w:t>2022</w:t>
            </w:r>
          </w:p>
        </w:tc>
        <w:tc>
          <w:tcPr>
            <w:tcW w:w="4650" w:type="dxa"/>
            <w:tcBorders>
              <w:top w:val="nil"/>
              <w:left w:val="nil"/>
              <w:bottom w:val="single" w:sz="4" w:space="0" w:color="auto"/>
              <w:right w:val="single" w:sz="4" w:space="0" w:color="auto"/>
            </w:tcBorders>
            <w:shd w:val="clear" w:color="auto" w:fill="C6EFCE"/>
            <w:noWrap/>
          </w:tcPr>
          <w:p w14:paraId="5A903CD0" w14:textId="00EE7AE0" w:rsidR="006E1228" w:rsidRPr="00D26611" w:rsidRDefault="006E1228" w:rsidP="00C937A7">
            <w:pPr>
              <w:spacing w:after="0"/>
              <w:rPr>
                <w:rFonts w:ascii="Times New Roman" w:hAnsi="Times New Roman" w:cs="Times New Roman"/>
                <w:noProof/>
                <w:color w:val="006100"/>
                <w:sz w:val="20"/>
                <w:szCs w:val="20"/>
              </w:rPr>
            </w:pPr>
            <w:r>
              <w:rPr>
                <w:rFonts w:ascii="Times New Roman" w:hAnsi="Times New Roman"/>
                <w:noProof/>
                <w:color w:val="006100"/>
                <w:sz w:val="20"/>
              </w:rPr>
              <w:t>В Плана за действие за изпълнение на Стратегията за развитие на висшето образование в Република България 2021—2030 г. се формулират мерки и действия, в т.ч. график, за постигане целите на стратегията.</w:t>
            </w:r>
          </w:p>
          <w:p w14:paraId="6A79D080" w14:textId="77777777" w:rsidR="006E1228" w:rsidRPr="008A0F8A" w:rsidRDefault="006E1228" w:rsidP="00C937A7">
            <w:pPr>
              <w:spacing w:after="0"/>
              <w:rPr>
                <w:rFonts w:ascii="Times New Roman" w:hAnsi="Times New Roman" w:cs="Times New Roman"/>
                <w:noProof/>
                <w:color w:val="006100"/>
                <w:sz w:val="20"/>
                <w:szCs w:val="20"/>
                <w:lang w:val="ru-RU"/>
              </w:rPr>
            </w:pPr>
          </w:p>
          <w:p w14:paraId="5E40AFA4" w14:textId="77777777" w:rsidR="006E1228" w:rsidRPr="00D26611" w:rsidRDefault="006E1228"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Целите на стратегията ще включват:</w:t>
            </w:r>
          </w:p>
          <w:p w14:paraId="729F0B0E" w14:textId="77777777" w:rsidR="006E1228" w:rsidRPr="00D26611" w:rsidRDefault="006E1228" w:rsidP="000A75C5">
            <w:pPr>
              <w:pStyle w:val="ListParagraph"/>
              <w:numPr>
                <w:ilvl w:val="0"/>
                <w:numId w:val="3"/>
              </w:numPr>
              <w:spacing w:after="0" w:line="240" w:lineRule="auto"/>
              <w:ind w:left="252" w:hanging="141"/>
              <w:rPr>
                <w:rFonts w:ascii="Times New Roman" w:hAnsi="Times New Roman" w:cs="Times New Roman"/>
                <w:noProof/>
                <w:color w:val="006100"/>
                <w:sz w:val="20"/>
                <w:szCs w:val="20"/>
              </w:rPr>
            </w:pPr>
            <w:r>
              <w:rPr>
                <w:rFonts w:ascii="Times New Roman" w:hAnsi="Times New Roman"/>
                <w:noProof/>
                <w:color w:val="006100"/>
                <w:sz w:val="20"/>
              </w:rPr>
              <w:t>разработване на механизъм за актуализиране на съществуващите и разработване на нови учебни програми;</w:t>
            </w:r>
          </w:p>
          <w:p w14:paraId="5A78082D" w14:textId="77777777" w:rsidR="006E1228" w:rsidRPr="00D26611" w:rsidRDefault="006E1228" w:rsidP="000A75C5">
            <w:pPr>
              <w:pStyle w:val="ListParagraph"/>
              <w:numPr>
                <w:ilvl w:val="0"/>
                <w:numId w:val="3"/>
              </w:numPr>
              <w:spacing w:after="0" w:line="240" w:lineRule="auto"/>
              <w:ind w:left="252" w:hanging="141"/>
              <w:rPr>
                <w:rFonts w:ascii="Times New Roman" w:hAnsi="Times New Roman" w:cs="Times New Roman"/>
                <w:noProof/>
                <w:color w:val="006100"/>
                <w:sz w:val="20"/>
                <w:szCs w:val="20"/>
              </w:rPr>
            </w:pPr>
            <w:r>
              <w:rPr>
                <w:rFonts w:ascii="Times New Roman" w:hAnsi="Times New Roman"/>
                <w:noProof/>
                <w:color w:val="006100"/>
                <w:sz w:val="20"/>
              </w:rPr>
              <w:t>преразглеждане на съществуващите разпоредби относно контролирания от държавата субсидиран достъп до публичните висши учебни заведения. Промените ще се извършват в съответствие с националната и регионалната конюнктура на пазара на труда;</w:t>
            </w:r>
          </w:p>
          <w:p w14:paraId="49DE9C5C" w14:textId="77777777" w:rsidR="006E1228" w:rsidRPr="00D26611" w:rsidRDefault="006E1228" w:rsidP="000A75C5">
            <w:pPr>
              <w:pStyle w:val="ListParagraph"/>
              <w:numPr>
                <w:ilvl w:val="0"/>
                <w:numId w:val="3"/>
              </w:numPr>
              <w:spacing w:after="0" w:line="240" w:lineRule="auto"/>
              <w:ind w:left="252" w:hanging="141"/>
              <w:rPr>
                <w:rFonts w:ascii="Times New Roman" w:hAnsi="Times New Roman" w:cs="Times New Roman"/>
                <w:noProof/>
                <w:color w:val="006100"/>
                <w:sz w:val="20"/>
                <w:szCs w:val="20"/>
              </w:rPr>
            </w:pPr>
            <w:r>
              <w:rPr>
                <w:rFonts w:ascii="Times New Roman" w:hAnsi="Times New Roman"/>
                <w:noProof/>
                <w:color w:val="006100"/>
                <w:sz w:val="20"/>
              </w:rPr>
              <w:t>подобряване на научните изследвания и насърчаване на висшето образование чрез изграждането на научни мрежи;</w:t>
            </w:r>
          </w:p>
          <w:p w14:paraId="7C21527B" w14:textId="77777777" w:rsidR="006E1228" w:rsidRPr="00D26611" w:rsidRDefault="006E1228" w:rsidP="000A75C5">
            <w:pPr>
              <w:pStyle w:val="ListParagraph"/>
              <w:numPr>
                <w:ilvl w:val="0"/>
                <w:numId w:val="3"/>
              </w:numPr>
              <w:spacing w:after="0" w:line="240" w:lineRule="auto"/>
              <w:ind w:left="252" w:hanging="141"/>
              <w:rPr>
                <w:rFonts w:ascii="Times New Roman" w:hAnsi="Times New Roman" w:cs="Times New Roman"/>
                <w:noProof/>
                <w:color w:val="006100"/>
                <w:sz w:val="20"/>
                <w:szCs w:val="20"/>
              </w:rPr>
            </w:pPr>
            <w:r>
              <w:rPr>
                <w:rFonts w:ascii="Times New Roman" w:hAnsi="Times New Roman"/>
                <w:noProof/>
                <w:color w:val="006100"/>
                <w:sz w:val="20"/>
              </w:rPr>
              <w:t>въвеждане на допълнителни специализации и програми за висше образование с двойни дипломи;</w:t>
            </w:r>
          </w:p>
          <w:p w14:paraId="25662974" w14:textId="77777777" w:rsidR="006E1228" w:rsidRPr="00D26611" w:rsidRDefault="006E1228" w:rsidP="000A75C5">
            <w:pPr>
              <w:pStyle w:val="ListParagraph"/>
              <w:numPr>
                <w:ilvl w:val="0"/>
                <w:numId w:val="3"/>
              </w:numPr>
              <w:spacing w:after="0" w:line="240" w:lineRule="auto"/>
              <w:ind w:left="252" w:hanging="141"/>
              <w:rPr>
                <w:rFonts w:ascii="Times New Roman" w:hAnsi="Times New Roman" w:cs="Times New Roman"/>
                <w:noProof/>
                <w:color w:val="006100"/>
                <w:sz w:val="20"/>
                <w:szCs w:val="20"/>
              </w:rPr>
            </w:pPr>
            <w:r>
              <w:rPr>
                <w:rFonts w:ascii="Times New Roman" w:hAnsi="Times New Roman"/>
                <w:noProof/>
                <w:color w:val="006100"/>
                <w:sz w:val="20"/>
              </w:rPr>
              <w:t>създаване във висшите учебни заведения на обучителни центрове за учене през целия живот.</w:t>
            </w:r>
          </w:p>
        </w:tc>
      </w:tr>
      <w:tr w:rsidR="006E1228" w:rsidRPr="005241FC" w14:paraId="142FC5F9" w14:textId="77777777" w:rsidTr="008E16C0">
        <w:trPr>
          <w:trHeight w:val="309"/>
        </w:trPr>
        <w:tc>
          <w:tcPr>
            <w:tcW w:w="709" w:type="dxa"/>
            <w:tcBorders>
              <w:top w:val="nil"/>
              <w:left w:val="single" w:sz="4" w:space="0" w:color="auto"/>
              <w:bottom w:val="single" w:sz="4" w:space="0" w:color="auto"/>
              <w:right w:val="single" w:sz="4" w:space="0" w:color="auto"/>
            </w:tcBorders>
            <w:shd w:val="clear" w:color="auto" w:fill="C6EFCE"/>
            <w:noWrap/>
          </w:tcPr>
          <w:p w14:paraId="4ECD787F" w14:textId="05E93580" w:rsidR="006E1228" w:rsidRPr="00D26611" w:rsidRDefault="006E1228" w:rsidP="00C937A7">
            <w:pPr>
              <w:spacing w:after="0"/>
              <w:rPr>
                <w:rFonts w:ascii="Times New Roman" w:eastAsia="Times New Roman" w:hAnsi="Times New Roman" w:cs="Times New Roman"/>
                <w:noProof/>
                <w:sz w:val="20"/>
                <w:szCs w:val="20"/>
              </w:rPr>
            </w:pPr>
            <w:r>
              <w:rPr>
                <w:rFonts w:ascii="Times New Roman" w:hAnsi="Times New Roman"/>
                <w:noProof/>
                <w:color w:val="006100"/>
                <w:sz w:val="20"/>
              </w:rPr>
              <w:t>8</w:t>
            </w:r>
          </w:p>
        </w:tc>
        <w:tc>
          <w:tcPr>
            <w:tcW w:w="1587" w:type="dxa"/>
            <w:tcBorders>
              <w:top w:val="nil"/>
              <w:left w:val="nil"/>
              <w:bottom w:val="single" w:sz="4" w:space="0" w:color="auto"/>
              <w:right w:val="single" w:sz="4" w:space="0" w:color="auto"/>
            </w:tcBorders>
            <w:shd w:val="clear" w:color="auto" w:fill="C6EFCE"/>
            <w:noWrap/>
          </w:tcPr>
          <w:p w14:paraId="3B949028" w14:textId="77777777" w:rsidR="006E1228" w:rsidRPr="00D26611" w:rsidRDefault="006E1228" w:rsidP="00C937A7">
            <w:pPr>
              <w:spacing w:after="0"/>
              <w:rPr>
                <w:rFonts w:ascii="Times New Roman" w:hAnsi="Times New Roman" w:cs="Times New Roman"/>
                <w:noProof/>
                <w:color w:val="006100"/>
                <w:sz w:val="20"/>
                <w:szCs w:val="20"/>
              </w:rPr>
            </w:pPr>
            <w:r>
              <w:rPr>
                <w:rFonts w:ascii="Times New Roman" w:hAnsi="Times New Roman"/>
                <w:noProof/>
                <w:color w:val="006100"/>
                <w:sz w:val="20"/>
              </w:rPr>
              <w:t xml:space="preserve">К1.И1: </w:t>
            </w:r>
          </w:p>
          <w:p w14:paraId="4D6B1736" w14:textId="77777777"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Центрове за НТИМ и иновации в образованието</w:t>
            </w:r>
          </w:p>
        </w:tc>
        <w:tc>
          <w:tcPr>
            <w:tcW w:w="993" w:type="dxa"/>
            <w:tcBorders>
              <w:top w:val="nil"/>
              <w:left w:val="nil"/>
              <w:bottom w:val="single" w:sz="4" w:space="0" w:color="auto"/>
              <w:right w:val="single" w:sz="4" w:space="0" w:color="auto"/>
            </w:tcBorders>
            <w:shd w:val="clear" w:color="auto" w:fill="C6EFCE"/>
            <w:noWrap/>
          </w:tcPr>
          <w:p w14:paraId="206653CD" w14:textId="77777777"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984" w:type="dxa"/>
            <w:tcBorders>
              <w:top w:val="nil"/>
              <w:left w:val="nil"/>
              <w:bottom w:val="single" w:sz="4" w:space="0" w:color="auto"/>
              <w:right w:val="single" w:sz="4" w:space="0" w:color="auto"/>
            </w:tcBorders>
            <w:shd w:val="clear" w:color="auto" w:fill="C6EFCE"/>
            <w:noWrap/>
          </w:tcPr>
          <w:p w14:paraId="10A9A981" w14:textId="77777777" w:rsidR="006E1228" w:rsidRPr="00D26611" w:rsidRDefault="006E1228" w:rsidP="00C937A7">
            <w:pPr>
              <w:spacing w:after="0"/>
              <w:rPr>
                <w:rFonts w:ascii="Times New Roman" w:hAnsi="Times New Roman" w:cs="Times New Roman"/>
                <w:noProof/>
                <w:color w:val="006100"/>
                <w:sz w:val="20"/>
                <w:szCs w:val="20"/>
              </w:rPr>
            </w:pPr>
            <w:r>
              <w:rPr>
                <w:rFonts w:ascii="Times New Roman" w:hAnsi="Times New Roman"/>
                <w:noProof/>
                <w:color w:val="006100"/>
                <w:sz w:val="20"/>
              </w:rPr>
              <w:t xml:space="preserve">Създаване на национален център за НТИМ </w:t>
            </w:r>
          </w:p>
        </w:tc>
        <w:tc>
          <w:tcPr>
            <w:tcW w:w="1390" w:type="dxa"/>
            <w:tcBorders>
              <w:top w:val="nil"/>
              <w:left w:val="nil"/>
              <w:bottom w:val="single" w:sz="4" w:space="0" w:color="auto"/>
              <w:right w:val="single" w:sz="4" w:space="0" w:color="auto"/>
            </w:tcBorders>
            <w:shd w:val="clear" w:color="auto" w:fill="C6EFCE"/>
            <w:noWrap/>
          </w:tcPr>
          <w:p w14:paraId="57D87F05" w14:textId="1D35B52D" w:rsidR="006E1228" w:rsidRPr="00D26611" w:rsidRDefault="006E1228" w:rsidP="00C937A7">
            <w:pPr>
              <w:spacing w:after="0"/>
              <w:rPr>
                <w:rFonts w:ascii="Times New Roman" w:hAnsi="Times New Roman" w:cs="Times New Roman"/>
                <w:noProof/>
                <w:color w:val="006100"/>
                <w:sz w:val="20"/>
                <w:szCs w:val="20"/>
              </w:rPr>
            </w:pPr>
            <w:r>
              <w:rPr>
                <w:rFonts w:ascii="Times New Roman" w:hAnsi="Times New Roman"/>
                <w:noProof/>
                <w:color w:val="006100"/>
                <w:sz w:val="20"/>
              </w:rPr>
              <w:t xml:space="preserve">Разпоредба в националното законодателство, в която се посочва създаването на национален център за НТИМ </w:t>
            </w:r>
          </w:p>
        </w:tc>
        <w:tc>
          <w:tcPr>
            <w:tcW w:w="850" w:type="dxa"/>
            <w:tcBorders>
              <w:top w:val="nil"/>
              <w:left w:val="nil"/>
              <w:bottom w:val="single" w:sz="4" w:space="0" w:color="auto"/>
              <w:right w:val="single" w:sz="4" w:space="0" w:color="auto"/>
            </w:tcBorders>
            <w:shd w:val="clear" w:color="auto" w:fill="C6EFCE"/>
            <w:noWrap/>
          </w:tcPr>
          <w:p w14:paraId="278DD5C2" w14:textId="77777777" w:rsidR="006E1228" w:rsidRPr="008A0F8A" w:rsidRDefault="006E1228" w:rsidP="00C937A7">
            <w:pPr>
              <w:spacing w:after="0"/>
              <w:rPr>
                <w:rFonts w:ascii="Times New Roman" w:eastAsia="Times New Roman" w:hAnsi="Times New Roman" w:cs="Times New Roman"/>
                <w:noProof/>
                <w:color w:val="006100"/>
                <w:sz w:val="20"/>
                <w:szCs w:val="20"/>
                <w:lang w:val="ru-RU" w:eastAsia="en-GB"/>
              </w:rPr>
            </w:pPr>
          </w:p>
        </w:tc>
        <w:tc>
          <w:tcPr>
            <w:tcW w:w="879" w:type="dxa"/>
            <w:tcBorders>
              <w:top w:val="nil"/>
              <w:left w:val="nil"/>
              <w:bottom w:val="single" w:sz="4" w:space="0" w:color="auto"/>
              <w:right w:val="single" w:sz="4" w:space="0" w:color="auto"/>
            </w:tcBorders>
            <w:shd w:val="clear" w:color="auto" w:fill="C6EFCE"/>
            <w:noWrap/>
          </w:tcPr>
          <w:p w14:paraId="074E3F62" w14:textId="77777777" w:rsidR="006E1228" w:rsidRPr="008A0F8A" w:rsidRDefault="006E1228" w:rsidP="00C937A7">
            <w:pPr>
              <w:spacing w:after="0"/>
              <w:rPr>
                <w:rFonts w:ascii="Times New Roman" w:eastAsia="Times New Roman" w:hAnsi="Times New Roman" w:cs="Times New Roman"/>
                <w:noProof/>
                <w:color w:val="006100"/>
                <w:sz w:val="20"/>
                <w:szCs w:val="20"/>
                <w:lang w:val="ru-RU" w:eastAsia="en-GB"/>
              </w:rPr>
            </w:pPr>
          </w:p>
        </w:tc>
        <w:tc>
          <w:tcPr>
            <w:tcW w:w="675" w:type="dxa"/>
            <w:tcBorders>
              <w:top w:val="nil"/>
              <w:left w:val="nil"/>
              <w:bottom w:val="single" w:sz="4" w:space="0" w:color="auto"/>
              <w:right w:val="single" w:sz="4" w:space="0" w:color="auto"/>
            </w:tcBorders>
            <w:shd w:val="clear" w:color="auto" w:fill="C6EFCE"/>
            <w:noWrap/>
          </w:tcPr>
          <w:p w14:paraId="5FE24627" w14:textId="77777777" w:rsidR="006E1228" w:rsidRPr="008A0F8A" w:rsidRDefault="006E1228" w:rsidP="00C937A7">
            <w:pPr>
              <w:spacing w:after="0"/>
              <w:rPr>
                <w:rFonts w:ascii="Times New Roman" w:eastAsia="Times New Roman" w:hAnsi="Times New Roman" w:cs="Times New Roman"/>
                <w:noProof/>
                <w:color w:val="006100"/>
                <w:sz w:val="20"/>
                <w:szCs w:val="20"/>
                <w:lang w:val="ru-RU" w:eastAsia="en-GB"/>
              </w:rPr>
            </w:pPr>
          </w:p>
        </w:tc>
        <w:tc>
          <w:tcPr>
            <w:tcW w:w="851" w:type="dxa"/>
            <w:tcBorders>
              <w:top w:val="nil"/>
              <w:left w:val="nil"/>
              <w:bottom w:val="single" w:sz="4" w:space="0" w:color="auto"/>
              <w:right w:val="single" w:sz="4" w:space="0" w:color="auto"/>
            </w:tcBorders>
            <w:shd w:val="clear" w:color="auto" w:fill="C6EFCE"/>
            <w:noWrap/>
          </w:tcPr>
          <w:p w14:paraId="06AA1ED0" w14:textId="460D4779"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T4</w:t>
            </w:r>
          </w:p>
        </w:tc>
        <w:tc>
          <w:tcPr>
            <w:tcW w:w="742" w:type="dxa"/>
            <w:tcBorders>
              <w:top w:val="nil"/>
              <w:left w:val="nil"/>
              <w:bottom w:val="single" w:sz="4" w:space="0" w:color="auto"/>
              <w:right w:val="single" w:sz="4" w:space="0" w:color="auto"/>
            </w:tcBorders>
            <w:shd w:val="clear" w:color="auto" w:fill="C6EFCE"/>
            <w:noWrap/>
          </w:tcPr>
          <w:p w14:paraId="476CC078" w14:textId="77777777"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2022</w:t>
            </w:r>
          </w:p>
        </w:tc>
        <w:tc>
          <w:tcPr>
            <w:tcW w:w="4650" w:type="dxa"/>
            <w:tcBorders>
              <w:top w:val="nil"/>
              <w:left w:val="nil"/>
              <w:bottom w:val="single" w:sz="4" w:space="0" w:color="auto"/>
              <w:right w:val="single" w:sz="4" w:space="0" w:color="auto"/>
            </w:tcBorders>
            <w:shd w:val="clear" w:color="auto" w:fill="C6EFCE"/>
            <w:noWrap/>
          </w:tcPr>
          <w:p w14:paraId="32208A32" w14:textId="067BD051" w:rsidR="006E1228" w:rsidRPr="00D26611" w:rsidRDefault="006E1228"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 Основните задачи на националния център за НТИМ са: </w:t>
            </w:r>
          </w:p>
          <w:p w14:paraId="25626866" w14:textId="77777777" w:rsidR="006E1228" w:rsidRPr="00D26611" w:rsidRDefault="006E1228" w:rsidP="000A75C5">
            <w:pPr>
              <w:pStyle w:val="ListParagraph"/>
              <w:numPr>
                <w:ilvl w:val="0"/>
                <w:numId w:val="3"/>
              </w:numPr>
              <w:spacing w:after="0" w:line="240" w:lineRule="auto"/>
              <w:ind w:left="252" w:hanging="141"/>
              <w:rPr>
                <w:rFonts w:ascii="Times New Roman" w:hAnsi="Times New Roman" w:cs="Times New Roman"/>
                <w:noProof/>
                <w:color w:val="006100"/>
                <w:sz w:val="20"/>
                <w:szCs w:val="20"/>
              </w:rPr>
            </w:pPr>
            <w:r>
              <w:rPr>
                <w:rFonts w:ascii="Times New Roman" w:hAnsi="Times New Roman"/>
                <w:noProof/>
                <w:color w:val="006100"/>
                <w:sz w:val="20"/>
              </w:rPr>
              <w:t>организиране на обучения на учители и други педагози;</w:t>
            </w:r>
          </w:p>
          <w:p w14:paraId="4B4BC86D" w14:textId="77777777" w:rsidR="006E1228" w:rsidRPr="00D26611" w:rsidRDefault="006E1228" w:rsidP="000A75C5">
            <w:pPr>
              <w:pStyle w:val="ListParagraph"/>
              <w:numPr>
                <w:ilvl w:val="0"/>
                <w:numId w:val="3"/>
              </w:numPr>
              <w:spacing w:after="0" w:line="240" w:lineRule="auto"/>
              <w:ind w:left="252" w:hanging="141"/>
              <w:rPr>
                <w:rFonts w:ascii="Times New Roman" w:hAnsi="Times New Roman" w:cs="Times New Roman"/>
                <w:noProof/>
                <w:color w:val="006100"/>
                <w:sz w:val="20"/>
                <w:szCs w:val="20"/>
              </w:rPr>
            </w:pPr>
            <w:r>
              <w:rPr>
                <w:rFonts w:ascii="Times New Roman" w:hAnsi="Times New Roman"/>
                <w:noProof/>
                <w:color w:val="006100"/>
                <w:sz w:val="20"/>
              </w:rPr>
              <w:t>разработване на учебни материали и създаване и поддръжка на електронен портал и библиотека с публично достъпни образователни ресурси;</w:t>
            </w:r>
          </w:p>
          <w:p w14:paraId="3554E05B" w14:textId="77777777" w:rsidR="006E1228" w:rsidRPr="00D26611" w:rsidRDefault="006E1228" w:rsidP="000A75C5">
            <w:pPr>
              <w:pStyle w:val="ListParagraph"/>
              <w:numPr>
                <w:ilvl w:val="0"/>
                <w:numId w:val="3"/>
              </w:numPr>
              <w:spacing w:after="0" w:line="240" w:lineRule="auto"/>
              <w:ind w:left="252" w:hanging="141"/>
              <w:rPr>
                <w:rFonts w:ascii="Times New Roman" w:hAnsi="Times New Roman" w:cs="Times New Roman"/>
                <w:noProof/>
                <w:color w:val="006100"/>
                <w:sz w:val="20"/>
                <w:szCs w:val="20"/>
              </w:rPr>
            </w:pPr>
            <w:r>
              <w:rPr>
                <w:rFonts w:ascii="Times New Roman" w:hAnsi="Times New Roman"/>
                <w:noProof/>
                <w:color w:val="006100"/>
                <w:sz w:val="20"/>
              </w:rPr>
              <w:t>координиране и подпомагане на студентските дейности в областта на НТИМ, в т.ч. участие в олимпиади.</w:t>
            </w:r>
          </w:p>
        </w:tc>
      </w:tr>
      <w:tr w:rsidR="006E1228" w:rsidRPr="005241FC" w14:paraId="65305EB9" w14:textId="77777777" w:rsidTr="008E16C0">
        <w:trPr>
          <w:trHeight w:val="309"/>
        </w:trPr>
        <w:tc>
          <w:tcPr>
            <w:tcW w:w="709" w:type="dxa"/>
            <w:tcBorders>
              <w:top w:val="nil"/>
              <w:left w:val="single" w:sz="4" w:space="0" w:color="auto"/>
              <w:bottom w:val="single" w:sz="4" w:space="0" w:color="auto"/>
              <w:right w:val="single" w:sz="4" w:space="0" w:color="auto"/>
            </w:tcBorders>
            <w:shd w:val="clear" w:color="auto" w:fill="C6EFCE"/>
            <w:noWrap/>
          </w:tcPr>
          <w:p w14:paraId="07CA9CCE" w14:textId="7ECE1D98" w:rsidR="006E1228" w:rsidRPr="00D26611" w:rsidRDefault="006E1228" w:rsidP="00C937A7">
            <w:pPr>
              <w:spacing w:after="0"/>
              <w:rPr>
                <w:rFonts w:ascii="Times New Roman" w:hAnsi="Times New Roman" w:cs="Times New Roman"/>
                <w:noProof/>
                <w:color w:val="006100"/>
                <w:sz w:val="20"/>
                <w:szCs w:val="20"/>
              </w:rPr>
            </w:pPr>
            <w:r>
              <w:rPr>
                <w:rFonts w:ascii="Times New Roman" w:hAnsi="Times New Roman"/>
                <w:noProof/>
                <w:color w:val="006100"/>
                <w:sz w:val="20"/>
              </w:rPr>
              <w:t>9</w:t>
            </w:r>
          </w:p>
        </w:tc>
        <w:tc>
          <w:tcPr>
            <w:tcW w:w="1587" w:type="dxa"/>
            <w:tcBorders>
              <w:top w:val="nil"/>
              <w:left w:val="nil"/>
              <w:bottom w:val="single" w:sz="4" w:space="0" w:color="auto"/>
              <w:right w:val="single" w:sz="4" w:space="0" w:color="auto"/>
            </w:tcBorders>
            <w:shd w:val="clear" w:color="auto" w:fill="C6EFCE"/>
            <w:noWrap/>
          </w:tcPr>
          <w:p w14:paraId="02EE38EC" w14:textId="77777777" w:rsidR="006E1228" w:rsidRPr="00D26611" w:rsidRDefault="006E1228" w:rsidP="00C937A7">
            <w:pPr>
              <w:spacing w:after="0"/>
              <w:rPr>
                <w:rFonts w:ascii="Times New Roman" w:hAnsi="Times New Roman" w:cs="Times New Roman"/>
                <w:noProof/>
                <w:color w:val="006100"/>
                <w:sz w:val="20"/>
                <w:szCs w:val="20"/>
              </w:rPr>
            </w:pPr>
            <w:r>
              <w:rPr>
                <w:rFonts w:ascii="Times New Roman" w:hAnsi="Times New Roman"/>
                <w:noProof/>
                <w:color w:val="006100"/>
                <w:sz w:val="20"/>
              </w:rPr>
              <w:t xml:space="preserve">К1.И1: </w:t>
            </w:r>
          </w:p>
          <w:p w14:paraId="080A5E0D" w14:textId="77777777" w:rsidR="006E1228" w:rsidRPr="00D26611" w:rsidRDefault="006E1228" w:rsidP="00C937A7">
            <w:pPr>
              <w:spacing w:after="0"/>
              <w:rPr>
                <w:rFonts w:ascii="Times New Roman" w:hAnsi="Times New Roman" w:cs="Times New Roman"/>
                <w:noProof/>
                <w:color w:val="006100"/>
                <w:sz w:val="20"/>
                <w:szCs w:val="20"/>
              </w:rPr>
            </w:pPr>
            <w:r>
              <w:rPr>
                <w:rFonts w:ascii="Times New Roman" w:hAnsi="Times New Roman"/>
                <w:noProof/>
                <w:color w:val="006100"/>
                <w:sz w:val="20"/>
              </w:rPr>
              <w:t>Центрове за НТИМ и иновации в образованието</w:t>
            </w:r>
          </w:p>
        </w:tc>
        <w:tc>
          <w:tcPr>
            <w:tcW w:w="993" w:type="dxa"/>
            <w:tcBorders>
              <w:top w:val="nil"/>
              <w:left w:val="nil"/>
              <w:bottom w:val="single" w:sz="4" w:space="0" w:color="auto"/>
              <w:right w:val="single" w:sz="4" w:space="0" w:color="auto"/>
            </w:tcBorders>
            <w:shd w:val="clear" w:color="auto" w:fill="C6EFCE"/>
            <w:noWrap/>
          </w:tcPr>
          <w:p w14:paraId="10C6C190" w14:textId="77777777" w:rsidR="006E1228" w:rsidRPr="00D26611" w:rsidRDefault="006E1228" w:rsidP="00C937A7">
            <w:pPr>
              <w:spacing w:after="0"/>
              <w:rPr>
                <w:rFonts w:ascii="Times New Roman" w:hAnsi="Times New Roman" w:cs="Times New Roman"/>
                <w:noProof/>
                <w:color w:val="006100"/>
                <w:sz w:val="20"/>
                <w:szCs w:val="20"/>
              </w:rPr>
            </w:pPr>
            <w:r>
              <w:rPr>
                <w:rFonts w:ascii="Times New Roman" w:hAnsi="Times New Roman"/>
                <w:noProof/>
                <w:color w:val="006100"/>
                <w:sz w:val="20"/>
              </w:rPr>
              <w:t>Ключов етап</w:t>
            </w:r>
          </w:p>
        </w:tc>
        <w:tc>
          <w:tcPr>
            <w:tcW w:w="1984" w:type="dxa"/>
            <w:tcBorders>
              <w:top w:val="nil"/>
              <w:left w:val="nil"/>
              <w:bottom w:val="single" w:sz="4" w:space="0" w:color="auto"/>
              <w:right w:val="single" w:sz="4" w:space="0" w:color="auto"/>
            </w:tcBorders>
            <w:shd w:val="clear" w:color="auto" w:fill="C6EFCE"/>
            <w:noWrap/>
          </w:tcPr>
          <w:p w14:paraId="33FC7B8F" w14:textId="3074493A" w:rsidR="006E1228" w:rsidRPr="00D26611" w:rsidRDefault="006E1228" w:rsidP="00C937A7">
            <w:pPr>
              <w:spacing w:after="0"/>
              <w:rPr>
                <w:rFonts w:ascii="Times New Roman" w:hAnsi="Times New Roman" w:cs="Times New Roman"/>
                <w:noProof/>
                <w:color w:val="006100"/>
                <w:sz w:val="20"/>
                <w:szCs w:val="20"/>
              </w:rPr>
            </w:pPr>
            <w:r>
              <w:rPr>
                <w:rFonts w:ascii="Times New Roman" w:hAnsi="Times New Roman"/>
                <w:noProof/>
                <w:color w:val="006100"/>
                <w:sz w:val="20"/>
              </w:rPr>
              <w:t>Подписване на договори за изграждане или обновяване на национални и регионални центрове за НТИМ и на лаборатории за НТИМ в училищата</w:t>
            </w:r>
          </w:p>
        </w:tc>
        <w:tc>
          <w:tcPr>
            <w:tcW w:w="1390" w:type="dxa"/>
            <w:tcBorders>
              <w:top w:val="nil"/>
              <w:left w:val="nil"/>
              <w:bottom w:val="single" w:sz="4" w:space="0" w:color="auto"/>
              <w:right w:val="single" w:sz="4" w:space="0" w:color="auto"/>
            </w:tcBorders>
            <w:shd w:val="clear" w:color="auto" w:fill="C6EFCE"/>
            <w:noWrap/>
          </w:tcPr>
          <w:p w14:paraId="781CE7C3" w14:textId="77777777" w:rsidR="006E1228" w:rsidRPr="00D26611" w:rsidRDefault="006E1228" w:rsidP="00C937A7">
            <w:pPr>
              <w:spacing w:after="0"/>
              <w:rPr>
                <w:rFonts w:ascii="Times New Roman" w:hAnsi="Times New Roman" w:cs="Times New Roman"/>
                <w:noProof/>
                <w:color w:val="006100"/>
                <w:sz w:val="20"/>
                <w:szCs w:val="20"/>
              </w:rPr>
            </w:pPr>
            <w:r>
              <w:rPr>
                <w:rFonts w:ascii="Times New Roman" w:hAnsi="Times New Roman"/>
                <w:noProof/>
                <w:color w:val="006100"/>
                <w:sz w:val="20"/>
              </w:rPr>
              <w:t>Сключени договори</w:t>
            </w:r>
          </w:p>
        </w:tc>
        <w:tc>
          <w:tcPr>
            <w:tcW w:w="850" w:type="dxa"/>
            <w:tcBorders>
              <w:top w:val="nil"/>
              <w:left w:val="nil"/>
              <w:bottom w:val="single" w:sz="4" w:space="0" w:color="auto"/>
              <w:right w:val="single" w:sz="4" w:space="0" w:color="auto"/>
            </w:tcBorders>
            <w:shd w:val="clear" w:color="auto" w:fill="C6EFCE"/>
            <w:noWrap/>
          </w:tcPr>
          <w:p w14:paraId="07F41EFD" w14:textId="77777777" w:rsidR="006E1228" w:rsidRPr="00D26611" w:rsidRDefault="006E1228" w:rsidP="00C937A7">
            <w:pPr>
              <w:spacing w:after="0"/>
              <w:rPr>
                <w:rFonts w:ascii="Times New Roman" w:hAnsi="Times New Roman" w:cs="Times New Roman"/>
                <w:noProof/>
                <w:color w:val="006100"/>
                <w:sz w:val="20"/>
                <w:szCs w:val="20"/>
                <w:lang w:val="en-US"/>
              </w:rPr>
            </w:pPr>
          </w:p>
        </w:tc>
        <w:tc>
          <w:tcPr>
            <w:tcW w:w="879" w:type="dxa"/>
            <w:tcBorders>
              <w:top w:val="nil"/>
              <w:left w:val="nil"/>
              <w:bottom w:val="single" w:sz="4" w:space="0" w:color="auto"/>
              <w:right w:val="single" w:sz="4" w:space="0" w:color="auto"/>
            </w:tcBorders>
            <w:shd w:val="clear" w:color="auto" w:fill="C6EFCE"/>
            <w:noWrap/>
          </w:tcPr>
          <w:p w14:paraId="3B55846F" w14:textId="77777777" w:rsidR="006E1228" w:rsidRPr="00D26611" w:rsidRDefault="006E1228" w:rsidP="00C937A7">
            <w:pPr>
              <w:spacing w:after="0"/>
              <w:rPr>
                <w:rFonts w:ascii="Times New Roman" w:hAnsi="Times New Roman" w:cs="Times New Roman"/>
                <w:noProof/>
                <w:color w:val="006100"/>
                <w:sz w:val="20"/>
                <w:szCs w:val="20"/>
                <w:lang w:val="en-US"/>
              </w:rPr>
            </w:pPr>
          </w:p>
        </w:tc>
        <w:tc>
          <w:tcPr>
            <w:tcW w:w="675" w:type="dxa"/>
            <w:tcBorders>
              <w:top w:val="nil"/>
              <w:left w:val="nil"/>
              <w:bottom w:val="single" w:sz="4" w:space="0" w:color="auto"/>
              <w:right w:val="single" w:sz="4" w:space="0" w:color="auto"/>
            </w:tcBorders>
            <w:shd w:val="clear" w:color="auto" w:fill="C6EFCE"/>
            <w:noWrap/>
          </w:tcPr>
          <w:p w14:paraId="5AC67CD3" w14:textId="77777777" w:rsidR="006E1228" w:rsidRPr="00D26611" w:rsidRDefault="006E1228" w:rsidP="00C937A7">
            <w:pPr>
              <w:spacing w:after="0"/>
              <w:rPr>
                <w:rFonts w:ascii="Times New Roman" w:hAnsi="Times New Roman" w:cs="Times New Roman"/>
                <w:noProof/>
                <w:color w:val="006100"/>
                <w:sz w:val="20"/>
                <w:szCs w:val="20"/>
                <w:lang w:val="en-US"/>
              </w:rPr>
            </w:pPr>
          </w:p>
        </w:tc>
        <w:tc>
          <w:tcPr>
            <w:tcW w:w="851" w:type="dxa"/>
            <w:tcBorders>
              <w:top w:val="nil"/>
              <w:left w:val="nil"/>
              <w:bottom w:val="single" w:sz="4" w:space="0" w:color="auto"/>
              <w:right w:val="single" w:sz="4" w:space="0" w:color="auto"/>
            </w:tcBorders>
            <w:shd w:val="clear" w:color="auto" w:fill="C6EFCE"/>
            <w:noWrap/>
          </w:tcPr>
          <w:p w14:paraId="0BAF9714" w14:textId="56F3615B" w:rsidR="006E1228" w:rsidRPr="00D26611" w:rsidRDefault="006E1228" w:rsidP="00C937A7">
            <w:pPr>
              <w:spacing w:after="0"/>
              <w:rPr>
                <w:rFonts w:ascii="Times New Roman" w:hAnsi="Times New Roman" w:cs="Times New Roman"/>
                <w:noProof/>
                <w:color w:val="006100"/>
                <w:sz w:val="20"/>
                <w:szCs w:val="20"/>
              </w:rPr>
            </w:pPr>
            <w:r>
              <w:rPr>
                <w:rFonts w:ascii="Times New Roman" w:hAnsi="Times New Roman"/>
                <w:noProof/>
                <w:color w:val="006100"/>
                <w:sz w:val="20"/>
              </w:rPr>
              <w:t>T4</w:t>
            </w:r>
          </w:p>
        </w:tc>
        <w:tc>
          <w:tcPr>
            <w:tcW w:w="742" w:type="dxa"/>
            <w:tcBorders>
              <w:top w:val="nil"/>
              <w:left w:val="nil"/>
              <w:bottom w:val="single" w:sz="4" w:space="0" w:color="auto"/>
              <w:right w:val="single" w:sz="4" w:space="0" w:color="auto"/>
            </w:tcBorders>
            <w:shd w:val="clear" w:color="auto" w:fill="C6EFCE"/>
            <w:noWrap/>
          </w:tcPr>
          <w:p w14:paraId="6A43875F" w14:textId="77777777" w:rsidR="006E1228" w:rsidRPr="00D26611" w:rsidRDefault="006E1228" w:rsidP="00C937A7">
            <w:pPr>
              <w:spacing w:after="0"/>
              <w:rPr>
                <w:rFonts w:ascii="Times New Roman" w:hAnsi="Times New Roman" w:cs="Times New Roman"/>
                <w:noProof/>
                <w:color w:val="006100"/>
                <w:sz w:val="20"/>
                <w:szCs w:val="20"/>
              </w:rPr>
            </w:pPr>
            <w:r>
              <w:rPr>
                <w:rFonts w:ascii="Times New Roman" w:hAnsi="Times New Roman"/>
                <w:noProof/>
                <w:color w:val="006100"/>
                <w:sz w:val="20"/>
              </w:rPr>
              <w:t>2023</w:t>
            </w:r>
          </w:p>
        </w:tc>
        <w:tc>
          <w:tcPr>
            <w:tcW w:w="4650" w:type="dxa"/>
            <w:tcBorders>
              <w:top w:val="nil"/>
              <w:left w:val="nil"/>
              <w:bottom w:val="single" w:sz="4" w:space="0" w:color="auto"/>
              <w:right w:val="single" w:sz="4" w:space="0" w:color="auto"/>
            </w:tcBorders>
            <w:shd w:val="clear" w:color="auto" w:fill="C6EFCE"/>
            <w:noWrap/>
          </w:tcPr>
          <w:p w14:paraId="3BAD2EB0" w14:textId="4BE0C85C" w:rsidR="006E1228" w:rsidRPr="00D26611" w:rsidRDefault="006E1228"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Изпълнителите ще се подбират след успешно проведени процедури за възлагане на обществени поръчки. Договорите обхващат: </w:t>
            </w:r>
          </w:p>
          <w:p w14:paraId="537ECF13" w14:textId="195400FC" w:rsidR="006E1228" w:rsidRPr="00D26611" w:rsidRDefault="006E1228" w:rsidP="008C7BAD">
            <w:pPr>
              <w:pStyle w:val="ListParagraph"/>
              <w:numPr>
                <w:ilvl w:val="0"/>
                <w:numId w:val="3"/>
              </w:numPr>
              <w:spacing w:after="0" w:line="240" w:lineRule="auto"/>
              <w:ind w:left="252" w:hanging="141"/>
              <w:rPr>
                <w:rFonts w:ascii="Times New Roman" w:hAnsi="Times New Roman" w:cs="Times New Roman"/>
                <w:noProof/>
                <w:color w:val="006100"/>
                <w:sz w:val="20"/>
                <w:szCs w:val="20"/>
              </w:rPr>
            </w:pPr>
            <w:r>
              <w:rPr>
                <w:rFonts w:ascii="Times New Roman" w:hAnsi="Times New Roman"/>
                <w:noProof/>
                <w:color w:val="006100"/>
                <w:sz w:val="20"/>
              </w:rPr>
              <w:t>изграждане или обновяване на национален център за НТИМ и на три регионални центъра за НТИМ;</w:t>
            </w:r>
          </w:p>
          <w:p w14:paraId="42DAF687" w14:textId="0140E8DB" w:rsidR="006E1228" w:rsidRPr="00D26611" w:rsidRDefault="006E1228" w:rsidP="000A75C5">
            <w:pPr>
              <w:pStyle w:val="ListParagraph"/>
              <w:numPr>
                <w:ilvl w:val="0"/>
                <w:numId w:val="3"/>
              </w:numPr>
              <w:spacing w:after="0" w:line="240" w:lineRule="auto"/>
              <w:ind w:left="252" w:hanging="141"/>
              <w:rPr>
                <w:rFonts w:ascii="Times New Roman" w:hAnsi="Times New Roman" w:cs="Times New Roman"/>
                <w:noProof/>
                <w:color w:val="006100"/>
                <w:sz w:val="20"/>
                <w:szCs w:val="20"/>
              </w:rPr>
            </w:pPr>
            <w:r>
              <w:rPr>
                <w:rFonts w:ascii="Times New Roman" w:hAnsi="Times New Roman"/>
                <w:noProof/>
                <w:color w:val="006100"/>
                <w:sz w:val="20"/>
              </w:rPr>
              <w:t>изграждане или обновяване на лаборатории за НТИМ в училищата, в т.ч. на класни стаи с достъп до високи технологии.</w:t>
            </w:r>
          </w:p>
        </w:tc>
      </w:tr>
      <w:tr w:rsidR="006E1228" w:rsidRPr="005241FC" w14:paraId="6F02447B" w14:textId="77777777" w:rsidTr="008E16C0">
        <w:trPr>
          <w:trHeight w:val="309"/>
        </w:trPr>
        <w:tc>
          <w:tcPr>
            <w:tcW w:w="709" w:type="dxa"/>
            <w:tcBorders>
              <w:top w:val="nil"/>
              <w:left w:val="single" w:sz="4" w:space="0" w:color="auto"/>
              <w:bottom w:val="single" w:sz="4" w:space="0" w:color="auto"/>
              <w:right w:val="single" w:sz="4" w:space="0" w:color="auto"/>
            </w:tcBorders>
            <w:shd w:val="clear" w:color="auto" w:fill="C6EFCE"/>
            <w:noWrap/>
          </w:tcPr>
          <w:p w14:paraId="0BAEDC91" w14:textId="0BD51F46"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10</w:t>
            </w:r>
          </w:p>
        </w:tc>
        <w:tc>
          <w:tcPr>
            <w:tcW w:w="1587" w:type="dxa"/>
            <w:tcBorders>
              <w:top w:val="nil"/>
              <w:left w:val="nil"/>
              <w:bottom w:val="single" w:sz="4" w:space="0" w:color="auto"/>
              <w:right w:val="single" w:sz="4" w:space="0" w:color="auto"/>
            </w:tcBorders>
            <w:shd w:val="clear" w:color="auto" w:fill="C6EFCE"/>
            <w:noWrap/>
          </w:tcPr>
          <w:p w14:paraId="4E5055BB" w14:textId="77777777" w:rsidR="006E1228" w:rsidRPr="00D26611" w:rsidRDefault="006E1228" w:rsidP="00C937A7">
            <w:pPr>
              <w:spacing w:after="0"/>
              <w:rPr>
                <w:rFonts w:ascii="Times New Roman" w:hAnsi="Times New Roman" w:cs="Times New Roman"/>
                <w:noProof/>
                <w:color w:val="006100"/>
                <w:sz w:val="20"/>
                <w:szCs w:val="20"/>
              </w:rPr>
            </w:pPr>
            <w:r>
              <w:rPr>
                <w:rFonts w:ascii="Times New Roman" w:hAnsi="Times New Roman"/>
                <w:noProof/>
                <w:color w:val="006100"/>
                <w:sz w:val="20"/>
              </w:rPr>
              <w:t xml:space="preserve">К1.И1: </w:t>
            </w:r>
          </w:p>
          <w:p w14:paraId="7AF5C377" w14:textId="77777777"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Центрове за НТИМ и иновации в образованието</w:t>
            </w:r>
          </w:p>
        </w:tc>
        <w:tc>
          <w:tcPr>
            <w:tcW w:w="993" w:type="dxa"/>
            <w:tcBorders>
              <w:top w:val="nil"/>
              <w:left w:val="nil"/>
              <w:bottom w:val="single" w:sz="4" w:space="0" w:color="auto"/>
              <w:right w:val="single" w:sz="4" w:space="0" w:color="auto"/>
            </w:tcBorders>
            <w:shd w:val="clear" w:color="auto" w:fill="C6EFCE"/>
            <w:noWrap/>
          </w:tcPr>
          <w:p w14:paraId="4158B8F2" w14:textId="77777777"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Цел</w:t>
            </w:r>
          </w:p>
        </w:tc>
        <w:tc>
          <w:tcPr>
            <w:tcW w:w="1984" w:type="dxa"/>
            <w:tcBorders>
              <w:top w:val="nil"/>
              <w:left w:val="nil"/>
              <w:bottom w:val="single" w:sz="4" w:space="0" w:color="auto"/>
              <w:right w:val="single" w:sz="4" w:space="0" w:color="auto"/>
            </w:tcBorders>
            <w:shd w:val="clear" w:color="auto" w:fill="C6EFCE"/>
            <w:noWrap/>
          </w:tcPr>
          <w:p w14:paraId="03BBFA8D" w14:textId="46B685C9"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Приключване на изграждането и обновяването на националния и трите регионални центъра за НТИМ</w:t>
            </w:r>
          </w:p>
        </w:tc>
        <w:tc>
          <w:tcPr>
            <w:tcW w:w="1390" w:type="dxa"/>
            <w:tcBorders>
              <w:top w:val="nil"/>
              <w:left w:val="nil"/>
              <w:bottom w:val="single" w:sz="4" w:space="0" w:color="auto"/>
              <w:right w:val="single" w:sz="4" w:space="0" w:color="auto"/>
            </w:tcBorders>
            <w:shd w:val="clear" w:color="auto" w:fill="C6EFCE"/>
            <w:noWrap/>
          </w:tcPr>
          <w:p w14:paraId="5D87B682" w14:textId="77777777"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850" w:type="dxa"/>
            <w:tcBorders>
              <w:top w:val="nil"/>
              <w:left w:val="nil"/>
              <w:bottom w:val="single" w:sz="4" w:space="0" w:color="auto"/>
              <w:right w:val="single" w:sz="4" w:space="0" w:color="auto"/>
            </w:tcBorders>
            <w:shd w:val="clear" w:color="auto" w:fill="C6EFCE"/>
            <w:noWrap/>
          </w:tcPr>
          <w:p w14:paraId="3A717769" w14:textId="77777777"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Брой </w:t>
            </w:r>
          </w:p>
        </w:tc>
        <w:tc>
          <w:tcPr>
            <w:tcW w:w="879" w:type="dxa"/>
            <w:tcBorders>
              <w:top w:val="nil"/>
              <w:left w:val="nil"/>
              <w:bottom w:val="single" w:sz="4" w:space="0" w:color="auto"/>
              <w:right w:val="single" w:sz="4" w:space="0" w:color="auto"/>
            </w:tcBorders>
            <w:shd w:val="clear" w:color="auto" w:fill="C6EFCE"/>
            <w:noWrap/>
          </w:tcPr>
          <w:p w14:paraId="2DFEDD59" w14:textId="5DE37E43" w:rsidR="006E1228" w:rsidRPr="00D26611" w:rsidRDefault="006E1228" w:rsidP="00C937A7">
            <w:pPr>
              <w:spacing w:after="0"/>
              <w:rPr>
                <w:rFonts w:ascii="Times New Roman" w:hAnsi="Times New Roman" w:cs="Times New Roman"/>
                <w:noProof/>
                <w:color w:val="006100"/>
                <w:sz w:val="20"/>
                <w:szCs w:val="20"/>
              </w:rPr>
            </w:pPr>
            <w:r>
              <w:rPr>
                <w:rFonts w:ascii="Times New Roman" w:hAnsi="Times New Roman"/>
                <w:noProof/>
                <w:color w:val="006100"/>
                <w:sz w:val="20"/>
              </w:rPr>
              <w:t>0</w:t>
            </w:r>
          </w:p>
        </w:tc>
        <w:tc>
          <w:tcPr>
            <w:tcW w:w="675" w:type="dxa"/>
            <w:tcBorders>
              <w:top w:val="nil"/>
              <w:left w:val="nil"/>
              <w:bottom w:val="single" w:sz="4" w:space="0" w:color="auto"/>
              <w:right w:val="single" w:sz="4" w:space="0" w:color="auto"/>
            </w:tcBorders>
            <w:shd w:val="clear" w:color="auto" w:fill="C6EFCE"/>
            <w:noWrap/>
          </w:tcPr>
          <w:p w14:paraId="257E6FE2" w14:textId="77777777"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4</w:t>
            </w:r>
          </w:p>
        </w:tc>
        <w:tc>
          <w:tcPr>
            <w:tcW w:w="851" w:type="dxa"/>
            <w:tcBorders>
              <w:top w:val="nil"/>
              <w:left w:val="nil"/>
              <w:bottom w:val="single" w:sz="4" w:space="0" w:color="auto"/>
              <w:right w:val="single" w:sz="4" w:space="0" w:color="auto"/>
            </w:tcBorders>
            <w:shd w:val="clear" w:color="auto" w:fill="C6EFCE"/>
            <w:noWrap/>
          </w:tcPr>
          <w:p w14:paraId="7E96EEB0" w14:textId="6337395F"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T2</w:t>
            </w:r>
          </w:p>
        </w:tc>
        <w:tc>
          <w:tcPr>
            <w:tcW w:w="742" w:type="dxa"/>
            <w:tcBorders>
              <w:top w:val="nil"/>
              <w:left w:val="nil"/>
              <w:bottom w:val="single" w:sz="4" w:space="0" w:color="auto"/>
              <w:right w:val="single" w:sz="4" w:space="0" w:color="auto"/>
            </w:tcBorders>
            <w:shd w:val="clear" w:color="auto" w:fill="C6EFCE"/>
            <w:noWrap/>
          </w:tcPr>
          <w:p w14:paraId="7F4FE1FA" w14:textId="77777777"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2026</w:t>
            </w:r>
          </w:p>
        </w:tc>
        <w:tc>
          <w:tcPr>
            <w:tcW w:w="4650" w:type="dxa"/>
            <w:tcBorders>
              <w:top w:val="nil"/>
              <w:left w:val="nil"/>
              <w:bottom w:val="single" w:sz="4" w:space="0" w:color="auto"/>
              <w:right w:val="single" w:sz="4" w:space="0" w:color="auto"/>
            </w:tcBorders>
            <w:shd w:val="clear" w:color="auto" w:fill="C6EFCE"/>
            <w:noWrap/>
          </w:tcPr>
          <w:p w14:paraId="369D2064" w14:textId="433F0527" w:rsidR="006E1228" w:rsidRPr="00D26611" w:rsidRDefault="006E1228" w:rsidP="00C937A7">
            <w:pPr>
              <w:spacing w:after="0"/>
              <w:rPr>
                <w:rFonts w:ascii="Times New Roman" w:hAnsi="Times New Roman" w:cs="Times New Roman"/>
                <w:noProof/>
                <w:color w:val="006100"/>
                <w:sz w:val="20"/>
                <w:szCs w:val="20"/>
              </w:rPr>
            </w:pPr>
            <w:r>
              <w:rPr>
                <w:rFonts w:ascii="Times New Roman" w:hAnsi="Times New Roman"/>
                <w:noProof/>
                <w:color w:val="006100"/>
                <w:sz w:val="20"/>
              </w:rPr>
              <w:t xml:space="preserve">След подписването на договорите (ключов етап 9) ще бъде завършено строителството или обновяването на националния и на трите регионални центъра за НТИМ. </w:t>
            </w:r>
          </w:p>
          <w:p w14:paraId="44F07DCF" w14:textId="77777777" w:rsidR="006E1228" w:rsidRPr="008A0F8A" w:rsidRDefault="006E1228" w:rsidP="00C937A7">
            <w:pPr>
              <w:spacing w:after="0"/>
              <w:rPr>
                <w:rFonts w:ascii="Times New Roman" w:hAnsi="Times New Roman" w:cs="Times New Roman"/>
                <w:noProof/>
                <w:color w:val="006100"/>
                <w:sz w:val="20"/>
                <w:szCs w:val="20"/>
                <w:lang w:val="ru-RU"/>
              </w:rPr>
            </w:pPr>
          </w:p>
          <w:p w14:paraId="5917541A" w14:textId="77777777" w:rsidR="006E1228" w:rsidRPr="00D26611" w:rsidRDefault="006E1228" w:rsidP="00C937A7">
            <w:pPr>
              <w:spacing w:after="0"/>
              <w:rPr>
                <w:rFonts w:ascii="Times New Roman" w:hAnsi="Times New Roman" w:cs="Times New Roman"/>
                <w:noProof/>
                <w:color w:val="006100"/>
                <w:sz w:val="20"/>
                <w:szCs w:val="20"/>
              </w:rPr>
            </w:pPr>
            <w:r>
              <w:rPr>
                <w:rFonts w:ascii="Times New Roman" w:hAnsi="Times New Roman"/>
                <w:noProof/>
                <w:color w:val="006100"/>
                <w:sz w:val="20"/>
              </w:rPr>
              <w:t>Освен това всеки център ще бъде съответно оборудван.</w:t>
            </w:r>
          </w:p>
        </w:tc>
      </w:tr>
      <w:tr w:rsidR="006E1228" w:rsidRPr="005241FC" w14:paraId="5777E0F3" w14:textId="77777777" w:rsidTr="008E16C0">
        <w:trPr>
          <w:trHeight w:val="309"/>
        </w:trPr>
        <w:tc>
          <w:tcPr>
            <w:tcW w:w="709" w:type="dxa"/>
            <w:tcBorders>
              <w:top w:val="nil"/>
              <w:left w:val="single" w:sz="4" w:space="0" w:color="auto"/>
              <w:bottom w:val="single" w:sz="4" w:space="0" w:color="auto"/>
              <w:right w:val="single" w:sz="4" w:space="0" w:color="auto"/>
            </w:tcBorders>
            <w:shd w:val="clear" w:color="auto" w:fill="C6EFCE"/>
            <w:noWrap/>
          </w:tcPr>
          <w:p w14:paraId="450A171F" w14:textId="7004A919"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11</w:t>
            </w:r>
          </w:p>
        </w:tc>
        <w:tc>
          <w:tcPr>
            <w:tcW w:w="1587" w:type="dxa"/>
            <w:tcBorders>
              <w:top w:val="nil"/>
              <w:left w:val="nil"/>
              <w:bottom w:val="single" w:sz="4" w:space="0" w:color="auto"/>
              <w:right w:val="single" w:sz="4" w:space="0" w:color="auto"/>
            </w:tcBorders>
            <w:shd w:val="clear" w:color="auto" w:fill="C6EFCE"/>
            <w:noWrap/>
          </w:tcPr>
          <w:p w14:paraId="2F25E498" w14:textId="77777777" w:rsidR="006E1228" w:rsidRPr="00D26611" w:rsidRDefault="006E1228" w:rsidP="00C937A7">
            <w:pPr>
              <w:spacing w:after="0"/>
              <w:rPr>
                <w:rFonts w:ascii="Times New Roman" w:hAnsi="Times New Roman" w:cs="Times New Roman"/>
                <w:noProof/>
                <w:color w:val="006100"/>
                <w:sz w:val="20"/>
                <w:szCs w:val="20"/>
              </w:rPr>
            </w:pPr>
            <w:r>
              <w:rPr>
                <w:rFonts w:ascii="Times New Roman" w:hAnsi="Times New Roman"/>
                <w:noProof/>
                <w:color w:val="006100"/>
                <w:sz w:val="20"/>
              </w:rPr>
              <w:t xml:space="preserve">К1.И1: </w:t>
            </w:r>
          </w:p>
          <w:p w14:paraId="5BBF5703" w14:textId="77777777"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Центрове за НТИМ и иновации в образованието</w:t>
            </w:r>
          </w:p>
        </w:tc>
        <w:tc>
          <w:tcPr>
            <w:tcW w:w="993" w:type="dxa"/>
            <w:tcBorders>
              <w:top w:val="nil"/>
              <w:left w:val="nil"/>
              <w:bottom w:val="single" w:sz="4" w:space="0" w:color="auto"/>
              <w:right w:val="single" w:sz="4" w:space="0" w:color="auto"/>
            </w:tcBorders>
            <w:shd w:val="clear" w:color="auto" w:fill="C6EFCE"/>
            <w:noWrap/>
          </w:tcPr>
          <w:p w14:paraId="5679E5FB" w14:textId="77777777"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Цел</w:t>
            </w:r>
          </w:p>
        </w:tc>
        <w:tc>
          <w:tcPr>
            <w:tcW w:w="1984" w:type="dxa"/>
            <w:tcBorders>
              <w:top w:val="nil"/>
              <w:left w:val="nil"/>
              <w:bottom w:val="single" w:sz="4" w:space="0" w:color="auto"/>
              <w:right w:val="single" w:sz="4" w:space="0" w:color="auto"/>
            </w:tcBorders>
            <w:shd w:val="clear" w:color="auto" w:fill="C6EFCE"/>
            <w:noWrap/>
          </w:tcPr>
          <w:p w14:paraId="1D78AA7F" w14:textId="3231BE59" w:rsidR="006E1228" w:rsidRPr="00D26611" w:rsidRDefault="006E1228" w:rsidP="00C937A7">
            <w:pPr>
              <w:spacing w:after="0"/>
              <w:textAlignment w:val="baseline"/>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Училища с новоизградени и/или новооборудвани лаборатории за НТИМ, в т.ч. класни стаи с достъп до високи технологии </w:t>
            </w:r>
            <w:r>
              <w:rPr>
                <w:rFonts w:ascii="Times New Roman" w:hAnsi="Times New Roman"/>
                <w:noProof/>
                <w:color w:val="006100"/>
                <w:sz w:val="20"/>
              </w:rPr>
              <w:br/>
              <w:t xml:space="preserve"> </w:t>
            </w:r>
          </w:p>
        </w:tc>
        <w:tc>
          <w:tcPr>
            <w:tcW w:w="1390" w:type="dxa"/>
            <w:tcBorders>
              <w:top w:val="nil"/>
              <w:left w:val="nil"/>
              <w:bottom w:val="single" w:sz="4" w:space="0" w:color="auto"/>
              <w:right w:val="single" w:sz="4" w:space="0" w:color="auto"/>
            </w:tcBorders>
            <w:shd w:val="clear" w:color="auto" w:fill="C6EFCE"/>
            <w:noWrap/>
          </w:tcPr>
          <w:p w14:paraId="39319B96" w14:textId="77777777"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850" w:type="dxa"/>
            <w:tcBorders>
              <w:top w:val="nil"/>
              <w:left w:val="nil"/>
              <w:bottom w:val="single" w:sz="4" w:space="0" w:color="auto"/>
              <w:right w:val="single" w:sz="4" w:space="0" w:color="auto"/>
            </w:tcBorders>
            <w:shd w:val="clear" w:color="auto" w:fill="C6EFCE"/>
            <w:noWrap/>
          </w:tcPr>
          <w:p w14:paraId="3F2A8DFA" w14:textId="77777777" w:rsidR="006E1228" w:rsidRPr="00D26611" w:rsidRDefault="006E1228" w:rsidP="00C937A7">
            <w:pPr>
              <w:spacing w:after="0"/>
              <w:rPr>
                <w:rFonts w:ascii="Times New Roman" w:hAnsi="Times New Roman" w:cs="Times New Roman"/>
                <w:noProof/>
                <w:color w:val="006100"/>
                <w:sz w:val="20"/>
                <w:szCs w:val="20"/>
              </w:rPr>
            </w:pPr>
            <w:r>
              <w:rPr>
                <w:rFonts w:ascii="Times New Roman" w:hAnsi="Times New Roman"/>
                <w:noProof/>
                <w:color w:val="006100"/>
                <w:sz w:val="20"/>
              </w:rPr>
              <w:t xml:space="preserve">Брой </w:t>
            </w:r>
          </w:p>
        </w:tc>
        <w:tc>
          <w:tcPr>
            <w:tcW w:w="879" w:type="dxa"/>
            <w:tcBorders>
              <w:top w:val="nil"/>
              <w:left w:val="nil"/>
              <w:bottom w:val="single" w:sz="4" w:space="0" w:color="auto"/>
              <w:right w:val="single" w:sz="4" w:space="0" w:color="auto"/>
            </w:tcBorders>
            <w:shd w:val="clear" w:color="auto" w:fill="C6EFCE"/>
            <w:noWrap/>
          </w:tcPr>
          <w:p w14:paraId="5E958A68" w14:textId="77777777"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0 </w:t>
            </w:r>
          </w:p>
        </w:tc>
        <w:tc>
          <w:tcPr>
            <w:tcW w:w="675" w:type="dxa"/>
            <w:tcBorders>
              <w:top w:val="nil"/>
              <w:left w:val="nil"/>
              <w:bottom w:val="single" w:sz="4" w:space="0" w:color="auto"/>
              <w:right w:val="single" w:sz="4" w:space="0" w:color="auto"/>
            </w:tcBorders>
            <w:shd w:val="clear" w:color="auto" w:fill="C6EFCE"/>
            <w:noWrap/>
          </w:tcPr>
          <w:p w14:paraId="29EBA8C6" w14:textId="77777777"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2243</w:t>
            </w:r>
          </w:p>
        </w:tc>
        <w:tc>
          <w:tcPr>
            <w:tcW w:w="851" w:type="dxa"/>
            <w:tcBorders>
              <w:top w:val="nil"/>
              <w:left w:val="nil"/>
              <w:bottom w:val="single" w:sz="4" w:space="0" w:color="auto"/>
              <w:right w:val="single" w:sz="4" w:space="0" w:color="auto"/>
            </w:tcBorders>
            <w:shd w:val="clear" w:color="auto" w:fill="C6EFCE"/>
            <w:noWrap/>
          </w:tcPr>
          <w:p w14:paraId="50B68A79" w14:textId="76760A20"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T2</w:t>
            </w:r>
          </w:p>
        </w:tc>
        <w:tc>
          <w:tcPr>
            <w:tcW w:w="742" w:type="dxa"/>
            <w:tcBorders>
              <w:top w:val="nil"/>
              <w:left w:val="nil"/>
              <w:bottom w:val="single" w:sz="4" w:space="0" w:color="auto"/>
              <w:right w:val="single" w:sz="4" w:space="0" w:color="auto"/>
            </w:tcBorders>
            <w:shd w:val="clear" w:color="auto" w:fill="C6EFCE"/>
            <w:noWrap/>
          </w:tcPr>
          <w:p w14:paraId="05EB15EF" w14:textId="77777777"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2026</w:t>
            </w:r>
          </w:p>
        </w:tc>
        <w:tc>
          <w:tcPr>
            <w:tcW w:w="4650" w:type="dxa"/>
            <w:tcBorders>
              <w:top w:val="nil"/>
              <w:left w:val="nil"/>
              <w:bottom w:val="single" w:sz="4" w:space="0" w:color="auto"/>
              <w:right w:val="single" w:sz="4" w:space="0" w:color="auto"/>
            </w:tcBorders>
            <w:shd w:val="clear" w:color="auto" w:fill="C6EFCE"/>
            <w:noWrap/>
          </w:tcPr>
          <w:p w14:paraId="26B51A5D" w14:textId="184A57BF" w:rsidR="006E1228" w:rsidRPr="00D26611" w:rsidRDefault="006E1228" w:rsidP="00C937A7">
            <w:pPr>
              <w:spacing w:after="0"/>
              <w:rPr>
                <w:rFonts w:ascii="Times New Roman" w:hAnsi="Times New Roman" w:cs="Times New Roman"/>
                <w:noProof/>
                <w:color w:val="006100"/>
                <w:sz w:val="20"/>
                <w:szCs w:val="20"/>
              </w:rPr>
            </w:pPr>
            <w:r>
              <w:rPr>
                <w:rFonts w:ascii="Times New Roman" w:hAnsi="Times New Roman"/>
                <w:noProof/>
                <w:color w:val="006100"/>
                <w:sz w:val="20"/>
              </w:rPr>
              <w:t>След подписването на договорите (ключов етап 9) ще бъде завършено изграждането и оборудването на лабораториите за НТИМ, в т.ч. на класните стаи с достъп до високи технологии. Това ще обхваща:</w:t>
            </w:r>
          </w:p>
          <w:p w14:paraId="0CC11F88" w14:textId="77777777" w:rsidR="006E1228" w:rsidRPr="00D26611" w:rsidRDefault="006E1228" w:rsidP="000A75C5">
            <w:pPr>
              <w:pStyle w:val="ListParagraph"/>
              <w:numPr>
                <w:ilvl w:val="0"/>
                <w:numId w:val="3"/>
              </w:numPr>
              <w:spacing w:after="0" w:line="240" w:lineRule="auto"/>
              <w:ind w:left="252" w:hanging="141"/>
              <w:rPr>
                <w:rFonts w:ascii="Times New Roman" w:hAnsi="Times New Roman" w:cs="Times New Roman"/>
                <w:noProof/>
                <w:color w:val="006100"/>
                <w:sz w:val="20"/>
                <w:szCs w:val="20"/>
              </w:rPr>
            </w:pPr>
            <w:r>
              <w:rPr>
                <w:rFonts w:ascii="Times New Roman" w:hAnsi="Times New Roman"/>
                <w:noProof/>
                <w:color w:val="006100"/>
                <w:sz w:val="20"/>
              </w:rPr>
              <w:t xml:space="preserve">строителни работи в 1980 училища; </w:t>
            </w:r>
          </w:p>
          <w:p w14:paraId="67E34B4B" w14:textId="77777777" w:rsidR="006E1228" w:rsidRPr="00D26611" w:rsidRDefault="006E1228" w:rsidP="000A75C5">
            <w:pPr>
              <w:pStyle w:val="ListParagraph"/>
              <w:numPr>
                <w:ilvl w:val="0"/>
                <w:numId w:val="3"/>
              </w:numPr>
              <w:spacing w:after="0" w:line="240" w:lineRule="auto"/>
              <w:ind w:left="252" w:hanging="141"/>
              <w:rPr>
                <w:rFonts w:ascii="Times New Roman" w:hAnsi="Times New Roman" w:cs="Times New Roman"/>
                <w:noProof/>
                <w:color w:val="006100"/>
                <w:sz w:val="20"/>
                <w:szCs w:val="20"/>
              </w:rPr>
            </w:pPr>
            <w:r>
              <w:rPr>
                <w:rFonts w:ascii="Times New Roman" w:hAnsi="Times New Roman"/>
                <w:noProof/>
                <w:color w:val="006100"/>
                <w:sz w:val="20"/>
              </w:rPr>
              <w:t xml:space="preserve">работи по оборудване в други 263 училища. </w:t>
            </w:r>
          </w:p>
          <w:p w14:paraId="15CC6081" w14:textId="77777777" w:rsidR="006E1228" w:rsidRPr="008A0F8A" w:rsidRDefault="006E1228" w:rsidP="00C937A7">
            <w:pPr>
              <w:spacing w:after="0"/>
              <w:rPr>
                <w:rFonts w:ascii="Times New Roman" w:hAnsi="Times New Roman" w:cs="Times New Roman"/>
                <w:noProof/>
                <w:color w:val="006100"/>
                <w:sz w:val="20"/>
                <w:szCs w:val="20"/>
                <w:lang w:val="ru-RU"/>
              </w:rPr>
            </w:pPr>
          </w:p>
          <w:p w14:paraId="5C9EE9B0" w14:textId="77777777" w:rsidR="006E1228" w:rsidRPr="00D26611" w:rsidRDefault="006E1228" w:rsidP="00C937A7">
            <w:pPr>
              <w:spacing w:after="0"/>
              <w:rPr>
                <w:rFonts w:ascii="Times New Roman" w:hAnsi="Times New Roman" w:cs="Times New Roman"/>
                <w:noProof/>
                <w:color w:val="006100"/>
                <w:sz w:val="20"/>
                <w:szCs w:val="20"/>
              </w:rPr>
            </w:pPr>
            <w:r>
              <w:rPr>
                <w:rFonts w:ascii="Times New Roman" w:hAnsi="Times New Roman"/>
                <w:noProof/>
                <w:color w:val="006100"/>
                <w:sz w:val="20"/>
              </w:rPr>
              <w:t>Освен това съответното техническо оборудване и инструменти ще бъдат доставени и монтирани.</w:t>
            </w:r>
          </w:p>
        </w:tc>
      </w:tr>
      <w:tr w:rsidR="006E1228" w:rsidRPr="005241FC" w14:paraId="38E4D64A" w14:textId="77777777" w:rsidTr="008E16C0">
        <w:trPr>
          <w:trHeight w:val="309"/>
        </w:trPr>
        <w:tc>
          <w:tcPr>
            <w:tcW w:w="709" w:type="dxa"/>
            <w:tcBorders>
              <w:top w:val="nil"/>
              <w:left w:val="single" w:sz="4" w:space="0" w:color="auto"/>
              <w:bottom w:val="single" w:sz="4" w:space="0" w:color="auto"/>
              <w:right w:val="single" w:sz="4" w:space="0" w:color="auto"/>
            </w:tcBorders>
            <w:shd w:val="clear" w:color="auto" w:fill="C6EFCE"/>
            <w:noWrap/>
          </w:tcPr>
          <w:p w14:paraId="2CFDA637" w14:textId="4E4C9619"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12</w:t>
            </w:r>
          </w:p>
        </w:tc>
        <w:tc>
          <w:tcPr>
            <w:tcW w:w="1587" w:type="dxa"/>
            <w:tcBorders>
              <w:top w:val="nil"/>
              <w:left w:val="nil"/>
              <w:bottom w:val="single" w:sz="4" w:space="0" w:color="auto"/>
              <w:right w:val="single" w:sz="4" w:space="0" w:color="auto"/>
            </w:tcBorders>
            <w:shd w:val="clear" w:color="auto" w:fill="C6EFCE"/>
            <w:noWrap/>
          </w:tcPr>
          <w:p w14:paraId="19DE60F4" w14:textId="77777777" w:rsidR="006E1228" w:rsidRPr="00D26611" w:rsidRDefault="006E1228" w:rsidP="00C937A7">
            <w:pPr>
              <w:spacing w:after="0"/>
              <w:rPr>
                <w:rFonts w:ascii="Times New Roman" w:hAnsi="Times New Roman" w:cs="Times New Roman"/>
                <w:noProof/>
                <w:color w:val="006100"/>
                <w:sz w:val="20"/>
                <w:szCs w:val="20"/>
              </w:rPr>
            </w:pPr>
            <w:r>
              <w:rPr>
                <w:rFonts w:ascii="Times New Roman" w:hAnsi="Times New Roman"/>
                <w:noProof/>
                <w:color w:val="006100"/>
                <w:sz w:val="20"/>
              </w:rPr>
              <w:t xml:space="preserve">К1.И2: </w:t>
            </w:r>
          </w:p>
          <w:p w14:paraId="033A235F" w14:textId="5F9CED0E" w:rsidR="006E1228" w:rsidRPr="00D26611" w:rsidRDefault="006E1228" w:rsidP="00C937A7">
            <w:pPr>
              <w:spacing w:after="0"/>
              <w:rPr>
                <w:rFonts w:ascii="Times New Roman" w:hAnsi="Times New Roman" w:cs="Times New Roman"/>
                <w:noProof/>
                <w:color w:val="006100"/>
                <w:sz w:val="20"/>
                <w:szCs w:val="20"/>
              </w:rPr>
            </w:pPr>
            <w:r>
              <w:rPr>
                <w:rFonts w:ascii="Times New Roman" w:hAnsi="Times New Roman"/>
                <w:noProof/>
                <w:color w:val="006100"/>
                <w:sz w:val="20"/>
              </w:rPr>
              <w:t>Модернизиране на образователната инфраструктура</w:t>
            </w:r>
          </w:p>
          <w:p w14:paraId="686BA5DD" w14:textId="77777777" w:rsidR="006E1228" w:rsidRPr="008A0F8A" w:rsidRDefault="006E1228" w:rsidP="00C937A7">
            <w:pPr>
              <w:spacing w:after="0"/>
              <w:rPr>
                <w:rFonts w:ascii="Times New Roman" w:eastAsia="Times New Roman" w:hAnsi="Times New Roman" w:cs="Times New Roman"/>
                <w:noProof/>
                <w:color w:val="006100"/>
                <w:sz w:val="20"/>
                <w:szCs w:val="20"/>
                <w:lang w:val="ru-RU" w:eastAsia="en-GB"/>
              </w:rPr>
            </w:pPr>
          </w:p>
        </w:tc>
        <w:tc>
          <w:tcPr>
            <w:tcW w:w="993" w:type="dxa"/>
            <w:tcBorders>
              <w:top w:val="nil"/>
              <w:left w:val="nil"/>
              <w:bottom w:val="single" w:sz="4" w:space="0" w:color="auto"/>
              <w:right w:val="single" w:sz="4" w:space="0" w:color="auto"/>
            </w:tcBorders>
            <w:shd w:val="clear" w:color="auto" w:fill="C6EFCE"/>
            <w:noWrap/>
          </w:tcPr>
          <w:p w14:paraId="04C6EB87" w14:textId="77777777"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984" w:type="dxa"/>
            <w:tcBorders>
              <w:top w:val="nil"/>
              <w:left w:val="nil"/>
              <w:bottom w:val="single" w:sz="4" w:space="0" w:color="auto"/>
              <w:right w:val="single" w:sz="4" w:space="0" w:color="auto"/>
            </w:tcBorders>
            <w:shd w:val="clear" w:color="auto" w:fill="C6EFCE"/>
            <w:noWrap/>
          </w:tcPr>
          <w:p w14:paraId="5E465529" w14:textId="77777777"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Подписване на договори за изграждане или обновяване на образователна инфраструктура</w:t>
            </w:r>
          </w:p>
        </w:tc>
        <w:tc>
          <w:tcPr>
            <w:tcW w:w="1390" w:type="dxa"/>
            <w:tcBorders>
              <w:top w:val="nil"/>
              <w:left w:val="nil"/>
              <w:bottom w:val="single" w:sz="4" w:space="0" w:color="auto"/>
              <w:right w:val="single" w:sz="4" w:space="0" w:color="auto"/>
            </w:tcBorders>
            <w:shd w:val="clear" w:color="auto" w:fill="C6EFCE"/>
            <w:noWrap/>
          </w:tcPr>
          <w:p w14:paraId="4B3DEBCC" w14:textId="77777777"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Сключени договори</w:t>
            </w:r>
          </w:p>
        </w:tc>
        <w:tc>
          <w:tcPr>
            <w:tcW w:w="850" w:type="dxa"/>
            <w:tcBorders>
              <w:top w:val="nil"/>
              <w:left w:val="nil"/>
              <w:bottom w:val="single" w:sz="4" w:space="0" w:color="auto"/>
              <w:right w:val="single" w:sz="4" w:space="0" w:color="auto"/>
            </w:tcBorders>
            <w:shd w:val="clear" w:color="auto" w:fill="C6EFCE"/>
            <w:noWrap/>
          </w:tcPr>
          <w:p w14:paraId="218BCC26" w14:textId="77777777" w:rsidR="006E1228" w:rsidRPr="00D26611" w:rsidRDefault="006E1228" w:rsidP="00C937A7">
            <w:pPr>
              <w:spacing w:after="0"/>
              <w:rPr>
                <w:rFonts w:ascii="Times New Roman" w:eastAsia="Times New Roman" w:hAnsi="Times New Roman" w:cs="Times New Roman"/>
                <w:noProof/>
                <w:color w:val="006100"/>
                <w:sz w:val="20"/>
                <w:szCs w:val="20"/>
                <w:lang w:val="en-US" w:eastAsia="en-GB"/>
              </w:rPr>
            </w:pPr>
          </w:p>
        </w:tc>
        <w:tc>
          <w:tcPr>
            <w:tcW w:w="879" w:type="dxa"/>
            <w:tcBorders>
              <w:top w:val="nil"/>
              <w:left w:val="nil"/>
              <w:bottom w:val="single" w:sz="4" w:space="0" w:color="auto"/>
              <w:right w:val="single" w:sz="4" w:space="0" w:color="auto"/>
            </w:tcBorders>
            <w:shd w:val="clear" w:color="auto" w:fill="C6EFCE"/>
            <w:noWrap/>
          </w:tcPr>
          <w:p w14:paraId="0B239BE2" w14:textId="77777777" w:rsidR="006E1228" w:rsidRPr="00D26611" w:rsidRDefault="006E1228" w:rsidP="00C937A7">
            <w:pPr>
              <w:spacing w:after="0"/>
              <w:rPr>
                <w:rFonts w:ascii="Times New Roman" w:eastAsia="Times New Roman" w:hAnsi="Times New Roman" w:cs="Times New Roman"/>
                <w:noProof/>
                <w:color w:val="006100"/>
                <w:sz w:val="20"/>
                <w:szCs w:val="20"/>
                <w:lang w:val="en-US" w:eastAsia="en-GB"/>
              </w:rPr>
            </w:pPr>
          </w:p>
        </w:tc>
        <w:tc>
          <w:tcPr>
            <w:tcW w:w="675" w:type="dxa"/>
            <w:tcBorders>
              <w:top w:val="nil"/>
              <w:left w:val="nil"/>
              <w:bottom w:val="single" w:sz="4" w:space="0" w:color="auto"/>
              <w:right w:val="single" w:sz="4" w:space="0" w:color="auto"/>
            </w:tcBorders>
            <w:shd w:val="clear" w:color="auto" w:fill="C6EFCE"/>
            <w:noWrap/>
          </w:tcPr>
          <w:p w14:paraId="701FEAEA" w14:textId="77777777" w:rsidR="006E1228" w:rsidRPr="00D26611" w:rsidRDefault="006E1228" w:rsidP="00C937A7">
            <w:pPr>
              <w:spacing w:after="0"/>
              <w:rPr>
                <w:rFonts w:ascii="Times New Roman" w:eastAsia="Times New Roman" w:hAnsi="Times New Roman" w:cs="Times New Roman"/>
                <w:noProof/>
                <w:color w:val="006100"/>
                <w:sz w:val="20"/>
                <w:szCs w:val="20"/>
                <w:lang w:val="en-US" w:eastAsia="en-GB"/>
              </w:rPr>
            </w:pPr>
          </w:p>
        </w:tc>
        <w:tc>
          <w:tcPr>
            <w:tcW w:w="851" w:type="dxa"/>
            <w:tcBorders>
              <w:top w:val="nil"/>
              <w:left w:val="nil"/>
              <w:bottom w:val="single" w:sz="4" w:space="0" w:color="auto"/>
              <w:right w:val="single" w:sz="4" w:space="0" w:color="auto"/>
            </w:tcBorders>
            <w:shd w:val="clear" w:color="auto" w:fill="C6EFCE"/>
            <w:noWrap/>
          </w:tcPr>
          <w:p w14:paraId="13840D98" w14:textId="43247982"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T3</w:t>
            </w:r>
          </w:p>
        </w:tc>
        <w:tc>
          <w:tcPr>
            <w:tcW w:w="742" w:type="dxa"/>
            <w:tcBorders>
              <w:top w:val="nil"/>
              <w:left w:val="nil"/>
              <w:bottom w:val="single" w:sz="4" w:space="0" w:color="auto"/>
              <w:right w:val="single" w:sz="4" w:space="0" w:color="auto"/>
            </w:tcBorders>
            <w:shd w:val="clear" w:color="auto" w:fill="C6EFCE"/>
            <w:noWrap/>
          </w:tcPr>
          <w:p w14:paraId="4C0A39FD" w14:textId="4E9B1802"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2023</w:t>
            </w:r>
          </w:p>
        </w:tc>
        <w:tc>
          <w:tcPr>
            <w:tcW w:w="4650" w:type="dxa"/>
            <w:tcBorders>
              <w:top w:val="nil"/>
              <w:left w:val="nil"/>
              <w:bottom w:val="single" w:sz="4" w:space="0" w:color="auto"/>
              <w:right w:val="single" w:sz="4" w:space="0" w:color="auto"/>
            </w:tcBorders>
            <w:shd w:val="clear" w:color="auto" w:fill="C6EFCE"/>
            <w:noWrap/>
          </w:tcPr>
          <w:p w14:paraId="3F5F7A79" w14:textId="0973462B" w:rsidR="006E1228" w:rsidRPr="00D26611" w:rsidRDefault="4AC8A402" w:rsidP="00C937A7">
            <w:pPr>
              <w:spacing w:after="0"/>
              <w:rPr>
                <w:rFonts w:ascii="Times New Roman" w:hAnsi="Times New Roman" w:cs="Times New Roman"/>
                <w:noProof/>
                <w:color w:val="006100"/>
                <w:sz w:val="20"/>
                <w:szCs w:val="20"/>
              </w:rPr>
            </w:pPr>
            <w:r>
              <w:rPr>
                <w:rFonts w:ascii="Times New Roman" w:hAnsi="Times New Roman"/>
                <w:noProof/>
                <w:color w:val="006100"/>
                <w:sz w:val="20"/>
              </w:rPr>
              <w:t>Изпълнителите ще се подбират след успешно проведени процедури за възлагане на обществени поръчки. Договорите ще обхващат:</w:t>
            </w:r>
          </w:p>
          <w:p w14:paraId="4CEA4C72" w14:textId="1657B9B3" w:rsidR="006E1228" w:rsidRPr="00D26611" w:rsidRDefault="4AC8A402" w:rsidP="000A75C5">
            <w:pPr>
              <w:pStyle w:val="ListParagraph"/>
              <w:numPr>
                <w:ilvl w:val="0"/>
                <w:numId w:val="3"/>
              </w:numPr>
              <w:spacing w:after="0" w:line="240" w:lineRule="auto"/>
              <w:ind w:left="252" w:hanging="141"/>
              <w:rPr>
                <w:rFonts w:ascii="Times New Roman" w:hAnsi="Times New Roman" w:cs="Times New Roman"/>
                <w:noProof/>
                <w:color w:val="006100"/>
                <w:sz w:val="20"/>
                <w:szCs w:val="20"/>
              </w:rPr>
            </w:pPr>
            <w:r>
              <w:rPr>
                <w:rFonts w:ascii="Times New Roman" w:hAnsi="Times New Roman"/>
                <w:noProof/>
                <w:color w:val="006100"/>
                <w:sz w:val="20"/>
              </w:rPr>
              <w:t>обновяване на съществуващите сгради в 57 детски градини и 59 училища;</w:t>
            </w:r>
          </w:p>
          <w:p w14:paraId="53839F1C" w14:textId="2DC6F3DB" w:rsidR="006E1228" w:rsidRPr="00D26611" w:rsidRDefault="4AC8A402" w:rsidP="000A75C5">
            <w:pPr>
              <w:pStyle w:val="ListParagraph"/>
              <w:numPr>
                <w:ilvl w:val="0"/>
                <w:numId w:val="3"/>
              </w:numPr>
              <w:spacing w:after="0" w:line="240" w:lineRule="auto"/>
              <w:ind w:left="252" w:hanging="141"/>
              <w:rPr>
                <w:rFonts w:ascii="Times New Roman" w:hAnsi="Times New Roman" w:cs="Times New Roman"/>
                <w:noProof/>
                <w:color w:val="006100"/>
                <w:sz w:val="20"/>
                <w:szCs w:val="20"/>
              </w:rPr>
            </w:pPr>
            <w:r>
              <w:rPr>
                <w:rFonts w:ascii="Times New Roman" w:hAnsi="Times New Roman"/>
                <w:noProof/>
                <w:color w:val="006100"/>
                <w:sz w:val="20"/>
              </w:rPr>
              <w:t>обновяване на 24 техникума;</w:t>
            </w:r>
          </w:p>
          <w:p w14:paraId="7B7BCC03" w14:textId="77777777" w:rsidR="006E1228" w:rsidRPr="00D26611" w:rsidRDefault="006E1228" w:rsidP="000A75C5">
            <w:pPr>
              <w:pStyle w:val="ListParagraph"/>
              <w:numPr>
                <w:ilvl w:val="0"/>
                <w:numId w:val="3"/>
              </w:numPr>
              <w:spacing w:after="0" w:line="240" w:lineRule="auto"/>
              <w:ind w:left="252" w:hanging="141"/>
              <w:rPr>
                <w:rFonts w:ascii="Times New Roman" w:hAnsi="Times New Roman" w:cs="Times New Roman"/>
                <w:noProof/>
                <w:color w:val="006100"/>
                <w:sz w:val="20"/>
                <w:szCs w:val="20"/>
              </w:rPr>
            </w:pPr>
            <w:r>
              <w:rPr>
                <w:rFonts w:ascii="Times New Roman" w:hAnsi="Times New Roman"/>
                <w:noProof/>
                <w:color w:val="006100"/>
                <w:sz w:val="20"/>
              </w:rPr>
              <w:t>построяване на осем нови училища и осем нови детски градини;</w:t>
            </w:r>
          </w:p>
          <w:p w14:paraId="574E7CEF" w14:textId="588B1214" w:rsidR="006E1228" w:rsidRPr="00D26611" w:rsidRDefault="4AC8A402" w:rsidP="000A75C5">
            <w:pPr>
              <w:pStyle w:val="ListParagraph"/>
              <w:numPr>
                <w:ilvl w:val="0"/>
                <w:numId w:val="3"/>
              </w:numPr>
              <w:spacing w:after="0" w:line="240" w:lineRule="auto"/>
              <w:ind w:left="252" w:hanging="141"/>
              <w:rPr>
                <w:rFonts w:ascii="Times New Roman" w:hAnsi="Times New Roman" w:cs="Times New Roman"/>
                <w:noProof/>
                <w:color w:val="006100"/>
                <w:sz w:val="20"/>
                <w:szCs w:val="20"/>
              </w:rPr>
            </w:pPr>
            <w:r>
              <w:rPr>
                <w:rFonts w:ascii="Times New Roman" w:hAnsi="Times New Roman"/>
                <w:noProof/>
                <w:color w:val="006100"/>
                <w:sz w:val="20"/>
              </w:rPr>
              <w:t>обновяване на 23 ученически общежития</w:t>
            </w:r>
          </w:p>
          <w:p w14:paraId="791BC1C0" w14:textId="77777777" w:rsidR="006E1228" w:rsidRPr="00D26611" w:rsidRDefault="006E1228" w:rsidP="000A75C5">
            <w:pPr>
              <w:pStyle w:val="ListParagraph"/>
              <w:numPr>
                <w:ilvl w:val="0"/>
                <w:numId w:val="3"/>
              </w:numPr>
              <w:spacing w:after="0" w:line="240" w:lineRule="auto"/>
              <w:ind w:left="252" w:hanging="141"/>
              <w:rPr>
                <w:rFonts w:ascii="Times New Roman" w:eastAsia="Times New Roman" w:hAnsi="Times New Roman" w:cs="Times New Roman"/>
                <w:noProof/>
                <w:color w:val="006100"/>
                <w:sz w:val="20"/>
                <w:szCs w:val="20"/>
              </w:rPr>
            </w:pPr>
            <w:r>
              <w:rPr>
                <w:rFonts w:ascii="Times New Roman" w:hAnsi="Times New Roman"/>
                <w:noProof/>
                <w:color w:val="006100"/>
                <w:sz w:val="20"/>
              </w:rPr>
              <w:t>построяване на три университетски комплекса.</w:t>
            </w:r>
          </w:p>
        </w:tc>
      </w:tr>
      <w:tr w:rsidR="006E1228" w:rsidRPr="005241FC" w14:paraId="7A75120C" w14:textId="77777777" w:rsidTr="008E16C0">
        <w:trPr>
          <w:trHeight w:val="309"/>
        </w:trPr>
        <w:tc>
          <w:tcPr>
            <w:tcW w:w="709" w:type="dxa"/>
            <w:tcBorders>
              <w:top w:val="nil"/>
              <w:left w:val="single" w:sz="4" w:space="0" w:color="auto"/>
              <w:bottom w:val="single" w:sz="4" w:space="0" w:color="auto"/>
              <w:right w:val="single" w:sz="4" w:space="0" w:color="auto"/>
            </w:tcBorders>
            <w:shd w:val="clear" w:color="auto" w:fill="C6EFCE"/>
            <w:noWrap/>
          </w:tcPr>
          <w:p w14:paraId="3DFDB252" w14:textId="276C27E4"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13</w:t>
            </w:r>
          </w:p>
        </w:tc>
        <w:tc>
          <w:tcPr>
            <w:tcW w:w="1587" w:type="dxa"/>
            <w:tcBorders>
              <w:top w:val="nil"/>
              <w:left w:val="nil"/>
              <w:bottom w:val="single" w:sz="4" w:space="0" w:color="auto"/>
              <w:right w:val="single" w:sz="4" w:space="0" w:color="auto"/>
            </w:tcBorders>
            <w:shd w:val="clear" w:color="auto" w:fill="C6EFCE"/>
            <w:noWrap/>
          </w:tcPr>
          <w:p w14:paraId="48AEBAAC" w14:textId="77777777" w:rsidR="006E1228" w:rsidRPr="00D26611" w:rsidRDefault="006E1228" w:rsidP="00C937A7">
            <w:pPr>
              <w:spacing w:after="0"/>
              <w:rPr>
                <w:rFonts w:ascii="Times New Roman" w:hAnsi="Times New Roman" w:cs="Times New Roman"/>
                <w:noProof/>
                <w:color w:val="006100"/>
                <w:sz w:val="20"/>
                <w:szCs w:val="20"/>
              </w:rPr>
            </w:pPr>
            <w:r>
              <w:rPr>
                <w:rFonts w:ascii="Times New Roman" w:hAnsi="Times New Roman"/>
                <w:noProof/>
                <w:color w:val="006100"/>
                <w:sz w:val="20"/>
              </w:rPr>
              <w:t xml:space="preserve">К1.И2: </w:t>
            </w:r>
          </w:p>
          <w:p w14:paraId="723C2BE0" w14:textId="7E89FE6E" w:rsidR="006E1228" w:rsidRPr="00D26611" w:rsidRDefault="006E1228" w:rsidP="00C937A7">
            <w:pPr>
              <w:spacing w:after="0"/>
              <w:rPr>
                <w:rFonts w:ascii="Times New Roman" w:hAnsi="Times New Roman" w:cs="Times New Roman"/>
                <w:noProof/>
                <w:color w:val="006100"/>
                <w:sz w:val="20"/>
                <w:szCs w:val="20"/>
              </w:rPr>
            </w:pPr>
            <w:r>
              <w:rPr>
                <w:rFonts w:ascii="Times New Roman" w:hAnsi="Times New Roman"/>
                <w:noProof/>
                <w:color w:val="006100"/>
                <w:sz w:val="20"/>
              </w:rPr>
              <w:t>Модернизиране на образователната инфраструктура</w:t>
            </w:r>
          </w:p>
          <w:p w14:paraId="096C36F3" w14:textId="77777777" w:rsidR="006E1228" w:rsidRPr="008A0F8A" w:rsidRDefault="006E1228" w:rsidP="00C937A7">
            <w:pPr>
              <w:spacing w:after="0"/>
              <w:rPr>
                <w:rFonts w:ascii="Times New Roman" w:eastAsia="Times New Roman" w:hAnsi="Times New Roman" w:cs="Times New Roman"/>
                <w:noProof/>
                <w:color w:val="006100"/>
                <w:sz w:val="20"/>
                <w:szCs w:val="20"/>
                <w:lang w:val="ru-RU" w:eastAsia="en-GB"/>
              </w:rPr>
            </w:pPr>
          </w:p>
        </w:tc>
        <w:tc>
          <w:tcPr>
            <w:tcW w:w="993" w:type="dxa"/>
            <w:tcBorders>
              <w:top w:val="nil"/>
              <w:left w:val="nil"/>
              <w:bottom w:val="single" w:sz="4" w:space="0" w:color="auto"/>
              <w:right w:val="single" w:sz="4" w:space="0" w:color="auto"/>
            </w:tcBorders>
            <w:shd w:val="clear" w:color="auto" w:fill="C6EFCE"/>
            <w:noWrap/>
          </w:tcPr>
          <w:p w14:paraId="1784C473" w14:textId="77777777"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Цел</w:t>
            </w:r>
          </w:p>
        </w:tc>
        <w:tc>
          <w:tcPr>
            <w:tcW w:w="1984" w:type="dxa"/>
            <w:tcBorders>
              <w:top w:val="nil"/>
              <w:left w:val="nil"/>
              <w:bottom w:val="single" w:sz="4" w:space="0" w:color="auto"/>
              <w:right w:val="single" w:sz="4" w:space="0" w:color="auto"/>
            </w:tcBorders>
            <w:shd w:val="clear" w:color="auto" w:fill="C6EFCE"/>
            <w:noWrap/>
          </w:tcPr>
          <w:p w14:paraId="5B711DC8" w14:textId="5FECE97D"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Приключване на обновяването на училищата и детските градини</w:t>
            </w:r>
          </w:p>
        </w:tc>
        <w:tc>
          <w:tcPr>
            <w:tcW w:w="1390" w:type="dxa"/>
            <w:tcBorders>
              <w:top w:val="nil"/>
              <w:left w:val="nil"/>
              <w:bottom w:val="single" w:sz="4" w:space="0" w:color="auto"/>
              <w:right w:val="single" w:sz="4" w:space="0" w:color="auto"/>
            </w:tcBorders>
            <w:shd w:val="clear" w:color="auto" w:fill="C6EFCE"/>
            <w:noWrap/>
          </w:tcPr>
          <w:p w14:paraId="1D906FBA" w14:textId="77777777" w:rsidR="006E1228" w:rsidRPr="008A0F8A" w:rsidRDefault="006E1228" w:rsidP="00C937A7">
            <w:pPr>
              <w:spacing w:after="0"/>
              <w:rPr>
                <w:rFonts w:ascii="Times New Roman" w:eastAsia="Times New Roman" w:hAnsi="Times New Roman" w:cs="Times New Roman"/>
                <w:noProof/>
                <w:color w:val="006100"/>
                <w:sz w:val="20"/>
                <w:szCs w:val="20"/>
                <w:lang w:val="ru-RU" w:eastAsia="en-GB"/>
              </w:rPr>
            </w:pPr>
          </w:p>
        </w:tc>
        <w:tc>
          <w:tcPr>
            <w:tcW w:w="850" w:type="dxa"/>
            <w:tcBorders>
              <w:top w:val="nil"/>
              <w:left w:val="nil"/>
              <w:bottom w:val="single" w:sz="4" w:space="0" w:color="auto"/>
              <w:right w:val="single" w:sz="4" w:space="0" w:color="auto"/>
            </w:tcBorders>
            <w:shd w:val="clear" w:color="auto" w:fill="C6EFCE"/>
            <w:noWrap/>
          </w:tcPr>
          <w:p w14:paraId="491B05E4" w14:textId="77777777"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Брой</w:t>
            </w:r>
          </w:p>
        </w:tc>
        <w:tc>
          <w:tcPr>
            <w:tcW w:w="879" w:type="dxa"/>
            <w:tcBorders>
              <w:top w:val="nil"/>
              <w:left w:val="nil"/>
              <w:bottom w:val="single" w:sz="4" w:space="0" w:color="auto"/>
              <w:right w:val="single" w:sz="4" w:space="0" w:color="auto"/>
            </w:tcBorders>
            <w:shd w:val="clear" w:color="auto" w:fill="C6EFCE"/>
            <w:noWrap/>
          </w:tcPr>
          <w:p w14:paraId="2CBDD512" w14:textId="77777777"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0</w:t>
            </w:r>
          </w:p>
        </w:tc>
        <w:tc>
          <w:tcPr>
            <w:tcW w:w="675" w:type="dxa"/>
            <w:tcBorders>
              <w:top w:val="nil"/>
              <w:left w:val="nil"/>
              <w:bottom w:val="single" w:sz="4" w:space="0" w:color="auto"/>
              <w:right w:val="single" w:sz="4" w:space="0" w:color="auto"/>
            </w:tcBorders>
            <w:shd w:val="clear" w:color="auto" w:fill="C6EFCE"/>
            <w:noWrap/>
          </w:tcPr>
          <w:p w14:paraId="09A3D3D5" w14:textId="77777777"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140</w:t>
            </w:r>
          </w:p>
        </w:tc>
        <w:tc>
          <w:tcPr>
            <w:tcW w:w="851" w:type="dxa"/>
            <w:tcBorders>
              <w:top w:val="nil"/>
              <w:left w:val="nil"/>
              <w:bottom w:val="single" w:sz="4" w:space="0" w:color="auto"/>
              <w:right w:val="single" w:sz="4" w:space="0" w:color="auto"/>
            </w:tcBorders>
            <w:shd w:val="clear" w:color="auto" w:fill="C6EFCE"/>
            <w:noWrap/>
          </w:tcPr>
          <w:p w14:paraId="6D024002" w14:textId="77777777"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T2</w:t>
            </w:r>
          </w:p>
        </w:tc>
        <w:tc>
          <w:tcPr>
            <w:tcW w:w="742" w:type="dxa"/>
            <w:tcBorders>
              <w:top w:val="nil"/>
              <w:left w:val="nil"/>
              <w:bottom w:val="single" w:sz="4" w:space="0" w:color="auto"/>
              <w:right w:val="single" w:sz="4" w:space="0" w:color="auto"/>
            </w:tcBorders>
            <w:shd w:val="clear" w:color="auto" w:fill="C6EFCE"/>
            <w:noWrap/>
          </w:tcPr>
          <w:p w14:paraId="0A5E7E52" w14:textId="77777777"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2026</w:t>
            </w:r>
          </w:p>
        </w:tc>
        <w:tc>
          <w:tcPr>
            <w:tcW w:w="4650" w:type="dxa"/>
            <w:tcBorders>
              <w:top w:val="nil"/>
              <w:left w:val="nil"/>
              <w:bottom w:val="single" w:sz="4" w:space="0" w:color="auto"/>
              <w:right w:val="single" w:sz="4" w:space="0" w:color="auto"/>
            </w:tcBorders>
            <w:shd w:val="clear" w:color="auto" w:fill="C6EFCE"/>
            <w:noWrap/>
          </w:tcPr>
          <w:p w14:paraId="6620D159" w14:textId="7BC19BEC" w:rsidR="006E1228" w:rsidRPr="00D26611" w:rsidRDefault="4AC8A402" w:rsidP="00C937A7">
            <w:pPr>
              <w:spacing w:after="0"/>
              <w:rPr>
                <w:rFonts w:ascii="Times New Roman" w:hAnsi="Times New Roman" w:cs="Times New Roman"/>
                <w:noProof/>
                <w:color w:val="006100"/>
                <w:sz w:val="20"/>
                <w:szCs w:val="20"/>
              </w:rPr>
            </w:pPr>
            <w:r>
              <w:rPr>
                <w:rFonts w:ascii="Times New Roman" w:hAnsi="Times New Roman"/>
                <w:noProof/>
                <w:color w:val="006100"/>
                <w:sz w:val="20"/>
              </w:rPr>
              <w:t xml:space="preserve">След подписването на договорите (ключов етап 12) ще бъде завършено обновяването на 57 детски градини, 59 училища и 24 техникума. </w:t>
            </w:r>
          </w:p>
          <w:p w14:paraId="140C4111" w14:textId="77777777" w:rsidR="006E1228" w:rsidRPr="008A0F8A" w:rsidRDefault="006E1228" w:rsidP="00C937A7">
            <w:pPr>
              <w:spacing w:after="0"/>
              <w:rPr>
                <w:rFonts w:ascii="Times New Roman" w:hAnsi="Times New Roman" w:cs="Times New Roman"/>
                <w:noProof/>
                <w:color w:val="006100"/>
                <w:sz w:val="20"/>
                <w:szCs w:val="20"/>
                <w:lang w:val="ru-RU"/>
              </w:rPr>
            </w:pPr>
          </w:p>
          <w:p w14:paraId="3528D4B6" w14:textId="5CB57874" w:rsidR="006E1228" w:rsidRPr="00D26611" w:rsidRDefault="006E1228" w:rsidP="00C937A7">
            <w:pPr>
              <w:spacing w:after="0"/>
              <w:rPr>
                <w:rFonts w:ascii="Times New Roman" w:hAnsi="Times New Roman" w:cs="Times New Roman"/>
                <w:noProof/>
                <w:color w:val="006100"/>
                <w:sz w:val="20"/>
                <w:szCs w:val="20"/>
              </w:rPr>
            </w:pPr>
            <w:r>
              <w:rPr>
                <w:rFonts w:ascii="Times New Roman" w:hAnsi="Times New Roman"/>
                <w:noProof/>
                <w:color w:val="006100"/>
                <w:sz w:val="20"/>
              </w:rPr>
              <w:t>Освен това съответното оборудване и обзавеждане ще бъде доставено и монтирано.</w:t>
            </w:r>
          </w:p>
        </w:tc>
      </w:tr>
      <w:tr w:rsidR="006E1228" w:rsidRPr="005241FC" w14:paraId="2BFB5353" w14:textId="77777777" w:rsidTr="008E16C0">
        <w:trPr>
          <w:trHeight w:val="309"/>
        </w:trPr>
        <w:tc>
          <w:tcPr>
            <w:tcW w:w="709" w:type="dxa"/>
            <w:tcBorders>
              <w:top w:val="nil"/>
              <w:left w:val="single" w:sz="4" w:space="0" w:color="auto"/>
              <w:bottom w:val="single" w:sz="4" w:space="0" w:color="auto"/>
              <w:right w:val="single" w:sz="4" w:space="0" w:color="auto"/>
            </w:tcBorders>
            <w:shd w:val="clear" w:color="auto" w:fill="C6EFCE"/>
            <w:noWrap/>
          </w:tcPr>
          <w:p w14:paraId="78423E95" w14:textId="4BC43725"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14</w:t>
            </w:r>
          </w:p>
        </w:tc>
        <w:tc>
          <w:tcPr>
            <w:tcW w:w="1587" w:type="dxa"/>
            <w:tcBorders>
              <w:top w:val="nil"/>
              <w:left w:val="nil"/>
              <w:bottom w:val="single" w:sz="4" w:space="0" w:color="auto"/>
              <w:right w:val="single" w:sz="4" w:space="0" w:color="auto"/>
            </w:tcBorders>
            <w:shd w:val="clear" w:color="auto" w:fill="C6EFCE"/>
            <w:noWrap/>
          </w:tcPr>
          <w:p w14:paraId="2067CD72" w14:textId="77777777" w:rsidR="006E1228" w:rsidRPr="00D26611" w:rsidRDefault="006E1228" w:rsidP="00C937A7">
            <w:pPr>
              <w:spacing w:after="0"/>
              <w:rPr>
                <w:rFonts w:ascii="Times New Roman" w:hAnsi="Times New Roman" w:cs="Times New Roman"/>
                <w:noProof/>
                <w:color w:val="006100"/>
                <w:sz w:val="20"/>
                <w:szCs w:val="20"/>
              </w:rPr>
            </w:pPr>
            <w:r>
              <w:rPr>
                <w:rFonts w:ascii="Times New Roman" w:hAnsi="Times New Roman"/>
                <w:noProof/>
                <w:color w:val="006100"/>
                <w:sz w:val="20"/>
              </w:rPr>
              <w:t xml:space="preserve">К1.И2: </w:t>
            </w:r>
          </w:p>
          <w:p w14:paraId="494156DF" w14:textId="7CE2BEF9" w:rsidR="006E1228" w:rsidRPr="00D26611" w:rsidRDefault="006E1228" w:rsidP="00C937A7">
            <w:pPr>
              <w:spacing w:after="0"/>
              <w:rPr>
                <w:rFonts w:ascii="Times New Roman" w:hAnsi="Times New Roman" w:cs="Times New Roman"/>
                <w:noProof/>
                <w:color w:val="006100"/>
                <w:sz w:val="20"/>
                <w:szCs w:val="20"/>
              </w:rPr>
            </w:pPr>
            <w:r>
              <w:rPr>
                <w:rFonts w:ascii="Times New Roman" w:hAnsi="Times New Roman"/>
                <w:noProof/>
                <w:color w:val="006100"/>
                <w:sz w:val="20"/>
              </w:rPr>
              <w:t>Модернизиране на образователната инфраструктура</w:t>
            </w:r>
          </w:p>
          <w:p w14:paraId="6AAE7549" w14:textId="77777777" w:rsidR="006E1228" w:rsidRPr="008A0F8A" w:rsidRDefault="006E1228" w:rsidP="00C937A7">
            <w:pPr>
              <w:spacing w:after="0"/>
              <w:rPr>
                <w:rFonts w:ascii="Times New Roman" w:eastAsia="Times New Roman" w:hAnsi="Times New Roman" w:cs="Times New Roman"/>
                <w:noProof/>
                <w:color w:val="006100"/>
                <w:sz w:val="20"/>
                <w:szCs w:val="20"/>
                <w:lang w:val="ru-RU" w:eastAsia="en-GB"/>
              </w:rPr>
            </w:pPr>
          </w:p>
        </w:tc>
        <w:tc>
          <w:tcPr>
            <w:tcW w:w="993" w:type="dxa"/>
            <w:tcBorders>
              <w:top w:val="nil"/>
              <w:left w:val="nil"/>
              <w:bottom w:val="single" w:sz="4" w:space="0" w:color="auto"/>
              <w:right w:val="single" w:sz="4" w:space="0" w:color="auto"/>
            </w:tcBorders>
            <w:shd w:val="clear" w:color="auto" w:fill="C6EFCE"/>
            <w:noWrap/>
          </w:tcPr>
          <w:p w14:paraId="41D66E46" w14:textId="77777777"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Цел</w:t>
            </w:r>
          </w:p>
        </w:tc>
        <w:tc>
          <w:tcPr>
            <w:tcW w:w="1984" w:type="dxa"/>
            <w:tcBorders>
              <w:top w:val="nil"/>
              <w:left w:val="nil"/>
              <w:bottom w:val="single" w:sz="4" w:space="0" w:color="auto"/>
              <w:right w:val="single" w:sz="4" w:space="0" w:color="auto"/>
            </w:tcBorders>
            <w:shd w:val="clear" w:color="auto" w:fill="C6EFCE"/>
            <w:noWrap/>
          </w:tcPr>
          <w:p w14:paraId="5A515DD4" w14:textId="77777777" w:rsidR="006E1228" w:rsidRPr="00D26611" w:rsidRDefault="006E1228" w:rsidP="00C937A7">
            <w:pPr>
              <w:spacing w:after="0"/>
              <w:rPr>
                <w:rFonts w:ascii="Times New Roman" w:hAnsi="Times New Roman" w:cs="Times New Roman"/>
                <w:noProof/>
                <w:color w:val="006100"/>
                <w:sz w:val="20"/>
                <w:szCs w:val="20"/>
              </w:rPr>
            </w:pPr>
            <w:r>
              <w:rPr>
                <w:rFonts w:ascii="Times New Roman" w:hAnsi="Times New Roman"/>
                <w:noProof/>
                <w:color w:val="006100"/>
                <w:sz w:val="20"/>
              </w:rPr>
              <w:t>Приключване на строителството на детски градини и училища</w:t>
            </w:r>
          </w:p>
        </w:tc>
        <w:tc>
          <w:tcPr>
            <w:tcW w:w="1390" w:type="dxa"/>
            <w:tcBorders>
              <w:top w:val="nil"/>
              <w:left w:val="nil"/>
              <w:bottom w:val="single" w:sz="4" w:space="0" w:color="auto"/>
              <w:right w:val="single" w:sz="4" w:space="0" w:color="auto"/>
            </w:tcBorders>
            <w:shd w:val="clear" w:color="auto" w:fill="C6EFCE"/>
            <w:noWrap/>
          </w:tcPr>
          <w:p w14:paraId="7E896527" w14:textId="77777777"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850" w:type="dxa"/>
            <w:tcBorders>
              <w:top w:val="nil"/>
              <w:left w:val="nil"/>
              <w:bottom w:val="single" w:sz="4" w:space="0" w:color="auto"/>
              <w:right w:val="single" w:sz="4" w:space="0" w:color="auto"/>
            </w:tcBorders>
            <w:shd w:val="clear" w:color="auto" w:fill="C6EFCE"/>
            <w:noWrap/>
          </w:tcPr>
          <w:p w14:paraId="77FA92E2" w14:textId="77777777"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Брой</w:t>
            </w:r>
          </w:p>
        </w:tc>
        <w:tc>
          <w:tcPr>
            <w:tcW w:w="879" w:type="dxa"/>
            <w:tcBorders>
              <w:top w:val="nil"/>
              <w:left w:val="nil"/>
              <w:bottom w:val="single" w:sz="4" w:space="0" w:color="auto"/>
              <w:right w:val="single" w:sz="4" w:space="0" w:color="auto"/>
            </w:tcBorders>
            <w:shd w:val="clear" w:color="auto" w:fill="C6EFCE"/>
            <w:noWrap/>
          </w:tcPr>
          <w:p w14:paraId="62E1E2E8" w14:textId="77777777"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0</w:t>
            </w:r>
          </w:p>
        </w:tc>
        <w:tc>
          <w:tcPr>
            <w:tcW w:w="675" w:type="dxa"/>
            <w:tcBorders>
              <w:top w:val="nil"/>
              <w:left w:val="nil"/>
              <w:bottom w:val="single" w:sz="4" w:space="0" w:color="auto"/>
              <w:right w:val="single" w:sz="4" w:space="0" w:color="auto"/>
            </w:tcBorders>
            <w:shd w:val="clear" w:color="auto" w:fill="C6EFCE"/>
            <w:noWrap/>
          </w:tcPr>
          <w:p w14:paraId="0ECAD366" w14:textId="77777777"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16</w:t>
            </w:r>
          </w:p>
        </w:tc>
        <w:tc>
          <w:tcPr>
            <w:tcW w:w="851" w:type="dxa"/>
            <w:tcBorders>
              <w:top w:val="nil"/>
              <w:left w:val="nil"/>
              <w:bottom w:val="single" w:sz="4" w:space="0" w:color="auto"/>
              <w:right w:val="single" w:sz="4" w:space="0" w:color="auto"/>
            </w:tcBorders>
            <w:shd w:val="clear" w:color="auto" w:fill="C6EFCE"/>
            <w:noWrap/>
          </w:tcPr>
          <w:p w14:paraId="161C9FDD" w14:textId="77777777"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T2</w:t>
            </w:r>
          </w:p>
        </w:tc>
        <w:tc>
          <w:tcPr>
            <w:tcW w:w="742" w:type="dxa"/>
            <w:tcBorders>
              <w:top w:val="nil"/>
              <w:left w:val="nil"/>
              <w:bottom w:val="single" w:sz="4" w:space="0" w:color="auto"/>
              <w:right w:val="single" w:sz="4" w:space="0" w:color="auto"/>
            </w:tcBorders>
            <w:shd w:val="clear" w:color="auto" w:fill="C6EFCE"/>
            <w:noWrap/>
          </w:tcPr>
          <w:p w14:paraId="632D906A" w14:textId="77777777"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2026</w:t>
            </w:r>
          </w:p>
        </w:tc>
        <w:tc>
          <w:tcPr>
            <w:tcW w:w="4650" w:type="dxa"/>
            <w:tcBorders>
              <w:top w:val="nil"/>
              <w:left w:val="nil"/>
              <w:bottom w:val="single" w:sz="4" w:space="0" w:color="auto"/>
              <w:right w:val="single" w:sz="4" w:space="0" w:color="auto"/>
            </w:tcBorders>
            <w:shd w:val="clear" w:color="auto" w:fill="C6EFCE"/>
            <w:noWrap/>
          </w:tcPr>
          <w:p w14:paraId="660A1603" w14:textId="09DFA55B" w:rsidR="006E1228" w:rsidRPr="00D26611" w:rsidRDefault="006E1228" w:rsidP="00C937A7">
            <w:pPr>
              <w:pStyle w:val="ListParagraph"/>
              <w:spacing w:after="0"/>
              <w:ind w:left="0"/>
              <w:rPr>
                <w:rFonts w:ascii="Times New Roman" w:hAnsi="Times New Roman" w:cs="Times New Roman"/>
                <w:noProof/>
                <w:color w:val="006100"/>
                <w:sz w:val="20"/>
                <w:szCs w:val="20"/>
              </w:rPr>
            </w:pPr>
            <w:r>
              <w:rPr>
                <w:rFonts w:ascii="Times New Roman" w:hAnsi="Times New Roman"/>
                <w:noProof/>
                <w:color w:val="006100"/>
                <w:sz w:val="20"/>
              </w:rPr>
              <w:t>След подписването на договорите (ключов етап 12) ще бъде завършено построяването на осем детски градини и осем училища, чието първично енергопотребление ще бъде поне с 20 % по-ниско от изискването за СБННПЕ (сграда с близко до нулево нетно потребление на енергия, национални директиви).</w:t>
            </w:r>
          </w:p>
        </w:tc>
      </w:tr>
      <w:tr w:rsidR="006E1228" w:rsidRPr="005241FC" w14:paraId="155336DF" w14:textId="77777777" w:rsidTr="008E16C0">
        <w:trPr>
          <w:trHeight w:val="309"/>
        </w:trPr>
        <w:tc>
          <w:tcPr>
            <w:tcW w:w="709" w:type="dxa"/>
            <w:tcBorders>
              <w:top w:val="nil"/>
              <w:left w:val="single" w:sz="4" w:space="0" w:color="auto"/>
              <w:bottom w:val="single" w:sz="4" w:space="0" w:color="auto"/>
              <w:right w:val="single" w:sz="4" w:space="0" w:color="auto"/>
            </w:tcBorders>
            <w:shd w:val="clear" w:color="auto" w:fill="C6EFCE"/>
            <w:noWrap/>
          </w:tcPr>
          <w:p w14:paraId="63B84FA5" w14:textId="7962F54D" w:rsidR="006E1228" w:rsidRPr="00D26611" w:rsidRDefault="006E1228" w:rsidP="00C937A7">
            <w:pPr>
              <w:spacing w:after="0"/>
              <w:rPr>
                <w:rFonts w:ascii="Times New Roman" w:eastAsia="Times New Roman" w:hAnsi="Times New Roman" w:cs="Times New Roman"/>
                <w:noProof/>
                <w:sz w:val="20"/>
                <w:szCs w:val="20"/>
              </w:rPr>
            </w:pPr>
            <w:r>
              <w:rPr>
                <w:rFonts w:ascii="Times New Roman" w:hAnsi="Times New Roman"/>
                <w:noProof/>
                <w:color w:val="006100"/>
                <w:sz w:val="20"/>
              </w:rPr>
              <w:t>15</w:t>
            </w:r>
          </w:p>
        </w:tc>
        <w:tc>
          <w:tcPr>
            <w:tcW w:w="1587" w:type="dxa"/>
            <w:tcBorders>
              <w:top w:val="nil"/>
              <w:left w:val="nil"/>
              <w:bottom w:val="single" w:sz="4" w:space="0" w:color="auto"/>
              <w:right w:val="single" w:sz="4" w:space="0" w:color="auto"/>
            </w:tcBorders>
            <w:shd w:val="clear" w:color="auto" w:fill="C6EFCE"/>
            <w:noWrap/>
          </w:tcPr>
          <w:p w14:paraId="30D46B7F" w14:textId="77777777" w:rsidR="006E1228" w:rsidRPr="00D26611" w:rsidRDefault="006E1228" w:rsidP="00C937A7">
            <w:pPr>
              <w:spacing w:after="0"/>
              <w:rPr>
                <w:rFonts w:ascii="Times New Roman" w:hAnsi="Times New Roman" w:cs="Times New Roman"/>
                <w:noProof/>
                <w:color w:val="006100"/>
                <w:sz w:val="20"/>
                <w:szCs w:val="20"/>
              </w:rPr>
            </w:pPr>
            <w:r>
              <w:rPr>
                <w:rFonts w:ascii="Times New Roman" w:hAnsi="Times New Roman"/>
                <w:noProof/>
                <w:color w:val="006100"/>
                <w:sz w:val="20"/>
              </w:rPr>
              <w:t xml:space="preserve">К1.И2: </w:t>
            </w:r>
          </w:p>
          <w:p w14:paraId="602CB8F5" w14:textId="0139ECA8" w:rsidR="006E1228" w:rsidRPr="00D26611" w:rsidRDefault="006E1228" w:rsidP="00C937A7">
            <w:pPr>
              <w:spacing w:after="0"/>
              <w:rPr>
                <w:rFonts w:ascii="Times New Roman" w:hAnsi="Times New Roman" w:cs="Times New Roman"/>
                <w:noProof/>
                <w:color w:val="006100"/>
                <w:sz w:val="20"/>
                <w:szCs w:val="20"/>
              </w:rPr>
            </w:pPr>
            <w:r>
              <w:rPr>
                <w:rFonts w:ascii="Times New Roman" w:hAnsi="Times New Roman"/>
                <w:noProof/>
                <w:color w:val="006100"/>
                <w:sz w:val="20"/>
              </w:rPr>
              <w:t>Модернизиране на образователната инфраструктура</w:t>
            </w:r>
          </w:p>
        </w:tc>
        <w:tc>
          <w:tcPr>
            <w:tcW w:w="993" w:type="dxa"/>
            <w:tcBorders>
              <w:top w:val="nil"/>
              <w:left w:val="nil"/>
              <w:bottom w:val="single" w:sz="4" w:space="0" w:color="auto"/>
              <w:right w:val="single" w:sz="4" w:space="0" w:color="auto"/>
            </w:tcBorders>
            <w:shd w:val="clear" w:color="auto" w:fill="C6EFCE"/>
            <w:noWrap/>
          </w:tcPr>
          <w:p w14:paraId="2EC07655" w14:textId="77777777"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Цел</w:t>
            </w:r>
          </w:p>
        </w:tc>
        <w:tc>
          <w:tcPr>
            <w:tcW w:w="1984" w:type="dxa"/>
            <w:tcBorders>
              <w:top w:val="nil"/>
              <w:left w:val="nil"/>
              <w:bottom w:val="single" w:sz="4" w:space="0" w:color="auto"/>
              <w:right w:val="single" w:sz="4" w:space="0" w:color="auto"/>
            </w:tcBorders>
            <w:shd w:val="clear" w:color="auto" w:fill="C6EFCE"/>
            <w:noWrap/>
          </w:tcPr>
          <w:p w14:paraId="288860DD" w14:textId="77777777" w:rsidR="006E1228" w:rsidRPr="00D26611" w:rsidRDefault="006E1228" w:rsidP="00C937A7">
            <w:pPr>
              <w:spacing w:after="0"/>
              <w:rPr>
                <w:rFonts w:ascii="Times New Roman" w:hAnsi="Times New Roman" w:cs="Times New Roman"/>
                <w:noProof/>
                <w:color w:val="006100"/>
                <w:sz w:val="20"/>
                <w:szCs w:val="20"/>
              </w:rPr>
            </w:pPr>
            <w:r>
              <w:rPr>
                <w:rFonts w:ascii="Times New Roman" w:hAnsi="Times New Roman"/>
                <w:noProof/>
                <w:color w:val="006100"/>
                <w:sz w:val="20"/>
              </w:rPr>
              <w:t xml:space="preserve">Приключване на обновяването на студентски общежития </w:t>
            </w:r>
          </w:p>
        </w:tc>
        <w:tc>
          <w:tcPr>
            <w:tcW w:w="1390" w:type="dxa"/>
            <w:tcBorders>
              <w:top w:val="nil"/>
              <w:left w:val="nil"/>
              <w:bottom w:val="single" w:sz="4" w:space="0" w:color="auto"/>
              <w:right w:val="single" w:sz="4" w:space="0" w:color="auto"/>
            </w:tcBorders>
            <w:shd w:val="clear" w:color="auto" w:fill="C6EFCE"/>
            <w:noWrap/>
          </w:tcPr>
          <w:p w14:paraId="12F8CACA" w14:textId="77777777"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850" w:type="dxa"/>
            <w:tcBorders>
              <w:top w:val="nil"/>
              <w:left w:val="nil"/>
              <w:bottom w:val="single" w:sz="4" w:space="0" w:color="auto"/>
              <w:right w:val="single" w:sz="4" w:space="0" w:color="auto"/>
            </w:tcBorders>
            <w:shd w:val="clear" w:color="auto" w:fill="C6EFCE"/>
            <w:noWrap/>
          </w:tcPr>
          <w:p w14:paraId="6D886C50" w14:textId="77777777"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Брой</w:t>
            </w:r>
          </w:p>
        </w:tc>
        <w:tc>
          <w:tcPr>
            <w:tcW w:w="879" w:type="dxa"/>
            <w:tcBorders>
              <w:top w:val="nil"/>
              <w:left w:val="nil"/>
              <w:bottom w:val="single" w:sz="4" w:space="0" w:color="auto"/>
              <w:right w:val="single" w:sz="4" w:space="0" w:color="auto"/>
            </w:tcBorders>
            <w:shd w:val="clear" w:color="auto" w:fill="C6EFCE"/>
            <w:noWrap/>
          </w:tcPr>
          <w:p w14:paraId="25B03D76" w14:textId="77777777"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0</w:t>
            </w:r>
          </w:p>
        </w:tc>
        <w:tc>
          <w:tcPr>
            <w:tcW w:w="675" w:type="dxa"/>
            <w:tcBorders>
              <w:top w:val="nil"/>
              <w:left w:val="nil"/>
              <w:bottom w:val="single" w:sz="4" w:space="0" w:color="auto"/>
              <w:right w:val="single" w:sz="4" w:space="0" w:color="auto"/>
            </w:tcBorders>
            <w:shd w:val="clear" w:color="auto" w:fill="C6EFCE"/>
            <w:noWrap/>
          </w:tcPr>
          <w:p w14:paraId="7532B034" w14:textId="77777777"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23</w:t>
            </w:r>
          </w:p>
        </w:tc>
        <w:tc>
          <w:tcPr>
            <w:tcW w:w="851" w:type="dxa"/>
            <w:tcBorders>
              <w:top w:val="nil"/>
              <w:left w:val="nil"/>
              <w:bottom w:val="single" w:sz="4" w:space="0" w:color="auto"/>
              <w:right w:val="single" w:sz="4" w:space="0" w:color="auto"/>
            </w:tcBorders>
            <w:shd w:val="clear" w:color="auto" w:fill="C6EFCE"/>
            <w:noWrap/>
          </w:tcPr>
          <w:p w14:paraId="349EC103" w14:textId="77777777"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T2</w:t>
            </w:r>
          </w:p>
        </w:tc>
        <w:tc>
          <w:tcPr>
            <w:tcW w:w="742" w:type="dxa"/>
            <w:tcBorders>
              <w:top w:val="nil"/>
              <w:left w:val="nil"/>
              <w:bottom w:val="single" w:sz="4" w:space="0" w:color="auto"/>
              <w:right w:val="single" w:sz="4" w:space="0" w:color="auto"/>
            </w:tcBorders>
            <w:shd w:val="clear" w:color="auto" w:fill="C6EFCE"/>
            <w:noWrap/>
          </w:tcPr>
          <w:p w14:paraId="495F6F53" w14:textId="77777777"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2026</w:t>
            </w:r>
          </w:p>
        </w:tc>
        <w:tc>
          <w:tcPr>
            <w:tcW w:w="4650" w:type="dxa"/>
            <w:tcBorders>
              <w:top w:val="nil"/>
              <w:left w:val="nil"/>
              <w:bottom w:val="single" w:sz="4" w:space="0" w:color="auto"/>
              <w:right w:val="single" w:sz="4" w:space="0" w:color="auto"/>
            </w:tcBorders>
            <w:shd w:val="clear" w:color="auto" w:fill="C6EFCE"/>
            <w:noWrap/>
          </w:tcPr>
          <w:p w14:paraId="6D3E97D2" w14:textId="441998B7" w:rsidR="006E1228" w:rsidRPr="00D26611" w:rsidRDefault="4AC8A402" w:rsidP="00D50106">
            <w:pPr>
              <w:spacing w:after="0"/>
              <w:rPr>
                <w:rFonts w:ascii="Times New Roman" w:hAnsi="Times New Roman" w:cs="Times New Roman"/>
                <w:noProof/>
                <w:color w:val="006100"/>
                <w:sz w:val="20"/>
                <w:szCs w:val="20"/>
              </w:rPr>
            </w:pPr>
            <w:r>
              <w:rPr>
                <w:rFonts w:ascii="Times New Roman" w:hAnsi="Times New Roman"/>
                <w:noProof/>
                <w:color w:val="006100"/>
                <w:sz w:val="20"/>
              </w:rPr>
              <w:t xml:space="preserve">След подписването на договорите (ключов етап 12) ще бъде завършено обновяването на 23 общежития. </w:t>
            </w:r>
          </w:p>
        </w:tc>
      </w:tr>
      <w:tr w:rsidR="006E1228" w:rsidRPr="005241FC" w14:paraId="70B43180" w14:textId="77777777" w:rsidTr="008E16C0">
        <w:trPr>
          <w:trHeight w:val="309"/>
        </w:trPr>
        <w:tc>
          <w:tcPr>
            <w:tcW w:w="709" w:type="dxa"/>
            <w:tcBorders>
              <w:top w:val="nil"/>
              <w:left w:val="single" w:sz="4" w:space="0" w:color="auto"/>
              <w:bottom w:val="single" w:sz="4" w:space="0" w:color="auto"/>
              <w:right w:val="single" w:sz="4" w:space="0" w:color="auto"/>
            </w:tcBorders>
            <w:shd w:val="clear" w:color="auto" w:fill="C6EFCE"/>
            <w:noWrap/>
          </w:tcPr>
          <w:p w14:paraId="346CCBEC" w14:textId="0C14E1C8" w:rsidR="006E1228" w:rsidRPr="00D26611" w:rsidRDefault="006E1228" w:rsidP="00C937A7">
            <w:pPr>
              <w:spacing w:after="0"/>
              <w:rPr>
                <w:rFonts w:ascii="Times New Roman" w:eastAsia="Times New Roman" w:hAnsi="Times New Roman" w:cs="Times New Roman"/>
                <w:noProof/>
                <w:sz w:val="20"/>
                <w:szCs w:val="20"/>
              </w:rPr>
            </w:pPr>
            <w:r>
              <w:rPr>
                <w:rFonts w:ascii="Times New Roman" w:hAnsi="Times New Roman"/>
                <w:noProof/>
                <w:color w:val="006100"/>
                <w:sz w:val="20"/>
              </w:rPr>
              <w:t>16</w:t>
            </w:r>
          </w:p>
        </w:tc>
        <w:tc>
          <w:tcPr>
            <w:tcW w:w="1587" w:type="dxa"/>
            <w:tcBorders>
              <w:top w:val="nil"/>
              <w:left w:val="nil"/>
              <w:bottom w:val="single" w:sz="4" w:space="0" w:color="auto"/>
              <w:right w:val="single" w:sz="4" w:space="0" w:color="auto"/>
            </w:tcBorders>
            <w:shd w:val="clear" w:color="auto" w:fill="C6EFCE"/>
            <w:noWrap/>
          </w:tcPr>
          <w:p w14:paraId="4CD7FE71" w14:textId="77777777" w:rsidR="006E1228" w:rsidRPr="00D26611" w:rsidRDefault="006E1228" w:rsidP="00C937A7">
            <w:pPr>
              <w:spacing w:after="0"/>
              <w:rPr>
                <w:rFonts w:ascii="Times New Roman" w:hAnsi="Times New Roman" w:cs="Times New Roman"/>
                <w:noProof/>
                <w:color w:val="006100"/>
                <w:sz w:val="20"/>
                <w:szCs w:val="20"/>
              </w:rPr>
            </w:pPr>
            <w:r>
              <w:rPr>
                <w:rFonts w:ascii="Times New Roman" w:hAnsi="Times New Roman"/>
                <w:noProof/>
                <w:color w:val="006100"/>
                <w:sz w:val="20"/>
              </w:rPr>
              <w:t xml:space="preserve">К1.И2: </w:t>
            </w:r>
          </w:p>
          <w:p w14:paraId="1549097F" w14:textId="7EDBDD90" w:rsidR="006E1228" w:rsidRPr="00D26611" w:rsidRDefault="006E1228" w:rsidP="00C937A7">
            <w:pPr>
              <w:spacing w:after="0"/>
              <w:rPr>
                <w:rFonts w:ascii="Times New Roman" w:hAnsi="Times New Roman" w:cs="Times New Roman"/>
                <w:noProof/>
                <w:color w:val="006100"/>
                <w:sz w:val="20"/>
                <w:szCs w:val="20"/>
              </w:rPr>
            </w:pPr>
            <w:r>
              <w:rPr>
                <w:rFonts w:ascii="Times New Roman" w:hAnsi="Times New Roman"/>
                <w:noProof/>
                <w:color w:val="006100"/>
                <w:sz w:val="20"/>
              </w:rPr>
              <w:t>Модернизиране на образователната инфраструктура</w:t>
            </w:r>
          </w:p>
          <w:p w14:paraId="2DFE1BD0" w14:textId="77777777" w:rsidR="006E1228" w:rsidRPr="008A0F8A" w:rsidRDefault="006E1228" w:rsidP="00C937A7">
            <w:pPr>
              <w:spacing w:after="0"/>
              <w:rPr>
                <w:rFonts w:ascii="Times New Roman" w:eastAsia="Times New Roman" w:hAnsi="Times New Roman" w:cs="Times New Roman"/>
                <w:noProof/>
                <w:color w:val="006100"/>
                <w:sz w:val="20"/>
                <w:szCs w:val="20"/>
                <w:lang w:val="ru-RU" w:eastAsia="en-GB"/>
              </w:rPr>
            </w:pPr>
          </w:p>
        </w:tc>
        <w:tc>
          <w:tcPr>
            <w:tcW w:w="993" w:type="dxa"/>
            <w:tcBorders>
              <w:top w:val="nil"/>
              <w:left w:val="nil"/>
              <w:bottom w:val="single" w:sz="4" w:space="0" w:color="auto"/>
              <w:right w:val="single" w:sz="4" w:space="0" w:color="auto"/>
            </w:tcBorders>
            <w:shd w:val="clear" w:color="auto" w:fill="C6EFCE"/>
            <w:noWrap/>
          </w:tcPr>
          <w:p w14:paraId="087DC9C4" w14:textId="77777777"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Цел</w:t>
            </w:r>
          </w:p>
        </w:tc>
        <w:tc>
          <w:tcPr>
            <w:tcW w:w="1984" w:type="dxa"/>
            <w:tcBorders>
              <w:top w:val="nil"/>
              <w:left w:val="nil"/>
              <w:bottom w:val="single" w:sz="4" w:space="0" w:color="auto"/>
              <w:right w:val="single" w:sz="4" w:space="0" w:color="auto"/>
            </w:tcBorders>
            <w:shd w:val="clear" w:color="auto" w:fill="C6EFCE"/>
            <w:noWrap/>
          </w:tcPr>
          <w:p w14:paraId="5CB21774" w14:textId="77777777" w:rsidR="006E1228" w:rsidRPr="00D26611" w:rsidRDefault="006E1228" w:rsidP="00C937A7">
            <w:pPr>
              <w:spacing w:after="0"/>
              <w:rPr>
                <w:rFonts w:ascii="Times New Roman" w:hAnsi="Times New Roman" w:cs="Times New Roman"/>
                <w:noProof/>
                <w:color w:val="006100"/>
                <w:sz w:val="20"/>
                <w:szCs w:val="20"/>
              </w:rPr>
            </w:pPr>
            <w:r>
              <w:rPr>
                <w:rFonts w:ascii="Times New Roman" w:hAnsi="Times New Roman"/>
                <w:noProof/>
                <w:color w:val="006100"/>
                <w:sz w:val="20"/>
              </w:rPr>
              <w:t>Приключване на изграждането и/или обновяването на университетски комплекси</w:t>
            </w:r>
          </w:p>
        </w:tc>
        <w:tc>
          <w:tcPr>
            <w:tcW w:w="1390" w:type="dxa"/>
            <w:tcBorders>
              <w:top w:val="nil"/>
              <w:left w:val="nil"/>
              <w:bottom w:val="single" w:sz="4" w:space="0" w:color="auto"/>
              <w:right w:val="single" w:sz="4" w:space="0" w:color="auto"/>
            </w:tcBorders>
            <w:shd w:val="clear" w:color="auto" w:fill="C6EFCE"/>
            <w:noWrap/>
          </w:tcPr>
          <w:p w14:paraId="373AA046" w14:textId="77777777"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850" w:type="dxa"/>
            <w:tcBorders>
              <w:top w:val="nil"/>
              <w:left w:val="nil"/>
              <w:bottom w:val="single" w:sz="4" w:space="0" w:color="auto"/>
              <w:right w:val="single" w:sz="4" w:space="0" w:color="auto"/>
            </w:tcBorders>
            <w:shd w:val="clear" w:color="auto" w:fill="C6EFCE"/>
            <w:noWrap/>
          </w:tcPr>
          <w:p w14:paraId="5F235CD1" w14:textId="77777777"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Брой</w:t>
            </w:r>
          </w:p>
        </w:tc>
        <w:tc>
          <w:tcPr>
            <w:tcW w:w="879" w:type="dxa"/>
            <w:tcBorders>
              <w:top w:val="nil"/>
              <w:left w:val="nil"/>
              <w:bottom w:val="single" w:sz="4" w:space="0" w:color="auto"/>
              <w:right w:val="single" w:sz="4" w:space="0" w:color="auto"/>
            </w:tcBorders>
            <w:shd w:val="clear" w:color="auto" w:fill="C6EFCE"/>
            <w:noWrap/>
          </w:tcPr>
          <w:p w14:paraId="6AACB163" w14:textId="77777777"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0</w:t>
            </w:r>
          </w:p>
        </w:tc>
        <w:tc>
          <w:tcPr>
            <w:tcW w:w="675" w:type="dxa"/>
            <w:tcBorders>
              <w:top w:val="nil"/>
              <w:left w:val="nil"/>
              <w:bottom w:val="single" w:sz="4" w:space="0" w:color="auto"/>
              <w:right w:val="single" w:sz="4" w:space="0" w:color="auto"/>
            </w:tcBorders>
            <w:shd w:val="clear" w:color="auto" w:fill="C6EFCE"/>
            <w:noWrap/>
          </w:tcPr>
          <w:p w14:paraId="7E1E1FA4" w14:textId="77777777"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3</w:t>
            </w:r>
          </w:p>
        </w:tc>
        <w:tc>
          <w:tcPr>
            <w:tcW w:w="851" w:type="dxa"/>
            <w:tcBorders>
              <w:top w:val="nil"/>
              <w:left w:val="nil"/>
              <w:bottom w:val="single" w:sz="4" w:space="0" w:color="auto"/>
              <w:right w:val="single" w:sz="4" w:space="0" w:color="auto"/>
            </w:tcBorders>
            <w:shd w:val="clear" w:color="auto" w:fill="C6EFCE"/>
            <w:noWrap/>
          </w:tcPr>
          <w:p w14:paraId="64B0E05F" w14:textId="77777777"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T2</w:t>
            </w:r>
          </w:p>
        </w:tc>
        <w:tc>
          <w:tcPr>
            <w:tcW w:w="742" w:type="dxa"/>
            <w:tcBorders>
              <w:top w:val="nil"/>
              <w:left w:val="nil"/>
              <w:bottom w:val="single" w:sz="4" w:space="0" w:color="auto"/>
              <w:right w:val="single" w:sz="4" w:space="0" w:color="auto"/>
            </w:tcBorders>
            <w:shd w:val="clear" w:color="auto" w:fill="C6EFCE"/>
            <w:noWrap/>
          </w:tcPr>
          <w:p w14:paraId="709C77D9" w14:textId="77777777"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2026</w:t>
            </w:r>
          </w:p>
        </w:tc>
        <w:tc>
          <w:tcPr>
            <w:tcW w:w="4650" w:type="dxa"/>
            <w:tcBorders>
              <w:top w:val="nil"/>
              <w:left w:val="nil"/>
              <w:bottom w:val="single" w:sz="4" w:space="0" w:color="auto"/>
              <w:right w:val="single" w:sz="4" w:space="0" w:color="auto"/>
            </w:tcBorders>
            <w:shd w:val="clear" w:color="auto" w:fill="C6EFCE"/>
            <w:noWrap/>
          </w:tcPr>
          <w:p w14:paraId="3DAEA9C8" w14:textId="6AE3190D" w:rsidR="006E1228" w:rsidRPr="00D26611" w:rsidRDefault="006E1228" w:rsidP="00C937A7">
            <w:pPr>
              <w:spacing w:after="0"/>
              <w:rPr>
                <w:rFonts w:ascii="Times New Roman" w:hAnsi="Times New Roman" w:cs="Times New Roman"/>
                <w:noProof/>
                <w:sz w:val="20"/>
                <w:szCs w:val="20"/>
              </w:rPr>
            </w:pPr>
            <w:r>
              <w:rPr>
                <w:rFonts w:ascii="Times New Roman" w:hAnsi="Times New Roman"/>
                <w:noProof/>
                <w:color w:val="006100"/>
                <w:sz w:val="20"/>
              </w:rPr>
              <w:t>След подписването на договорите (ключов етап 12) ще бъде завършено построяването или обновяването на три университетски комплекса. Строителството или обновяването може да включва тротоари, пешеходни алеи, паркинги за велосипеди и автомобили, открити и закрити спортни зони.</w:t>
            </w:r>
          </w:p>
        </w:tc>
      </w:tr>
      <w:tr w:rsidR="006E1228" w:rsidRPr="005241FC" w14:paraId="7DB1574F" w14:textId="77777777" w:rsidTr="008E16C0">
        <w:trPr>
          <w:trHeight w:val="309"/>
        </w:trPr>
        <w:tc>
          <w:tcPr>
            <w:tcW w:w="709" w:type="dxa"/>
            <w:tcBorders>
              <w:top w:val="nil"/>
              <w:left w:val="single" w:sz="4" w:space="0" w:color="auto"/>
              <w:bottom w:val="single" w:sz="4" w:space="0" w:color="auto"/>
              <w:right w:val="single" w:sz="4" w:space="0" w:color="auto"/>
            </w:tcBorders>
            <w:shd w:val="clear" w:color="auto" w:fill="C6EFCE"/>
            <w:noWrap/>
          </w:tcPr>
          <w:p w14:paraId="4BDBDF27" w14:textId="487CDC72" w:rsidR="006E1228" w:rsidRPr="00D26611" w:rsidRDefault="006E1228" w:rsidP="00C937A7">
            <w:pPr>
              <w:spacing w:after="0"/>
              <w:rPr>
                <w:rFonts w:ascii="Times New Roman" w:hAnsi="Times New Roman" w:cs="Times New Roman"/>
                <w:noProof/>
                <w:color w:val="006100"/>
                <w:sz w:val="20"/>
                <w:szCs w:val="20"/>
              </w:rPr>
            </w:pPr>
            <w:r>
              <w:rPr>
                <w:rFonts w:ascii="Times New Roman" w:hAnsi="Times New Roman"/>
                <w:noProof/>
                <w:color w:val="006100"/>
                <w:sz w:val="20"/>
              </w:rPr>
              <w:t>17</w:t>
            </w:r>
          </w:p>
        </w:tc>
        <w:tc>
          <w:tcPr>
            <w:tcW w:w="1587" w:type="dxa"/>
            <w:tcBorders>
              <w:top w:val="nil"/>
              <w:left w:val="nil"/>
              <w:bottom w:val="single" w:sz="4" w:space="0" w:color="auto"/>
              <w:right w:val="single" w:sz="4" w:space="0" w:color="auto"/>
            </w:tcBorders>
            <w:shd w:val="clear" w:color="auto" w:fill="C6EFCE"/>
            <w:noWrap/>
          </w:tcPr>
          <w:p w14:paraId="4D0CCB7C" w14:textId="77777777" w:rsidR="006E1228" w:rsidRPr="00D26611" w:rsidRDefault="006E1228" w:rsidP="00C937A7">
            <w:pPr>
              <w:spacing w:after="0"/>
              <w:rPr>
                <w:rFonts w:ascii="Times New Roman" w:hAnsi="Times New Roman" w:cs="Times New Roman"/>
                <w:noProof/>
                <w:color w:val="006100"/>
                <w:sz w:val="20"/>
                <w:szCs w:val="20"/>
              </w:rPr>
            </w:pPr>
            <w:r>
              <w:rPr>
                <w:rFonts w:ascii="Times New Roman" w:hAnsi="Times New Roman"/>
                <w:noProof/>
                <w:color w:val="006100"/>
                <w:sz w:val="20"/>
              </w:rPr>
              <w:t xml:space="preserve">К1.И3: </w:t>
            </w:r>
          </w:p>
          <w:p w14:paraId="7EE73899" w14:textId="77777777" w:rsidR="006E1228" w:rsidRPr="00D26611" w:rsidRDefault="006E1228" w:rsidP="00C937A7">
            <w:pPr>
              <w:spacing w:after="0"/>
              <w:rPr>
                <w:rFonts w:ascii="Times New Roman" w:hAnsi="Times New Roman" w:cs="Times New Roman"/>
                <w:noProof/>
                <w:color w:val="006100"/>
                <w:sz w:val="20"/>
                <w:szCs w:val="20"/>
              </w:rPr>
            </w:pPr>
            <w:r>
              <w:rPr>
                <w:rFonts w:ascii="Times New Roman" w:hAnsi="Times New Roman"/>
                <w:noProof/>
                <w:color w:val="006100"/>
                <w:sz w:val="20"/>
              </w:rPr>
              <w:t xml:space="preserve"> Предлагане на обучения за придобиване на умения в областта на цифровите технологии и създаване на обучителна платформа за възрастни</w:t>
            </w:r>
          </w:p>
        </w:tc>
        <w:tc>
          <w:tcPr>
            <w:tcW w:w="993" w:type="dxa"/>
            <w:tcBorders>
              <w:top w:val="nil"/>
              <w:left w:val="nil"/>
              <w:bottom w:val="single" w:sz="4" w:space="0" w:color="auto"/>
              <w:right w:val="single" w:sz="4" w:space="0" w:color="auto"/>
            </w:tcBorders>
            <w:shd w:val="clear" w:color="auto" w:fill="C6EFCE"/>
            <w:noWrap/>
          </w:tcPr>
          <w:p w14:paraId="07733CA6" w14:textId="77777777" w:rsidR="006E1228" w:rsidRPr="00D26611" w:rsidRDefault="006E1228" w:rsidP="00C937A7">
            <w:pPr>
              <w:spacing w:after="0"/>
              <w:rPr>
                <w:rFonts w:ascii="Times New Roman" w:hAnsi="Times New Roman" w:cs="Times New Roman"/>
                <w:noProof/>
                <w:color w:val="006100"/>
                <w:sz w:val="20"/>
                <w:szCs w:val="20"/>
              </w:rPr>
            </w:pPr>
            <w:r>
              <w:rPr>
                <w:rFonts w:ascii="Times New Roman" w:hAnsi="Times New Roman"/>
                <w:noProof/>
                <w:color w:val="006100"/>
                <w:sz w:val="20"/>
              </w:rPr>
              <w:t>Ключов етап</w:t>
            </w:r>
          </w:p>
        </w:tc>
        <w:tc>
          <w:tcPr>
            <w:tcW w:w="1984" w:type="dxa"/>
            <w:tcBorders>
              <w:top w:val="nil"/>
              <w:left w:val="nil"/>
              <w:bottom w:val="single" w:sz="4" w:space="0" w:color="auto"/>
              <w:right w:val="single" w:sz="4" w:space="0" w:color="auto"/>
            </w:tcBorders>
            <w:shd w:val="clear" w:color="auto" w:fill="C6EFCE"/>
            <w:noWrap/>
          </w:tcPr>
          <w:p w14:paraId="6AEA518B" w14:textId="77777777" w:rsidR="006E1228" w:rsidRPr="00D26611" w:rsidRDefault="006E1228" w:rsidP="00C937A7">
            <w:pPr>
              <w:spacing w:after="0"/>
              <w:rPr>
                <w:rFonts w:ascii="Times New Roman" w:hAnsi="Times New Roman" w:cs="Times New Roman"/>
                <w:noProof/>
                <w:color w:val="006100"/>
                <w:sz w:val="20"/>
                <w:szCs w:val="20"/>
              </w:rPr>
            </w:pPr>
            <w:r>
              <w:rPr>
                <w:rFonts w:ascii="Times New Roman" w:hAnsi="Times New Roman"/>
                <w:noProof/>
                <w:color w:val="006100"/>
                <w:sz w:val="20"/>
              </w:rPr>
              <w:t>Сключване на договори за разработване на платформа за електронно обучение за възрастни</w:t>
            </w:r>
          </w:p>
        </w:tc>
        <w:tc>
          <w:tcPr>
            <w:tcW w:w="1390" w:type="dxa"/>
            <w:tcBorders>
              <w:top w:val="nil"/>
              <w:left w:val="nil"/>
              <w:bottom w:val="single" w:sz="4" w:space="0" w:color="auto"/>
              <w:right w:val="single" w:sz="4" w:space="0" w:color="auto"/>
            </w:tcBorders>
            <w:shd w:val="clear" w:color="auto" w:fill="C6EFCE"/>
            <w:noWrap/>
          </w:tcPr>
          <w:p w14:paraId="3A4725E7" w14:textId="77777777" w:rsidR="006E1228" w:rsidRPr="00D26611" w:rsidRDefault="006E1228" w:rsidP="00C937A7">
            <w:pPr>
              <w:spacing w:after="0"/>
              <w:rPr>
                <w:rFonts w:ascii="Times New Roman" w:hAnsi="Times New Roman" w:cs="Times New Roman"/>
                <w:noProof/>
                <w:color w:val="006100"/>
                <w:sz w:val="20"/>
                <w:szCs w:val="20"/>
              </w:rPr>
            </w:pPr>
            <w:r>
              <w:rPr>
                <w:rFonts w:ascii="Times New Roman" w:hAnsi="Times New Roman"/>
                <w:noProof/>
                <w:color w:val="006100"/>
                <w:sz w:val="20"/>
              </w:rPr>
              <w:t>Сключени договори</w:t>
            </w:r>
          </w:p>
        </w:tc>
        <w:tc>
          <w:tcPr>
            <w:tcW w:w="850" w:type="dxa"/>
            <w:tcBorders>
              <w:top w:val="nil"/>
              <w:left w:val="nil"/>
              <w:bottom w:val="single" w:sz="4" w:space="0" w:color="auto"/>
              <w:right w:val="single" w:sz="4" w:space="0" w:color="auto"/>
            </w:tcBorders>
            <w:shd w:val="clear" w:color="auto" w:fill="C6EFCE"/>
            <w:noWrap/>
          </w:tcPr>
          <w:p w14:paraId="5685D1AE" w14:textId="77777777" w:rsidR="006E1228" w:rsidRPr="00D26611" w:rsidDel="0033120F" w:rsidRDefault="006E1228" w:rsidP="00C937A7">
            <w:pPr>
              <w:spacing w:after="0"/>
              <w:rPr>
                <w:rFonts w:ascii="Times New Roman" w:hAnsi="Times New Roman" w:cs="Times New Roman"/>
                <w:noProof/>
                <w:color w:val="006100"/>
                <w:sz w:val="20"/>
                <w:szCs w:val="20"/>
                <w:lang w:val="en-GB"/>
              </w:rPr>
            </w:pPr>
          </w:p>
        </w:tc>
        <w:tc>
          <w:tcPr>
            <w:tcW w:w="879" w:type="dxa"/>
            <w:tcBorders>
              <w:top w:val="nil"/>
              <w:left w:val="nil"/>
              <w:bottom w:val="single" w:sz="4" w:space="0" w:color="auto"/>
              <w:right w:val="single" w:sz="4" w:space="0" w:color="auto"/>
            </w:tcBorders>
            <w:shd w:val="clear" w:color="auto" w:fill="C6EFCE"/>
            <w:noWrap/>
          </w:tcPr>
          <w:p w14:paraId="66C9D3FB" w14:textId="77777777" w:rsidR="006E1228" w:rsidRPr="00D26611" w:rsidDel="0033120F" w:rsidRDefault="006E1228" w:rsidP="00C937A7">
            <w:pPr>
              <w:spacing w:after="0"/>
              <w:rPr>
                <w:rFonts w:ascii="Times New Roman" w:hAnsi="Times New Roman" w:cs="Times New Roman"/>
                <w:noProof/>
                <w:color w:val="006100"/>
                <w:sz w:val="20"/>
                <w:szCs w:val="20"/>
                <w:lang w:val="en-GB"/>
              </w:rPr>
            </w:pPr>
          </w:p>
        </w:tc>
        <w:tc>
          <w:tcPr>
            <w:tcW w:w="675" w:type="dxa"/>
            <w:tcBorders>
              <w:top w:val="nil"/>
              <w:left w:val="nil"/>
              <w:bottom w:val="single" w:sz="4" w:space="0" w:color="auto"/>
              <w:right w:val="single" w:sz="4" w:space="0" w:color="auto"/>
            </w:tcBorders>
            <w:shd w:val="clear" w:color="auto" w:fill="C6EFCE"/>
            <w:noWrap/>
          </w:tcPr>
          <w:p w14:paraId="67D620DE" w14:textId="77777777" w:rsidR="006E1228" w:rsidRPr="00D26611" w:rsidDel="0033120F" w:rsidRDefault="006E1228" w:rsidP="00C937A7">
            <w:pPr>
              <w:spacing w:after="0"/>
              <w:rPr>
                <w:rFonts w:ascii="Times New Roman" w:hAnsi="Times New Roman" w:cs="Times New Roman"/>
                <w:noProof/>
                <w:color w:val="006100"/>
                <w:sz w:val="20"/>
                <w:szCs w:val="20"/>
                <w:lang w:val="en-US"/>
              </w:rPr>
            </w:pPr>
          </w:p>
        </w:tc>
        <w:tc>
          <w:tcPr>
            <w:tcW w:w="851" w:type="dxa"/>
            <w:tcBorders>
              <w:top w:val="nil"/>
              <w:left w:val="nil"/>
              <w:bottom w:val="single" w:sz="4" w:space="0" w:color="auto"/>
              <w:right w:val="single" w:sz="4" w:space="0" w:color="auto"/>
            </w:tcBorders>
            <w:shd w:val="clear" w:color="auto" w:fill="C6EFCE"/>
            <w:noWrap/>
          </w:tcPr>
          <w:p w14:paraId="1CB7D8F1" w14:textId="3720ECEA" w:rsidR="006E1228" w:rsidRPr="00D26611" w:rsidRDefault="006E1228" w:rsidP="00C937A7">
            <w:pPr>
              <w:spacing w:after="0"/>
              <w:rPr>
                <w:rFonts w:ascii="Times New Roman" w:hAnsi="Times New Roman" w:cs="Times New Roman"/>
                <w:noProof/>
                <w:color w:val="006100"/>
                <w:sz w:val="20"/>
                <w:szCs w:val="20"/>
              </w:rPr>
            </w:pPr>
            <w:r>
              <w:rPr>
                <w:rFonts w:ascii="Times New Roman" w:hAnsi="Times New Roman"/>
                <w:noProof/>
                <w:color w:val="006100"/>
                <w:sz w:val="20"/>
              </w:rPr>
              <w:t>T2</w:t>
            </w:r>
          </w:p>
        </w:tc>
        <w:tc>
          <w:tcPr>
            <w:tcW w:w="742" w:type="dxa"/>
            <w:tcBorders>
              <w:top w:val="nil"/>
              <w:left w:val="nil"/>
              <w:bottom w:val="single" w:sz="4" w:space="0" w:color="auto"/>
              <w:right w:val="single" w:sz="4" w:space="0" w:color="auto"/>
            </w:tcBorders>
            <w:shd w:val="clear" w:color="auto" w:fill="C6EFCE"/>
            <w:noWrap/>
          </w:tcPr>
          <w:p w14:paraId="540A456E" w14:textId="052D9B76" w:rsidR="006E1228" w:rsidRPr="00D26611" w:rsidRDefault="006E1228" w:rsidP="00C937A7">
            <w:pPr>
              <w:spacing w:after="0"/>
              <w:rPr>
                <w:rFonts w:ascii="Times New Roman" w:hAnsi="Times New Roman" w:cs="Times New Roman"/>
                <w:noProof/>
                <w:color w:val="006100"/>
                <w:sz w:val="20"/>
                <w:szCs w:val="20"/>
              </w:rPr>
            </w:pPr>
            <w:r>
              <w:rPr>
                <w:rFonts w:ascii="Times New Roman" w:hAnsi="Times New Roman"/>
                <w:noProof/>
                <w:color w:val="006100"/>
                <w:sz w:val="20"/>
              </w:rPr>
              <w:t>2023</w:t>
            </w:r>
          </w:p>
        </w:tc>
        <w:tc>
          <w:tcPr>
            <w:tcW w:w="4650" w:type="dxa"/>
            <w:tcBorders>
              <w:top w:val="nil"/>
              <w:left w:val="nil"/>
              <w:bottom w:val="single" w:sz="4" w:space="0" w:color="auto"/>
              <w:right w:val="single" w:sz="4" w:space="0" w:color="auto"/>
            </w:tcBorders>
            <w:shd w:val="clear" w:color="auto" w:fill="C6EFCE"/>
            <w:noWrap/>
          </w:tcPr>
          <w:p w14:paraId="2916696D" w14:textId="642DBE1E" w:rsidR="006E1228" w:rsidRPr="00D26611" w:rsidRDefault="006E1228" w:rsidP="00C937A7">
            <w:pPr>
              <w:spacing w:after="0"/>
              <w:rPr>
                <w:rFonts w:ascii="Times New Roman" w:hAnsi="Times New Roman" w:cs="Times New Roman"/>
                <w:noProof/>
                <w:color w:val="006100"/>
                <w:sz w:val="20"/>
                <w:szCs w:val="20"/>
              </w:rPr>
            </w:pPr>
            <w:r>
              <w:rPr>
                <w:rFonts w:ascii="Times New Roman" w:hAnsi="Times New Roman"/>
                <w:noProof/>
                <w:color w:val="006100"/>
                <w:sz w:val="20"/>
              </w:rPr>
              <w:t xml:space="preserve">Изпълнителите ще се подбират след успешно проведени процедури за възлагане на обществени поръчки. Договорът ще обхваща разработване на платформа за електронно обучение за възрастни. </w:t>
            </w:r>
          </w:p>
          <w:p w14:paraId="5BD7339E" w14:textId="77777777" w:rsidR="006E1228" w:rsidRPr="00D26611" w:rsidRDefault="006E1228" w:rsidP="00C937A7">
            <w:pPr>
              <w:spacing w:after="0"/>
              <w:rPr>
                <w:rFonts w:ascii="Times New Roman" w:hAnsi="Times New Roman" w:cs="Times New Roman"/>
                <w:noProof/>
                <w:color w:val="006100"/>
                <w:sz w:val="20"/>
                <w:szCs w:val="20"/>
              </w:rPr>
            </w:pPr>
            <w:r>
              <w:rPr>
                <w:rFonts w:ascii="Times New Roman" w:hAnsi="Times New Roman"/>
                <w:noProof/>
                <w:color w:val="006100"/>
                <w:sz w:val="20"/>
              </w:rPr>
              <w:t>Функционалните възможности на платформата ще включват:</w:t>
            </w:r>
          </w:p>
          <w:p w14:paraId="69E41700" w14:textId="77777777" w:rsidR="006E1228" w:rsidRPr="00D26611" w:rsidRDefault="006E1228" w:rsidP="000A75C5">
            <w:pPr>
              <w:pStyle w:val="ListParagraph"/>
              <w:numPr>
                <w:ilvl w:val="0"/>
                <w:numId w:val="3"/>
              </w:numPr>
              <w:spacing w:after="0" w:line="240" w:lineRule="auto"/>
              <w:ind w:left="252" w:hanging="141"/>
              <w:rPr>
                <w:rFonts w:ascii="Times New Roman" w:hAnsi="Times New Roman" w:cs="Times New Roman"/>
                <w:noProof/>
                <w:color w:val="006100"/>
                <w:sz w:val="20"/>
                <w:szCs w:val="20"/>
              </w:rPr>
            </w:pPr>
            <w:r>
              <w:rPr>
                <w:rFonts w:ascii="Times New Roman" w:hAnsi="Times New Roman"/>
                <w:noProof/>
                <w:color w:val="006100"/>
                <w:sz w:val="20"/>
              </w:rPr>
              <w:t xml:space="preserve">възможности за синхронно и асинхронно обучение; </w:t>
            </w:r>
          </w:p>
          <w:p w14:paraId="6E535CB3" w14:textId="77777777" w:rsidR="006E1228" w:rsidRPr="00D26611" w:rsidRDefault="006E1228" w:rsidP="000A75C5">
            <w:pPr>
              <w:pStyle w:val="ListParagraph"/>
              <w:numPr>
                <w:ilvl w:val="0"/>
                <w:numId w:val="3"/>
              </w:numPr>
              <w:spacing w:after="0" w:line="240" w:lineRule="auto"/>
              <w:ind w:left="252" w:hanging="141"/>
              <w:rPr>
                <w:rFonts w:ascii="Times New Roman" w:hAnsi="Times New Roman" w:cs="Times New Roman"/>
                <w:noProof/>
                <w:color w:val="006100"/>
                <w:sz w:val="20"/>
                <w:szCs w:val="20"/>
              </w:rPr>
            </w:pPr>
            <w:r>
              <w:rPr>
                <w:rFonts w:ascii="Times New Roman" w:hAnsi="Times New Roman"/>
                <w:noProof/>
                <w:color w:val="006100"/>
                <w:sz w:val="20"/>
              </w:rPr>
              <w:t xml:space="preserve">модул онлайн за регистрация на доставчиците на обучения и участниците; </w:t>
            </w:r>
          </w:p>
          <w:p w14:paraId="0F1828FB" w14:textId="77777777" w:rsidR="006E1228" w:rsidRPr="00D26611" w:rsidRDefault="006E1228" w:rsidP="000A75C5">
            <w:pPr>
              <w:pStyle w:val="ListParagraph"/>
              <w:numPr>
                <w:ilvl w:val="0"/>
                <w:numId w:val="3"/>
              </w:numPr>
              <w:spacing w:after="0" w:line="240" w:lineRule="auto"/>
              <w:ind w:left="252" w:hanging="141"/>
              <w:rPr>
                <w:rFonts w:ascii="Times New Roman" w:hAnsi="Times New Roman" w:cs="Times New Roman"/>
                <w:noProof/>
                <w:color w:val="006100"/>
                <w:sz w:val="20"/>
                <w:szCs w:val="20"/>
              </w:rPr>
            </w:pPr>
            <w:r>
              <w:rPr>
                <w:rFonts w:ascii="Times New Roman" w:hAnsi="Times New Roman"/>
                <w:noProof/>
                <w:color w:val="006100"/>
                <w:sz w:val="20"/>
              </w:rPr>
              <w:t xml:space="preserve">регистри онлайн на лицата, успешно завършили обучение и получили свидетелство за това или успешно удостоверили със съответното свидетелство своите умения в областта на цифровите технологии; </w:t>
            </w:r>
          </w:p>
          <w:p w14:paraId="2CE8D2AB" w14:textId="77777777" w:rsidR="006E1228" w:rsidRPr="00D26611" w:rsidRDefault="006E1228" w:rsidP="000A75C5">
            <w:pPr>
              <w:pStyle w:val="ListParagraph"/>
              <w:numPr>
                <w:ilvl w:val="0"/>
                <w:numId w:val="3"/>
              </w:numPr>
              <w:spacing w:after="0" w:line="240" w:lineRule="auto"/>
              <w:ind w:left="252" w:hanging="141"/>
              <w:rPr>
                <w:rFonts w:ascii="Times New Roman" w:hAnsi="Times New Roman" w:cs="Times New Roman"/>
                <w:noProof/>
                <w:color w:val="006100"/>
                <w:sz w:val="20"/>
                <w:szCs w:val="20"/>
              </w:rPr>
            </w:pPr>
            <w:r>
              <w:rPr>
                <w:rFonts w:ascii="Times New Roman" w:hAnsi="Times New Roman"/>
                <w:noProof/>
                <w:color w:val="006100"/>
                <w:sz w:val="20"/>
              </w:rPr>
              <w:t xml:space="preserve">библиотека със съдържание, достъпно офлайн; </w:t>
            </w:r>
          </w:p>
          <w:p w14:paraId="7AE6A769" w14:textId="77777777" w:rsidR="006E1228" w:rsidRPr="00D26611" w:rsidDel="00D02F1A" w:rsidRDefault="006E1228" w:rsidP="000A75C5">
            <w:pPr>
              <w:pStyle w:val="ListParagraph"/>
              <w:numPr>
                <w:ilvl w:val="0"/>
                <w:numId w:val="3"/>
              </w:numPr>
              <w:spacing w:after="0" w:line="240" w:lineRule="auto"/>
              <w:ind w:left="252" w:hanging="141"/>
              <w:rPr>
                <w:rFonts w:ascii="Times New Roman" w:hAnsi="Times New Roman" w:cs="Times New Roman"/>
                <w:noProof/>
                <w:color w:val="006100"/>
                <w:sz w:val="20"/>
                <w:szCs w:val="20"/>
              </w:rPr>
            </w:pPr>
            <w:r>
              <w:rPr>
                <w:rFonts w:ascii="Times New Roman" w:hAnsi="Times New Roman"/>
                <w:noProof/>
                <w:color w:val="006100"/>
                <w:sz w:val="20"/>
              </w:rPr>
              <w:t>каталог онлайн на наличните курсове.</w:t>
            </w:r>
          </w:p>
        </w:tc>
      </w:tr>
      <w:tr w:rsidR="006E1228" w:rsidRPr="005241FC" w14:paraId="53A04313" w14:textId="77777777" w:rsidTr="008E16C0">
        <w:trPr>
          <w:trHeight w:val="309"/>
        </w:trPr>
        <w:tc>
          <w:tcPr>
            <w:tcW w:w="709" w:type="dxa"/>
            <w:tcBorders>
              <w:top w:val="nil"/>
              <w:left w:val="single" w:sz="4" w:space="0" w:color="auto"/>
              <w:bottom w:val="single" w:sz="4" w:space="0" w:color="auto"/>
              <w:right w:val="single" w:sz="4" w:space="0" w:color="auto"/>
            </w:tcBorders>
            <w:shd w:val="clear" w:color="auto" w:fill="C6EFCE"/>
            <w:noWrap/>
          </w:tcPr>
          <w:p w14:paraId="176F6EC2" w14:textId="43FD83C2" w:rsidR="006E1228" w:rsidRPr="00D26611" w:rsidRDefault="006E1228" w:rsidP="00C937A7">
            <w:pPr>
              <w:spacing w:after="0"/>
              <w:rPr>
                <w:rFonts w:ascii="Times New Roman" w:hAnsi="Times New Roman" w:cs="Times New Roman"/>
                <w:noProof/>
                <w:color w:val="006100"/>
                <w:sz w:val="20"/>
                <w:szCs w:val="20"/>
              </w:rPr>
            </w:pPr>
            <w:r>
              <w:rPr>
                <w:rFonts w:ascii="Times New Roman" w:hAnsi="Times New Roman"/>
                <w:noProof/>
                <w:color w:val="006100"/>
                <w:sz w:val="20"/>
              </w:rPr>
              <w:t>18</w:t>
            </w:r>
          </w:p>
        </w:tc>
        <w:tc>
          <w:tcPr>
            <w:tcW w:w="1587" w:type="dxa"/>
            <w:tcBorders>
              <w:top w:val="nil"/>
              <w:left w:val="nil"/>
              <w:bottom w:val="single" w:sz="4" w:space="0" w:color="auto"/>
              <w:right w:val="single" w:sz="4" w:space="0" w:color="auto"/>
            </w:tcBorders>
            <w:shd w:val="clear" w:color="auto" w:fill="C6EFCE"/>
            <w:noWrap/>
          </w:tcPr>
          <w:p w14:paraId="28F8C219" w14:textId="77777777" w:rsidR="006E1228" w:rsidRPr="00D26611" w:rsidRDefault="006E1228" w:rsidP="00C937A7">
            <w:pPr>
              <w:spacing w:after="0"/>
              <w:rPr>
                <w:rFonts w:ascii="Times New Roman" w:hAnsi="Times New Roman" w:cs="Times New Roman"/>
                <w:noProof/>
                <w:color w:val="006100"/>
                <w:sz w:val="20"/>
                <w:szCs w:val="20"/>
              </w:rPr>
            </w:pPr>
            <w:r>
              <w:rPr>
                <w:rFonts w:ascii="Times New Roman" w:hAnsi="Times New Roman"/>
                <w:noProof/>
                <w:color w:val="006100"/>
                <w:sz w:val="20"/>
              </w:rPr>
              <w:t xml:space="preserve">К1.И3: </w:t>
            </w:r>
          </w:p>
          <w:p w14:paraId="6A3B06B5" w14:textId="77777777" w:rsidR="006E1228" w:rsidRPr="00D26611" w:rsidRDefault="006E1228" w:rsidP="00C937A7">
            <w:pPr>
              <w:spacing w:after="0"/>
              <w:rPr>
                <w:rFonts w:ascii="Times New Roman" w:hAnsi="Times New Roman" w:cs="Times New Roman"/>
                <w:noProof/>
                <w:color w:val="006100"/>
                <w:sz w:val="20"/>
                <w:szCs w:val="20"/>
              </w:rPr>
            </w:pPr>
            <w:r>
              <w:rPr>
                <w:rFonts w:ascii="Times New Roman" w:hAnsi="Times New Roman"/>
                <w:noProof/>
                <w:color w:val="006100"/>
                <w:sz w:val="20"/>
              </w:rPr>
              <w:t>Предлагане на обучения за придобиване на умения в областта на цифровите технологии и създаване на обучителна платформа за възрастни</w:t>
            </w:r>
          </w:p>
        </w:tc>
        <w:tc>
          <w:tcPr>
            <w:tcW w:w="993" w:type="dxa"/>
            <w:tcBorders>
              <w:top w:val="nil"/>
              <w:left w:val="nil"/>
              <w:bottom w:val="single" w:sz="4" w:space="0" w:color="auto"/>
              <w:right w:val="single" w:sz="4" w:space="0" w:color="auto"/>
            </w:tcBorders>
            <w:shd w:val="clear" w:color="auto" w:fill="C6EFCE"/>
            <w:noWrap/>
          </w:tcPr>
          <w:p w14:paraId="757D2E7C" w14:textId="77777777" w:rsidR="006E1228" w:rsidRPr="00D26611" w:rsidRDefault="006E1228" w:rsidP="00C937A7">
            <w:pPr>
              <w:spacing w:after="0"/>
              <w:rPr>
                <w:rFonts w:ascii="Times New Roman" w:hAnsi="Times New Roman" w:cs="Times New Roman"/>
                <w:noProof/>
                <w:color w:val="006100"/>
                <w:sz w:val="20"/>
                <w:szCs w:val="20"/>
              </w:rPr>
            </w:pPr>
            <w:r>
              <w:rPr>
                <w:rFonts w:ascii="Times New Roman" w:hAnsi="Times New Roman"/>
                <w:noProof/>
                <w:color w:val="006100"/>
                <w:sz w:val="20"/>
              </w:rPr>
              <w:t>Цел</w:t>
            </w:r>
          </w:p>
        </w:tc>
        <w:tc>
          <w:tcPr>
            <w:tcW w:w="1984" w:type="dxa"/>
            <w:tcBorders>
              <w:top w:val="nil"/>
              <w:left w:val="nil"/>
              <w:bottom w:val="single" w:sz="4" w:space="0" w:color="auto"/>
              <w:right w:val="single" w:sz="4" w:space="0" w:color="auto"/>
            </w:tcBorders>
            <w:shd w:val="clear" w:color="auto" w:fill="C6EFCE"/>
            <w:noWrap/>
          </w:tcPr>
          <w:p w14:paraId="5E6D37FE" w14:textId="77777777" w:rsidR="006E1228" w:rsidRPr="00D26611" w:rsidRDefault="006E1228" w:rsidP="00C937A7">
            <w:pPr>
              <w:spacing w:after="0"/>
              <w:rPr>
                <w:rFonts w:ascii="Times New Roman" w:hAnsi="Times New Roman" w:cs="Times New Roman"/>
                <w:noProof/>
                <w:color w:val="006100"/>
                <w:sz w:val="20"/>
                <w:szCs w:val="20"/>
              </w:rPr>
            </w:pPr>
            <w:r>
              <w:rPr>
                <w:rFonts w:ascii="Times New Roman" w:hAnsi="Times New Roman"/>
                <w:noProof/>
                <w:color w:val="006100"/>
                <w:sz w:val="20"/>
              </w:rPr>
              <w:t xml:space="preserve">Напълно функциониращи дигитални клубове </w:t>
            </w:r>
          </w:p>
        </w:tc>
        <w:tc>
          <w:tcPr>
            <w:tcW w:w="1390" w:type="dxa"/>
            <w:tcBorders>
              <w:top w:val="nil"/>
              <w:left w:val="nil"/>
              <w:bottom w:val="single" w:sz="4" w:space="0" w:color="auto"/>
              <w:right w:val="single" w:sz="4" w:space="0" w:color="auto"/>
            </w:tcBorders>
            <w:shd w:val="clear" w:color="auto" w:fill="C6EFCE"/>
            <w:noWrap/>
          </w:tcPr>
          <w:p w14:paraId="1F09E950" w14:textId="77777777" w:rsidR="006E1228" w:rsidRPr="00D26611" w:rsidRDefault="006E1228" w:rsidP="00C937A7">
            <w:pPr>
              <w:spacing w:after="0"/>
              <w:rPr>
                <w:rFonts w:ascii="Times New Roman" w:hAnsi="Times New Roman" w:cs="Times New Roman"/>
                <w:noProof/>
                <w:color w:val="006100"/>
                <w:sz w:val="20"/>
                <w:szCs w:val="20"/>
                <w:lang w:val="en-US"/>
              </w:rPr>
            </w:pPr>
          </w:p>
        </w:tc>
        <w:tc>
          <w:tcPr>
            <w:tcW w:w="850" w:type="dxa"/>
            <w:tcBorders>
              <w:top w:val="nil"/>
              <w:left w:val="nil"/>
              <w:bottom w:val="single" w:sz="4" w:space="0" w:color="auto"/>
              <w:right w:val="single" w:sz="4" w:space="0" w:color="auto"/>
            </w:tcBorders>
            <w:shd w:val="clear" w:color="auto" w:fill="C6EFCE"/>
            <w:noWrap/>
          </w:tcPr>
          <w:p w14:paraId="5A4853F7" w14:textId="77777777" w:rsidR="006E1228" w:rsidRPr="00D26611" w:rsidRDefault="006E1228" w:rsidP="00C937A7">
            <w:pPr>
              <w:spacing w:after="0"/>
              <w:rPr>
                <w:rFonts w:ascii="Times New Roman" w:hAnsi="Times New Roman" w:cs="Times New Roman"/>
                <w:noProof/>
                <w:color w:val="006100"/>
                <w:sz w:val="20"/>
                <w:szCs w:val="20"/>
              </w:rPr>
            </w:pPr>
            <w:r>
              <w:rPr>
                <w:rFonts w:ascii="Times New Roman" w:hAnsi="Times New Roman"/>
                <w:noProof/>
                <w:color w:val="006100"/>
                <w:sz w:val="20"/>
              </w:rPr>
              <w:t>Брой</w:t>
            </w:r>
          </w:p>
        </w:tc>
        <w:tc>
          <w:tcPr>
            <w:tcW w:w="879" w:type="dxa"/>
            <w:tcBorders>
              <w:top w:val="nil"/>
              <w:left w:val="nil"/>
              <w:bottom w:val="single" w:sz="4" w:space="0" w:color="auto"/>
              <w:right w:val="single" w:sz="4" w:space="0" w:color="auto"/>
            </w:tcBorders>
            <w:shd w:val="clear" w:color="auto" w:fill="C6EFCE"/>
            <w:noWrap/>
          </w:tcPr>
          <w:p w14:paraId="23CA0386" w14:textId="77777777" w:rsidR="006E1228" w:rsidRPr="00D26611" w:rsidRDefault="006E1228" w:rsidP="00C937A7">
            <w:pPr>
              <w:spacing w:after="0"/>
              <w:rPr>
                <w:rFonts w:ascii="Times New Roman" w:hAnsi="Times New Roman" w:cs="Times New Roman"/>
                <w:noProof/>
                <w:color w:val="006100"/>
                <w:sz w:val="20"/>
                <w:szCs w:val="20"/>
              </w:rPr>
            </w:pPr>
            <w:r>
              <w:rPr>
                <w:rFonts w:ascii="Times New Roman" w:hAnsi="Times New Roman"/>
                <w:noProof/>
                <w:color w:val="006100"/>
                <w:sz w:val="20"/>
              </w:rPr>
              <w:t>0</w:t>
            </w:r>
          </w:p>
        </w:tc>
        <w:tc>
          <w:tcPr>
            <w:tcW w:w="675" w:type="dxa"/>
            <w:tcBorders>
              <w:top w:val="nil"/>
              <w:left w:val="nil"/>
              <w:bottom w:val="single" w:sz="4" w:space="0" w:color="auto"/>
              <w:right w:val="single" w:sz="4" w:space="0" w:color="auto"/>
            </w:tcBorders>
            <w:shd w:val="clear" w:color="auto" w:fill="C6EFCE"/>
            <w:noWrap/>
          </w:tcPr>
          <w:p w14:paraId="17F5E886" w14:textId="77777777" w:rsidR="006E1228" w:rsidRPr="00D26611" w:rsidRDefault="006E1228" w:rsidP="00C937A7">
            <w:pPr>
              <w:spacing w:after="0"/>
              <w:rPr>
                <w:rFonts w:ascii="Times New Roman" w:hAnsi="Times New Roman" w:cs="Times New Roman"/>
                <w:noProof/>
                <w:color w:val="006100"/>
                <w:sz w:val="20"/>
                <w:szCs w:val="20"/>
              </w:rPr>
            </w:pPr>
            <w:r>
              <w:rPr>
                <w:rFonts w:ascii="Times New Roman" w:hAnsi="Times New Roman"/>
                <w:noProof/>
                <w:color w:val="006100"/>
                <w:sz w:val="20"/>
              </w:rPr>
              <w:t>760</w:t>
            </w:r>
          </w:p>
        </w:tc>
        <w:tc>
          <w:tcPr>
            <w:tcW w:w="851" w:type="dxa"/>
            <w:tcBorders>
              <w:top w:val="nil"/>
              <w:left w:val="nil"/>
              <w:bottom w:val="single" w:sz="4" w:space="0" w:color="auto"/>
              <w:right w:val="single" w:sz="4" w:space="0" w:color="auto"/>
            </w:tcBorders>
            <w:shd w:val="clear" w:color="auto" w:fill="C6EFCE"/>
            <w:noWrap/>
          </w:tcPr>
          <w:p w14:paraId="4FE62309" w14:textId="3406E741" w:rsidR="006E1228" w:rsidRPr="00D26611" w:rsidRDefault="006E1228" w:rsidP="00C937A7">
            <w:pPr>
              <w:spacing w:after="0"/>
              <w:rPr>
                <w:rFonts w:ascii="Times New Roman" w:hAnsi="Times New Roman" w:cs="Times New Roman"/>
                <w:noProof/>
                <w:color w:val="006100"/>
                <w:sz w:val="20"/>
                <w:szCs w:val="20"/>
              </w:rPr>
            </w:pPr>
            <w:r>
              <w:rPr>
                <w:rFonts w:ascii="Times New Roman" w:hAnsi="Times New Roman"/>
                <w:noProof/>
                <w:color w:val="006100"/>
                <w:sz w:val="20"/>
              </w:rPr>
              <w:t>T3</w:t>
            </w:r>
          </w:p>
        </w:tc>
        <w:tc>
          <w:tcPr>
            <w:tcW w:w="742" w:type="dxa"/>
            <w:tcBorders>
              <w:top w:val="nil"/>
              <w:left w:val="nil"/>
              <w:bottom w:val="single" w:sz="4" w:space="0" w:color="auto"/>
              <w:right w:val="single" w:sz="4" w:space="0" w:color="auto"/>
            </w:tcBorders>
            <w:shd w:val="clear" w:color="auto" w:fill="C6EFCE"/>
            <w:noWrap/>
          </w:tcPr>
          <w:p w14:paraId="4ADAFF9D" w14:textId="77777777" w:rsidR="006E1228" w:rsidRPr="00D26611" w:rsidRDefault="006E1228" w:rsidP="00C937A7">
            <w:pPr>
              <w:spacing w:after="0"/>
              <w:rPr>
                <w:rFonts w:ascii="Times New Roman" w:hAnsi="Times New Roman" w:cs="Times New Roman"/>
                <w:noProof/>
                <w:color w:val="006100"/>
                <w:sz w:val="20"/>
                <w:szCs w:val="20"/>
              </w:rPr>
            </w:pPr>
            <w:r>
              <w:rPr>
                <w:rFonts w:ascii="Times New Roman" w:hAnsi="Times New Roman"/>
                <w:noProof/>
                <w:color w:val="006100"/>
                <w:sz w:val="20"/>
              </w:rPr>
              <w:t>2024</w:t>
            </w:r>
          </w:p>
        </w:tc>
        <w:tc>
          <w:tcPr>
            <w:tcW w:w="4650" w:type="dxa"/>
            <w:tcBorders>
              <w:top w:val="nil"/>
              <w:left w:val="nil"/>
              <w:bottom w:val="single" w:sz="4" w:space="0" w:color="auto"/>
              <w:right w:val="single" w:sz="4" w:space="0" w:color="auto"/>
            </w:tcBorders>
            <w:shd w:val="clear" w:color="auto" w:fill="C6EFCE"/>
            <w:noWrap/>
          </w:tcPr>
          <w:p w14:paraId="4E8D00BA" w14:textId="3F286A3A" w:rsidR="006E1228" w:rsidRPr="00D26611" w:rsidRDefault="006E1228" w:rsidP="00C937A7">
            <w:pPr>
              <w:spacing w:after="0"/>
              <w:rPr>
                <w:rFonts w:ascii="Times New Roman" w:hAnsi="Times New Roman" w:cs="Times New Roman"/>
                <w:noProof/>
                <w:color w:val="006100"/>
                <w:sz w:val="20"/>
                <w:szCs w:val="20"/>
              </w:rPr>
            </w:pPr>
            <w:r>
              <w:rPr>
                <w:rFonts w:ascii="Times New Roman" w:hAnsi="Times New Roman"/>
                <w:noProof/>
                <w:color w:val="006100"/>
                <w:sz w:val="20"/>
              </w:rPr>
              <w:t xml:space="preserve">Клубовете за умения в областта на цифровите технологии предоставят безплатен достъп до платформата за електронно обучение за възрастни (ключов етап 17) и до нейните курсове онлайн. Клубовете ще бъдат: </w:t>
            </w:r>
          </w:p>
          <w:p w14:paraId="1261BF7B" w14:textId="77777777" w:rsidR="006E1228" w:rsidRPr="00D26611" w:rsidRDefault="006E1228" w:rsidP="000A75C5">
            <w:pPr>
              <w:pStyle w:val="ListParagraph"/>
              <w:numPr>
                <w:ilvl w:val="0"/>
                <w:numId w:val="3"/>
              </w:numPr>
              <w:spacing w:after="0" w:line="240" w:lineRule="auto"/>
              <w:ind w:left="252" w:hanging="141"/>
              <w:rPr>
                <w:rFonts w:ascii="Times New Roman" w:hAnsi="Times New Roman" w:cs="Times New Roman"/>
                <w:noProof/>
                <w:color w:val="006100"/>
                <w:sz w:val="20"/>
                <w:szCs w:val="20"/>
              </w:rPr>
            </w:pPr>
            <w:r>
              <w:rPr>
                <w:rFonts w:ascii="Times New Roman" w:hAnsi="Times New Roman"/>
                <w:noProof/>
                <w:color w:val="006100"/>
                <w:sz w:val="20"/>
              </w:rPr>
              <w:t>общодостъпни и безплатни;</w:t>
            </w:r>
          </w:p>
          <w:p w14:paraId="4AFB9857" w14:textId="77777777" w:rsidR="006E1228" w:rsidRPr="00D26611" w:rsidRDefault="006E1228" w:rsidP="000A75C5">
            <w:pPr>
              <w:pStyle w:val="ListParagraph"/>
              <w:numPr>
                <w:ilvl w:val="0"/>
                <w:numId w:val="3"/>
              </w:numPr>
              <w:spacing w:after="0" w:line="240" w:lineRule="auto"/>
              <w:ind w:left="252" w:hanging="141"/>
              <w:rPr>
                <w:rFonts w:ascii="Times New Roman" w:hAnsi="Times New Roman" w:cs="Times New Roman"/>
                <w:noProof/>
                <w:color w:val="006100"/>
                <w:sz w:val="20"/>
                <w:szCs w:val="20"/>
              </w:rPr>
            </w:pPr>
            <w:r>
              <w:rPr>
                <w:rFonts w:ascii="Times New Roman" w:hAnsi="Times New Roman"/>
                <w:noProof/>
                <w:color w:val="006100"/>
                <w:sz w:val="20"/>
              </w:rPr>
              <w:t>с персонал и оборудвани с компютри за връзка с платформата за електронно обучение за възрастни.</w:t>
            </w:r>
          </w:p>
          <w:p w14:paraId="31102676" w14:textId="77777777" w:rsidR="006E1228" w:rsidRPr="00D26611" w:rsidRDefault="006E1228" w:rsidP="00C937A7">
            <w:pPr>
              <w:spacing w:after="0"/>
              <w:rPr>
                <w:rFonts w:ascii="Times New Roman" w:hAnsi="Times New Roman" w:cs="Times New Roman"/>
                <w:noProof/>
                <w:color w:val="006100"/>
                <w:sz w:val="20"/>
                <w:szCs w:val="20"/>
              </w:rPr>
            </w:pPr>
            <w:r>
              <w:rPr>
                <w:rFonts w:ascii="Times New Roman" w:hAnsi="Times New Roman"/>
                <w:noProof/>
                <w:color w:val="006100"/>
                <w:sz w:val="20"/>
              </w:rPr>
              <w:t>Освен това персоналът на клубовете ще трябва да е бил обучен как да подпомага дейността на клубовете.</w:t>
            </w:r>
          </w:p>
        </w:tc>
      </w:tr>
      <w:tr w:rsidR="006E1228" w:rsidRPr="005241FC" w14:paraId="32BAF5D5" w14:textId="77777777" w:rsidTr="008E16C0">
        <w:trPr>
          <w:trHeight w:val="309"/>
        </w:trPr>
        <w:tc>
          <w:tcPr>
            <w:tcW w:w="709" w:type="dxa"/>
            <w:tcBorders>
              <w:top w:val="nil"/>
              <w:left w:val="single" w:sz="4" w:space="0" w:color="auto"/>
              <w:bottom w:val="single" w:sz="4" w:space="0" w:color="auto"/>
              <w:right w:val="single" w:sz="4" w:space="0" w:color="auto"/>
            </w:tcBorders>
            <w:shd w:val="clear" w:color="auto" w:fill="C6EFCE"/>
            <w:noWrap/>
          </w:tcPr>
          <w:p w14:paraId="463A114F" w14:textId="34A08B11" w:rsidR="006E1228" w:rsidRPr="00D26611" w:rsidRDefault="006E1228" w:rsidP="00C937A7">
            <w:pPr>
              <w:spacing w:after="0"/>
              <w:rPr>
                <w:rFonts w:ascii="Times New Roman" w:eastAsia="Times New Roman" w:hAnsi="Times New Roman" w:cs="Times New Roman"/>
                <w:noProof/>
                <w:sz w:val="20"/>
                <w:szCs w:val="20"/>
              </w:rPr>
            </w:pPr>
            <w:r>
              <w:rPr>
                <w:rFonts w:ascii="Times New Roman" w:hAnsi="Times New Roman"/>
                <w:noProof/>
                <w:color w:val="006100"/>
                <w:sz w:val="20"/>
              </w:rPr>
              <w:t>19</w:t>
            </w:r>
          </w:p>
        </w:tc>
        <w:tc>
          <w:tcPr>
            <w:tcW w:w="1587" w:type="dxa"/>
            <w:tcBorders>
              <w:top w:val="nil"/>
              <w:left w:val="nil"/>
              <w:bottom w:val="single" w:sz="4" w:space="0" w:color="auto"/>
              <w:right w:val="single" w:sz="4" w:space="0" w:color="auto"/>
            </w:tcBorders>
            <w:shd w:val="clear" w:color="auto" w:fill="C6EFCE"/>
            <w:noWrap/>
          </w:tcPr>
          <w:p w14:paraId="3CB6E2A2" w14:textId="77777777" w:rsidR="006E1228" w:rsidRPr="00D26611" w:rsidRDefault="006E1228" w:rsidP="00C937A7">
            <w:pPr>
              <w:spacing w:after="0"/>
              <w:rPr>
                <w:rFonts w:ascii="Times New Roman" w:hAnsi="Times New Roman" w:cs="Times New Roman"/>
                <w:noProof/>
                <w:color w:val="006100"/>
                <w:sz w:val="20"/>
                <w:szCs w:val="20"/>
              </w:rPr>
            </w:pPr>
            <w:r>
              <w:rPr>
                <w:rFonts w:ascii="Times New Roman" w:hAnsi="Times New Roman"/>
                <w:noProof/>
                <w:color w:val="006100"/>
                <w:sz w:val="20"/>
              </w:rPr>
              <w:t xml:space="preserve">К1.И3: </w:t>
            </w:r>
          </w:p>
          <w:p w14:paraId="4F214003" w14:textId="77777777"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 Предлагане на обучения за придобиване на умения в областта на цифровите технологии и създаване на обучителна платформа за възрастни</w:t>
            </w:r>
          </w:p>
        </w:tc>
        <w:tc>
          <w:tcPr>
            <w:tcW w:w="993" w:type="dxa"/>
            <w:tcBorders>
              <w:top w:val="nil"/>
              <w:left w:val="nil"/>
              <w:bottom w:val="single" w:sz="4" w:space="0" w:color="auto"/>
              <w:right w:val="single" w:sz="4" w:space="0" w:color="auto"/>
            </w:tcBorders>
            <w:shd w:val="clear" w:color="auto" w:fill="C6EFCE"/>
            <w:noWrap/>
          </w:tcPr>
          <w:p w14:paraId="49A180CA" w14:textId="77777777"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984" w:type="dxa"/>
            <w:tcBorders>
              <w:top w:val="nil"/>
              <w:left w:val="nil"/>
              <w:bottom w:val="single" w:sz="4" w:space="0" w:color="auto"/>
              <w:right w:val="single" w:sz="4" w:space="0" w:color="auto"/>
            </w:tcBorders>
            <w:shd w:val="clear" w:color="auto" w:fill="C6EFCE"/>
            <w:noWrap/>
          </w:tcPr>
          <w:p w14:paraId="53D6AD15" w14:textId="77777777" w:rsidR="006E1228" w:rsidRPr="00D26611" w:rsidRDefault="006E1228" w:rsidP="00C937A7">
            <w:pPr>
              <w:spacing w:after="0"/>
              <w:rPr>
                <w:rFonts w:ascii="Times New Roman" w:hAnsi="Times New Roman" w:cs="Times New Roman"/>
                <w:noProof/>
                <w:color w:val="006100"/>
                <w:sz w:val="20"/>
                <w:szCs w:val="20"/>
              </w:rPr>
            </w:pPr>
            <w:r>
              <w:rPr>
                <w:rFonts w:ascii="Times New Roman" w:hAnsi="Times New Roman"/>
                <w:noProof/>
                <w:color w:val="006100"/>
                <w:sz w:val="20"/>
              </w:rPr>
              <w:t>Напълно оперативна платформа за електронно обучение за възрастни</w:t>
            </w:r>
          </w:p>
        </w:tc>
        <w:tc>
          <w:tcPr>
            <w:tcW w:w="1390" w:type="dxa"/>
            <w:tcBorders>
              <w:top w:val="nil"/>
              <w:left w:val="nil"/>
              <w:bottom w:val="single" w:sz="4" w:space="0" w:color="auto"/>
              <w:right w:val="single" w:sz="4" w:space="0" w:color="auto"/>
            </w:tcBorders>
            <w:shd w:val="clear" w:color="auto" w:fill="C6EFCE"/>
            <w:noWrap/>
          </w:tcPr>
          <w:p w14:paraId="6DBAE773" w14:textId="77777777"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Платформата е разработена и публично достъпна</w:t>
            </w:r>
          </w:p>
        </w:tc>
        <w:tc>
          <w:tcPr>
            <w:tcW w:w="850" w:type="dxa"/>
            <w:tcBorders>
              <w:top w:val="nil"/>
              <w:left w:val="nil"/>
              <w:bottom w:val="single" w:sz="4" w:space="0" w:color="auto"/>
              <w:right w:val="single" w:sz="4" w:space="0" w:color="auto"/>
            </w:tcBorders>
            <w:shd w:val="clear" w:color="auto" w:fill="C6EFCE"/>
            <w:noWrap/>
          </w:tcPr>
          <w:p w14:paraId="364E2B67" w14:textId="77777777" w:rsidR="006E1228" w:rsidRPr="008A0F8A" w:rsidRDefault="006E1228" w:rsidP="00C937A7">
            <w:pPr>
              <w:spacing w:after="0"/>
              <w:rPr>
                <w:rFonts w:ascii="Times New Roman" w:eastAsia="Times New Roman" w:hAnsi="Times New Roman" w:cs="Times New Roman"/>
                <w:noProof/>
                <w:color w:val="006100"/>
                <w:sz w:val="20"/>
                <w:szCs w:val="20"/>
                <w:lang w:val="ru-RU" w:eastAsia="en-GB"/>
              </w:rPr>
            </w:pPr>
          </w:p>
        </w:tc>
        <w:tc>
          <w:tcPr>
            <w:tcW w:w="879" w:type="dxa"/>
            <w:tcBorders>
              <w:top w:val="nil"/>
              <w:left w:val="nil"/>
              <w:bottom w:val="single" w:sz="4" w:space="0" w:color="auto"/>
              <w:right w:val="single" w:sz="4" w:space="0" w:color="auto"/>
            </w:tcBorders>
            <w:shd w:val="clear" w:color="auto" w:fill="C6EFCE"/>
            <w:noWrap/>
          </w:tcPr>
          <w:p w14:paraId="6FE3D55F" w14:textId="77777777" w:rsidR="006E1228" w:rsidRPr="008A0F8A" w:rsidRDefault="006E1228" w:rsidP="00C937A7">
            <w:pPr>
              <w:spacing w:after="0"/>
              <w:rPr>
                <w:rFonts w:ascii="Times New Roman" w:eastAsia="Times New Roman" w:hAnsi="Times New Roman" w:cs="Times New Roman"/>
                <w:noProof/>
                <w:color w:val="006100"/>
                <w:sz w:val="20"/>
                <w:szCs w:val="20"/>
                <w:lang w:val="ru-RU" w:eastAsia="en-GB"/>
              </w:rPr>
            </w:pPr>
          </w:p>
        </w:tc>
        <w:tc>
          <w:tcPr>
            <w:tcW w:w="675" w:type="dxa"/>
            <w:tcBorders>
              <w:top w:val="nil"/>
              <w:left w:val="nil"/>
              <w:bottom w:val="single" w:sz="4" w:space="0" w:color="auto"/>
              <w:right w:val="single" w:sz="4" w:space="0" w:color="auto"/>
            </w:tcBorders>
            <w:shd w:val="clear" w:color="auto" w:fill="C6EFCE"/>
            <w:noWrap/>
          </w:tcPr>
          <w:p w14:paraId="127D9E3E" w14:textId="77777777" w:rsidR="006E1228" w:rsidRPr="008A0F8A" w:rsidRDefault="006E1228" w:rsidP="00C937A7">
            <w:pPr>
              <w:spacing w:after="0"/>
              <w:rPr>
                <w:rFonts w:ascii="Times New Roman" w:eastAsia="Times New Roman" w:hAnsi="Times New Roman" w:cs="Times New Roman"/>
                <w:noProof/>
                <w:color w:val="006100"/>
                <w:sz w:val="20"/>
                <w:szCs w:val="20"/>
                <w:lang w:val="ru-RU" w:eastAsia="en-GB"/>
              </w:rPr>
            </w:pPr>
          </w:p>
        </w:tc>
        <w:tc>
          <w:tcPr>
            <w:tcW w:w="851" w:type="dxa"/>
            <w:tcBorders>
              <w:top w:val="nil"/>
              <w:left w:val="nil"/>
              <w:bottom w:val="single" w:sz="4" w:space="0" w:color="auto"/>
              <w:right w:val="single" w:sz="4" w:space="0" w:color="auto"/>
            </w:tcBorders>
            <w:shd w:val="clear" w:color="auto" w:fill="C6EFCE"/>
            <w:noWrap/>
          </w:tcPr>
          <w:p w14:paraId="782C6665" w14:textId="41B1B829"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T3</w:t>
            </w:r>
          </w:p>
        </w:tc>
        <w:tc>
          <w:tcPr>
            <w:tcW w:w="742" w:type="dxa"/>
            <w:tcBorders>
              <w:top w:val="nil"/>
              <w:left w:val="nil"/>
              <w:bottom w:val="single" w:sz="4" w:space="0" w:color="auto"/>
              <w:right w:val="single" w:sz="4" w:space="0" w:color="auto"/>
            </w:tcBorders>
            <w:shd w:val="clear" w:color="auto" w:fill="C6EFCE"/>
            <w:noWrap/>
          </w:tcPr>
          <w:p w14:paraId="5A612188" w14:textId="77777777"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2024</w:t>
            </w:r>
          </w:p>
        </w:tc>
        <w:tc>
          <w:tcPr>
            <w:tcW w:w="4650" w:type="dxa"/>
            <w:tcBorders>
              <w:top w:val="nil"/>
              <w:left w:val="nil"/>
              <w:bottom w:val="single" w:sz="4" w:space="0" w:color="auto"/>
              <w:right w:val="single" w:sz="4" w:space="0" w:color="auto"/>
            </w:tcBorders>
            <w:shd w:val="clear" w:color="auto" w:fill="C6EFCE"/>
            <w:noWrap/>
          </w:tcPr>
          <w:p w14:paraId="5B504D86" w14:textId="6FA205B2" w:rsidR="006E1228" w:rsidRPr="00D26611" w:rsidRDefault="006E1228" w:rsidP="00C937A7">
            <w:pPr>
              <w:spacing w:after="0"/>
              <w:rPr>
                <w:rFonts w:ascii="Times New Roman" w:hAnsi="Times New Roman" w:cs="Times New Roman"/>
                <w:noProof/>
                <w:color w:val="006100"/>
                <w:sz w:val="20"/>
                <w:szCs w:val="20"/>
              </w:rPr>
            </w:pPr>
            <w:r>
              <w:rPr>
                <w:rFonts w:ascii="Times New Roman" w:hAnsi="Times New Roman"/>
                <w:noProof/>
                <w:color w:val="006100"/>
                <w:sz w:val="20"/>
              </w:rPr>
              <w:t xml:space="preserve">Платформата за електронно обучение за възрастни ще включва модулите, позволяващи възможностите, описани в ключов етап 17. </w:t>
            </w:r>
          </w:p>
        </w:tc>
      </w:tr>
      <w:tr w:rsidR="006E1228" w:rsidRPr="005241FC" w14:paraId="056F861D" w14:textId="77777777" w:rsidTr="008E16C0">
        <w:trPr>
          <w:trHeight w:val="309"/>
        </w:trPr>
        <w:tc>
          <w:tcPr>
            <w:tcW w:w="709" w:type="dxa"/>
            <w:tcBorders>
              <w:top w:val="nil"/>
              <w:left w:val="single" w:sz="4" w:space="0" w:color="auto"/>
              <w:bottom w:val="single" w:sz="4" w:space="0" w:color="auto"/>
              <w:right w:val="single" w:sz="4" w:space="0" w:color="auto"/>
            </w:tcBorders>
            <w:shd w:val="clear" w:color="auto" w:fill="C6EFCE"/>
            <w:noWrap/>
          </w:tcPr>
          <w:p w14:paraId="4975B249" w14:textId="6A7AAA9E" w:rsidR="006E1228" w:rsidRPr="00D26611" w:rsidRDefault="006E1228" w:rsidP="00C937A7">
            <w:pPr>
              <w:spacing w:after="0"/>
              <w:rPr>
                <w:rFonts w:ascii="Times New Roman" w:eastAsia="Times New Roman" w:hAnsi="Times New Roman" w:cs="Times New Roman"/>
                <w:noProof/>
                <w:sz w:val="20"/>
                <w:szCs w:val="20"/>
              </w:rPr>
            </w:pPr>
            <w:r>
              <w:rPr>
                <w:rFonts w:ascii="Times New Roman" w:hAnsi="Times New Roman"/>
                <w:noProof/>
                <w:color w:val="006100"/>
                <w:sz w:val="20"/>
              </w:rPr>
              <w:t>20</w:t>
            </w:r>
          </w:p>
        </w:tc>
        <w:tc>
          <w:tcPr>
            <w:tcW w:w="1587" w:type="dxa"/>
            <w:tcBorders>
              <w:top w:val="nil"/>
              <w:left w:val="nil"/>
              <w:bottom w:val="single" w:sz="4" w:space="0" w:color="auto"/>
              <w:right w:val="single" w:sz="4" w:space="0" w:color="auto"/>
            </w:tcBorders>
            <w:shd w:val="clear" w:color="auto" w:fill="C6EFCE"/>
            <w:noWrap/>
          </w:tcPr>
          <w:p w14:paraId="4345866B" w14:textId="77777777" w:rsidR="006E1228" w:rsidRPr="00D26611" w:rsidRDefault="006E1228" w:rsidP="00C937A7">
            <w:pPr>
              <w:spacing w:after="0"/>
              <w:rPr>
                <w:rFonts w:ascii="Times New Roman" w:hAnsi="Times New Roman" w:cs="Times New Roman"/>
                <w:noProof/>
                <w:color w:val="006100"/>
                <w:sz w:val="20"/>
                <w:szCs w:val="20"/>
              </w:rPr>
            </w:pPr>
            <w:r>
              <w:rPr>
                <w:rFonts w:ascii="Times New Roman" w:hAnsi="Times New Roman"/>
                <w:noProof/>
                <w:color w:val="006100"/>
                <w:sz w:val="20"/>
              </w:rPr>
              <w:t xml:space="preserve">К1.И3: </w:t>
            </w:r>
          </w:p>
          <w:p w14:paraId="5D427FED" w14:textId="77777777"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Предлагане на обучения за придобиване на умения в областта на цифровите технологии и създаване на обучителна платформа за възрастни</w:t>
            </w:r>
          </w:p>
        </w:tc>
        <w:tc>
          <w:tcPr>
            <w:tcW w:w="993" w:type="dxa"/>
            <w:tcBorders>
              <w:top w:val="nil"/>
              <w:left w:val="nil"/>
              <w:bottom w:val="single" w:sz="4" w:space="0" w:color="auto"/>
              <w:right w:val="single" w:sz="4" w:space="0" w:color="auto"/>
            </w:tcBorders>
            <w:shd w:val="clear" w:color="auto" w:fill="C6EFCE"/>
            <w:noWrap/>
          </w:tcPr>
          <w:p w14:paraId="5B3284C2" w14:textId="77777777"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Цел</w:t>
            </w:r>
          </w:p>
        </w:tc>
        <w:tc>
          <w:tcPr>
            <w:tcW w:w="1984" w:type="dxa"/>
            <w:tcBorders>
              <w:top w:val="nil"/>
              <w:left w:val="nil"/>
              <w:bottom w:val="single" w:sz="4" w:space="0" w:color="auto"/>
              <w:right w:val="single" w:sz="4" w:space="0" w:color="auto"/>
            </w:tcBorders>
            <w:shd w:val="clear" w:color="auto" w:fill="C6EFCE"/>
            <w:noWrap/>
          </w:tcPr>
          <w:p w14:paraId="3C1BE244" w14:textId="07E276D8"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Брой на хората със свидетелство за придобити в резултат на курс умения в областта на цифровите технологии</w:t>
            </w:r>
          </w:p>
        </w:tc>
        <w:tc>
          <w:tcPr>
            <w:tcW w:w="1390" w:type="dxa"/>
            <w:tcBorders>
              <w:top w:val="nil"/>
              <w:left w:val="nil"/>
              <w:bottom w:val="single" w:sz="4" w:space="0" w:color="auto"/>
              <w:right w:val="single" w:sz="4" w:space="0" w:color="auto"/>
            </w:tcBorders>
            <w:shd w:val="clear" w:color="auto" w:fill="C6EFCE"/>
            <w:noWrap/>
          </w:tcPr>
          <w:p w14:paraId="14C411BD" w14:textId="77777777" w:rsidR="006E1228" w:rsidRPr="008A0F8A" w:rsidRDefault="006E1228" w:rsidP="00C937A7">
            <w:pPr>
              <w:spacing w:after="0"/>
              <w:rPr>
                <w:rFonts w:ascii="Times New Roman" w:eastAsia="Times New Roman" w:hAnsi="Times New Roman" w:cs="Times New Roman"/>
                <w:noProof/>
                <w:color w:val="006100"/>
                <w:sz w:val="20"/>
                <w:szCs w:val="20"/>
                <w:lang w:val="ru-RU" w:eastAsia="en-GB"/>
              </w:rPr>
            </w:pPr>
          </w:p>
        </w:tc>
        <w:tc>
          <w:tcPr>
            <w:tcW w:w="850" w:type="dxa"/>
            <w:tcBorders>
              <w:top w:val="nil"/>
              <w:left w:val="nil"/>
              <w:bottom w:val="single" w:sz="4" w:space="0" w:color="auto"/>
              <w:right w:val="single" w:sz="4" w:space="0" w:color="auto"/>
            </w:tcBorders>
            <w:shd w:val="clear" w:color="auto" w:fill="C6EFCE"/>
            <w:noWrap/>
          </w:tcPr>
          <w:p w14:paraId="40E93AA1" w14:textId="77777777"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Брой</w:t>
            </w:r>
          </w:p>
        </w:tc>
        <w:tc>
          <w:tcPr>
            <w:tcW w:w="879" w:type="dxa"/>
            <w:tcBorders>
              <w:top w:val="nil"/>
              <w:left w:val="nil"/>
              <w:bottom w:val="single" w:sz="4" w:space="0" w:color="auto"/>
              <w:right w:val="single" w:sz="4" w:space="0" w:color="auto"/>
            </w:tcBorders>
            <w:shd w:val="clear" w:color="auto" w:fill="C6EFCE"/>
            <w:noWrap/>
          </w:tcPr>
          <w:p w14:paraId="4E7B0A74" w14:textId="77777777"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0</w:t>
            </w:r>
          </w:p>
        </w:tc>
        <w:tc>
          <w:tcPr>
            <w:tcW w:w="675" w:type="dxa"/>
            <w:tcBorders>
              <w:top w:val="nil"/>
              <w:left w:val="nil"/>
              <w:bottom w:val="single" w:sz="4" w:space="0" w:color="auto"/>
              <w:right w:val="single" w:sz="4" w:space="0" w:color="auto"/>
            </w:tcBorders>
            <w:shd w:val="clear" w:color="auto" w:fill="C6EFCE"/>
            <w:noWrap/>
          </w:tcPr>
          <w:p w14:paraId="614CE76B" w14:textId="77777777"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200000</w:t>
            </w:r>
          </w:p>
        </w:tc>
        <w:tc>
          <w:tcPr>
            <w:tcW w:w="851" w:type="dxa"/>
            <w:tcBorders>
              <w:top w:val="nil"/>
              <w:left w:val="nil"/>
              <w:bottom w:val="single" w:sz="4" w:space="0" w:color="auto"/>
              <w:right w:val="single" w:sz="4" w:space="0" w:color="auto"/>
            </w:tcBorders>
            <w:shd w:val="clear" w:color="auto" w:fill="C6EFCE"/>
            <w:noWrap/>
          </w:tcPr>
          <w:p w14:paraId="5E56E78F" w14:textId="77777777"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T2</w:t>
            </w:r>
          </w:p>
        </w:tc>
        <w:tc>
          <w:tcPr>
            <w:tcW w:w="742" w:type="dxa"/>
            <w:tcBorders>
              <w:top w:val="nil"/>
              <w:left w:val="nil"/>
              <w:bottom w:val="single" w:sz="4" w:space="0" w:color="auto"/>
              <w:right w:val="single" w:sz="4" w:space="0" w:color="auto"/>
            </w:tcBorders>
            <w:shd w:val="clear" w:color="auto" w:fill="C6EFCE"/>
            <w:noWrap/>
          </w:tcPr>
          <w:p w14:paraId="46FE442C" w14:textId="77777777"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2024</w:t>
            </w:r>
          </w:p>
        </w:tc>
        <w:tc>
          <w:tcPr>
            <w:tcW w:w="4650" w:type="dxa"/>
            <w:tcBorders>
              <w:top w:val="nil"/>
              <w:left w:val="nil"/>
              <w:bottom w:val="single" w:sz="4" w:space="0" w:color="auto"/>
              <w:right w:val="single" w:sz="4" w:space="0" w:color="auto"/>
            </w:tcBorders>
            <w:shd w:val="clear" w:color="auto" w:fill="C6EFCE"/>
            <w:noWrap/>
          </w:tcPr>
          <w:p w14:paraId="238A230E" w14:textId="77777777" w:rsidR="006E1228" w:rsidRPr="00D26611" w:rsidRDefault="006E1228"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За да се брои с оглед на постигането на крайната цел, регистрираното безработно или заетото лице трябва да е получило свидетелство за придобити в резултат на завършен курс базови и/или средни умения в областта на цифровите технологии. </w:t>
            </w:r>
          </w:p>
        </w:tc>
      </w:tr>
      <w:tr w:rsidR="006E1228" w:rsidRPr="005241FC" w14:paraId="4743DD35" w14:textId="77777777" w:rsidTr="008E16C0">
        <w:trPr>
          <w:trHeight w:val="309"/>
        </w:trPr>
        <w:tc>
          <w:tcPr>
            <w:tcW w:w="709" w:type="dxa"/>
            <w:tcBorders>
              <w:top w:val="nil"/>
              <w:left w:val="single" w:sz="4" w:space="0" w:color="auto"/>
              <w:bottom w:val="single" w:sz="4" w:space="0" w:color="auto"/>
              <w:right w:val="single" w:sz="4" w:space="0" w:color="auto"/>
            </w:tcBorders>
            <w:shd w:val="clear" w:color="auto" w:fill="C6EFCE"/>
            <w:noWrap/>
          </w:tcPr>
          <w:p w14:paraId="2278B897" w14:textId="2A66AADC" w:rsidR="006E1228" w:rsidRPr="00D26611" w:rsidRDefault="006E1228" w:rsidP="00C937A7">
            <w:pPr>
              <w:spacing w:after="0"/>
              <w:rPr>
                <w:rFonts w:ascii="Times New Roman" w:eastAsia="Times New Roman" w:hAnsi="Times New Roman" w:cs="Times New Roman"/>
                <w:noProof/>
                <w:sz w:val="20"/>
                <w:szCs w:val="20"/>
              </w:rPr>
            </w:pPr>
            <w:r>
              <w:rPr>
                <w:rFonts w:ascii="Times New Roman" w:hAnsi="Times New Roman"/>
                <w:noProof/>
                <w:color w:val="006100"/>
                <w:sz w:val="20"/>
              </w:rPr>
              <w:t>21</w:t>
            </w:r>
          </w:p>
        </w:tc>
        <w:tc>
          <w:tcPr>
            <w:tcW w:w="1587" w:type="dxa"/>
            <w:tcBorders>
              <w:top w:val="nil"/>
              <w:left w:val="nil"/>
              <w:bottom w:val="single" w:sz="4" w:space="0" w:color="auto"/>
              <w:right w:val="single" w:sz="4" w:space="0" w:color="auto"/>
            </w:tcBorders>
            <w:shd w:val="clear" w:color="auto" w:fill="C6EFCE"/>
            <w:noWrap/>
          </w:tcPr>
          <w:p w14:paraId="0C4E3939" w14:textId="77777777" w:rsidR="006E1228" w:rsidRPr="00D26611" w:rsidRDefault="006E1228" w:rsidP="00C937A7">
            <w:pPr>
              <w:spacing w:after="0"/>
              <w:rPr>
                <w:rFonts w:ascii="Times New Roman" w:hAnsi="Times New Roman" w:cs="Times New Roman"/>
                <w:noProof/>
                <w:color w:val="006100"/>
                <w:sz w:val="20"/>
                <w:szCs w:val="20"/>
              </w:rPr>
            </w:pPr>
            <w:r>
              <w:rPr>
                <w:rFonts w:ascii="Times New Roman" w:hAnsi="Times New Roman"/>
                <w:noProof/>
                <w:color w:val="006100"/>
                <w:sz w:val="20"/>
              </w:rPr>
              <w:t xml:space="preserve">К1.И3: </w:t>
            </w:r>
          </w:p>
          <w:p w14:paraId="2FF5F44F" w14:textId="77777777"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Предлагане на обучения за придобиване на умения в областта на цифровите технологии и създаване на обучителна платформа за възрастни</w:t>
            </w:r>
          </w:p>
        </w:tc>
        <w:tc>
          <w:tcPr>
            <w:tcW w:w="993" w:type="dxa"/>
            <w:tcBorders>
              <w:top w:val="nil"/>
              <w:left w:val="nil"/>
              <w:bottom w:val="single" w:sz="4" w:space="0" w:color="auto"/>
              <w:right w:val="single" w:sz="4" w:space="0" w:color="auto"/>
            </w:tcBorders>
            <w:shd w:val="clear" w:color="auto" w:fill="C6EFCE"/>
            <w:noWrap/>
          </w:tcPr>
          <w:p w14:paraId="09AA41CF" w14:textId="77777777"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Цел</w:t>
            </w:r>
          </w:p>
        </w:tc>
        <w:tc>
          <w:tcPr>
            <w:tcW w:w="1984" w:type="dxa"/>
            <w:tcBorders>
              <w:top w:val="nil"/>
              <w:left w:val="nil"/>
              <w:bottom w:val="single" w:sz="4" w:space="0" w:color="auto"/>
              <w:right w:val="single" w:sz="4" w:space="0" w:color="auto"/>
            </w:tcBorders>
            <w:shd w:val="clear" w:color="auto" w:fill="C6EFCE"/>
            <w:noWrap/>
          </w:tcPr>
          <w:p w14:paraId="63AB6422" w14:textId="77777777"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Брой на хората със свидетелство за придобити в резултат на курс умения в областта на цифровите технологии</w:t>
            </w:r>
          </w:p>
        </w:tc>
        <w:tc>
          <w:tcPr>
            <w:tcW w:w="1390" w:type="dxa"/>
            <w:tcBorders>
              <w:top w:val="nil"/>
              <w:left w:val="nil"/>
              <w:bottom w:val="single" w:sz="4" w:space="0" w:color="auto"/>
              <w:right w:val="single" w:sz="4" w:space="0" w:color="auto"/>
            </w:tcBorders>
            <w:shd w:val="clear" w:color="auto" w:fill="C6EFCE"/>
            <w:noWrap/>
          </w:tcPr>
          <w:p w14:paraId="412D668F" w14:textId="77777777" w:rsidR="006E1228" w:rsidRPr="008A0F8A" w:rsidRDefault="006E1228" w:rsidP="00C937A7">
            <w:pPr>
              <w:spacing w:after="0"/>
              <w:rPr>
                <w:rFonts w:ascii="Times New Roman" w:eastAsia="Times New Roman" w:hAnsi="Times New Roman" w:cs="Times New Roman"/>
                <w:noProof/>
                <w:color w:val="006100"/>
                <w:sz w:val="20"/>
                <w:szCs w:val="20"/>
                <w:lang w:val="ru-RU" w:eastAsia="en-GB"/>
              </w:rPr>
            </w:pPr>
          </w:p>
        </w:tc>
        <w:tc>
          <w:tcPr>
            <w:tcW w:w="850" w:type="dxa"/>
            <w:tcBorders>
              <w:top w:val="nil"/>
              <w:left w:val="nil"/>
              <w:bottom w:val="single" w:sz="4" w:space="0" w:color="auto"/>
              <w:right w:val="single" w:sz="4" w:space="0" w:color="auto"/>
            </w:tcBorders>
            <w:shd w:val="clear" w:color="auto" w:fill="C6EFCE"/>
            <w:noWrap/>
          </w:tcPr>
          <w:p w14:paraId="05C45F9C" w14:textId="77777777"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Брой</w:t>
            </w:r>
          </w:p>
        </w:tc>
        <w:tc>
          <w:tcPr>
            <w:tcW w:w="879" w:type="dxa"/>
            <w:tcBorders>
              <w:top w:val="nil"/>
              <w:left w:val="nil"/>
              <w:bottom w:val="single" w:sz="4" w:space="0" w:color="auto"/>
              <w:right w:val="single" w:sz="4" w:space="0" w:color="auto"/>
            </w:tcBorders>
            <w:shd w:val="clear" w:color="auto" w:fill="C6EFCE"/>
            <w:noWrap/>
          </w:tcPr>
          <w:p w14:paraId="5994871D" w14:textId="77777777"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200000</w:t>
            </w:r>
          </w:p>
        </w:tc>
        <w:tc>
          <w:tcPr>
            <w:tcW w:w="675" w:type="dxa"/>
            <w:tcBorders>
              <w:top w:val="nil"/>
              <w:left w:val="nil"/>
              <w:bottom w:val="single" w:sz="4" w:space="0" w:color="auto"/>
              <w:right w:val="single" w:sz="4" w:space="0" w:color="auto"/>
            </w:tcBorders>
            <w:shd w:val="clear" w:color="auto" w:fill="C6EFCE"/>
            <w:noWrap/>
          </w:tcPr>
          <w:p w14:paraId="32103A27" w14:textId="77777777"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500000</w:t>
            </w:r>
          </w:p>
        </w:tc>
        <w:tc>
          <w:tcPr>
            <w:tcW w:w="851" w:type="dxa"/>
            <w:tcBorders>
              <w:top w:val="nil"/>
              <w:left w:val="nil"/>
              <w:bottom w:val="single" w:sz="4" w:space="0" w:color="auto"/>
              <w:right w:val="single" w:sz="4" w:space="0" w:color="auto"/>
            </w:tcBorders>
            <w:shd w:val="clear" w:color="auto" w:fill="C6EFCE"/>
            <w:noWrap/>
          </w:tcPr>
          <w:p w14:paraId="3393C31C" w14:textId="77777777"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T2</w:t>
            </w:r>
          </w:p>
        </w:tc>
        <w:tc>
          <w:tcPr>
            <w:tcW w:w="742" w:type="dxa"/>
            <w:tcBorders>
              <w:top w:val="nil"/>
              <w:left w:val="nil"/>
              <w:bottom w:val="single" w:sz="4" w:space="0" w:color="auto"/>
              <w:right w:val="single" w:sz="4" w:space="0" w:color="auto"/>
            </w:tcBorders>
            <w:shd w:val="clear" w:color="auto" w:fill="C6EFCE"/>
            <w:noWrap/>
          </w:tcPr>
          <w:p w14:paraId="46B0D3F3" w14:textId="77777777"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2026</w:t>
            </w:r>
          </w:p>
        </w:tc>
        <w:tc>
          <w:tcPr>
            <w:tcW w:w="4650" w:type="dxa"/>
            <w:tcBorders>
              <w:top w:val="nil"/>
              <w:left w:val="nil"/>
              <w:bottom w:val="single" w:sz="4" w:space="0" w:color="auto"/>
              <w:right w:val="single" w:sz="4" w:space="0" w:color="auto"/>
            </w:tcBorders>
            <w:shd w:val="clear" w:color="auto" w:fill="C6EFCE"/>
            <w:noWrap/>
          </w:tcPr>
          <w:p w14:paraId="08BFF5C3" w14:textId="77777777"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За да се брои с оглед на постигането на крайната цел, регистрираното безработно или заетото лице трябва да е получило свидетелство за придобити в резултат на завършен курс базови и/или средни умения в областта на цифровите технологии.</w:t>
            </w:r>
          </w:p>
        </w:tc>
      </w:tr>
      <w:tr w:rsidR="006E1228" w:rsidRPr="005241FC" w14:paraId="3DBAB26B" w14:textId="77777777" w:rsidTr="008E16C0">
        <w:trPr>
          <w:trHeight w:val="309"/>
        </w:trPr>
        <w:tc>
          <w:tcPr>
            <w:tcW w:w="709" w:type="dxa"/>
            <w:tcBorders>
              <w:top w:val="nil"/>
              <w:left w:val="single" w:sz="4" w:space="0" w:color="auto"/>
              <w:bottom w:val="single" w:sz="4" w:space="0" w:color="auto"/>
              <w:right w:val="single" w:sz="4" w:space="0" w:color="auto"/>
            </w:tcBorders>
            <w:shd w:val="clear" w:color="auto" w:fill="C6EFCE"/>
            <w:noWrap/>
          </w:tcPr>
          <w:p w14:paraId="2CD6B50D" w14:textId="2D48F394" w:rsidR="006E1228" w:rsidRPr="00D26611" w:rsidRDefault="00600A97" w:rsidP="00C937A7">
            <w:pPr>
              <w:spacing w:after="0"/>
              <w:rPr>
                <w:rFonts w:ascii="Times New Roman" w:eastAsia="Times New Roman" w:hAnsi="Times New Roman" w:cs="Times New Roman"/>
                <w:noProof/>
                <w:sz w:val="20"/>
                <w:szCs w:val="20"/>
              </w:rPr>
            </w:pPr>
            <w:r>
              <w:rPr>
                <w:rFonts w:ascii="Times New Roman" w:hAnsi="Times New Roman"/>
                <w:noProof/>
                <w:color w:val="006100"/>
                <w:sz w:val="20"/>
              </w:rPr>
              <w:t>22</w:t>
            </w:r>
          </w:p>
        </w:tc>
        <w:tc>
          <w:tcPr>
            <w:tcW w:w="1587" w:type="dxa"/>
            <w:tcBorders>
              <w:top w:val="nil"/>
              <w:left w:val="nil"/>
              <w:bottom w:val="single" w:sz="4" w:space="0" w:color="auto"/>
              <w:right w:val="single" w:sz="4" w:space="0" w:color="auto"/>
            </w:tcBorders>
            <w:shd w:val="clear" w:color="auto" w:fill="C6EFCE"/>
            <w:noWrap/>
          </w:tcPr>
          <w:p w14:paraId="43EC73DD" w14:textId="77777777" w:rsidR="006E1228" w:rsidRPr="00D26611" w:rsidRDefault="006E1228" w:rsidP="00C937A7">
            <w:pPr>
              <w:spacing w:after="0"/>
              <w:rPr>
                <w:rFonts w:ascii="Times New Roman" w:hAnsi="Times New Roman" w:cs="Times New Roman"/>
                <w:noProof/>
                <w:color w:val="006100"/>
                <w:sz w:val="20"/>
                <w:szCs w:val="20"/>
              </w:rPr>
            </w:pPr>
            <w:r>
              <w:rPr>
                <w:rFonts w:ascii="Times New Roman" w:hAnsi="Times New Roman"/>
                <w:noProof/>
                <w:color w:val="006100"/>
                <w:sz w:val="20"/>
              </w:rPr>
              <w:t xml:space="preserve">К1.И4: </w:t>
            </w:r>
          </w:p>
          <w:p w14:paraId="6125AB57" w14:textId="77777777"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Младежки центрове</w:t>
            </w:r>
          </w:p>
        </w:tc>
        <w:tc>
          <w:tcPr>
            <w:tcW w:w="993" w:type="dxa"/>
            <w:tcBorders>
              <w:top w:val="nil"/>
              <w:left w:val="nil"/>
              <w:bottom w:val="single" w:sz="4" w:space="0" w:color="auto"/>
              <w:right w:val="single" w:sz="4" w:space="0" w:color="auto"/>
            </w:tcBorders>
            <w:shd w:val="clear" w:color="auto" w:fill="C6EFCE"/>
            <w:noWrap/>
          </w:tcPr>
          <w:p w14:paraId="7D2B226F" w14:textId="77777777"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Цел</w:t>
            </w:r>
          </w:p>
        </w:tc>
        <w:tc>
          <w:tcPr>
            <w:tcW w:w="1984" w:type="dxa"/>
            <w:tcBorders>
              <w:top w:val="nil"/>
              <w:left w:val="nil"/>
              <w:bottom w:val="single" w:sz="4" w:space="0" w:color="auto"/>
              <w:right w:val="single" w:sz="4" w:space="0" w:color="auto"/>
            </w:tcBorders>
            <w:shd w:val="clear" w:color="auto" w:fill="C6EFCE"/>
            <w:noWrap/>
          </w:tcPr>
          <w:p w14:paraId="7AD509DC" w14:textId="77777777" w:rsidR="006E1228" w:rsidRPr="00D26611" w:rsidRDefault="006E1228" w:rsidP="00C937A7">
            <w:pPr>
              <w:spacing w:after="0"/>
              <w:rPr>
                <w:rFonts w:ascii="Times New Roman" w:hAnsi="Times New Roman" w:cs="Times New Roman"/>
                <w:noProof/>
                <w:color w:val="006100"/>
                <w:sz w:val="20"/>
                <w:szCs w:val="20"/>
              </w:rPr>
            </w:pPr>
            <w:r>
              <w:rPr>
                <w:rFonts w:ascii="Times New Roman" w:hAnsi="Times New Roman"/>
                <w:noProof/>
                <w:color w:val="006100"/>
                <w:sz w:val="20"/>
              </w:rPr>
              <w:t>Приключване на построяването и обновяването на младежки центрове и на национален координационен център</w:t>
            </w:r>
          </w:p>
        </w:tc>
        <w:tc>
          <w:tcPr>
            <w:tcW w:w="1390" w:type="dxa"/>
            <w:tcBorders>
              <w:top w:val="nil"/>
              <w:left w:val="nil"/>
              <w:bottom w:val="single" w:sz="4" w:space="0" w:color="auto"/>
              <w:right w:val="single" w:sz="4" w:space="0" w:color="auto"/>
            </w:tcBorders>
            <w:shd w:val="clear" w:color="auto" w:fill="C6EFCE"/>
            <w:noWrap/>
          </w:tcPr>
          <w:p w14:paraId="59E841C5" w14:textId="77777777"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850" w:type="dxa"/>
            <w:tcBorders>
              <w:top w:val="nil"/>
              <w:left w:val="nil"/>
              <w:bottom w:val="single" w:sz="4" w:space="0" w:color="auto"/>
              <w:right w:val="single" w:sz="4" w:space="0" w:color="auto"/>
            </w:tcBorders>
            <w:shd w:val="clear" w:color="auto" w:fill="C6EFCE"/>
            <w:noWrap/>
          </w:tcPr>
          <w:p w14:paraId="3E2FFE5B" w14:textId="77777777"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Брой</w:t>
            </w:r>
          </w:p>
        </w:tc>
        <w:tc>
          <w:tcPr>
            <w:tcW w:w="879" w:type="dxa"/>
            <w:tcBorders>
              <w:top w:val="nil"/>
              <w:left w:val="nil"/>
              <w:bottom w:val="single" w:sz="4" w:space="0" w:color="auto"/>
              <w:right w:val="single" w:sz="4" w:space="0" w:color="auto"/>
            </w:tcBorders>
            <w:shd w:val="clear" w:color="auto" w:fill="C6EFCE"/>
            <w:noWrap/>
          </w:tcPr>
          <w:p w14:paraId="523DB017" w14:textId="77777777"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0</w:t>
            </w:r>
          </w:p>
        </w:tc>
        <w:tc>
          <w:tcPr>
            <w:tcW w:w="675" w:type="dxa"/>
            <w:tcBorders>
              <w:top w:val="nil"/>
              <w:left w:val="nil"/>
              <w:bottom w:val="single" w:sz="4" w:space="0" w:color="auto"/>
              <w:right w:val="single" w:sz="4" w:space="0" w:color="auto"/>
            </w:tcBorders>
            <w:shd w:val="clear" w:color="auto" w:fill="C6EFCE"/>
            <w:noWrap/>
          </w:tcPr>
          <w:p w14:paraId="239943B0" w14:textId="77777777"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21</w:t>
            </w:r>
          </w:p>
        </w:tc>
        <w:tc>
          <w:tcPr>
            <w:tcW w:w="851" w:type="dxa"/>
            <w:tcBorders>
              <w:top w:val="nil"/>
              <w:left w:val="nil"/>
              <w:bottom w:val="single" w:sz="4" w:space="0" w:color="auto"/>
              <w:right w:val="single" w:sz="4" w:space="0" w:color="auto"/>
            </w:tcBorders>
            <w:shd w:val="clear" w:color="auto" w:fill="C6EFCE"/>
            <w:noWrap/>
          </w:tcPr>
          <w:p w14:paraId="49C68EE7" w14:textId="59F2E2DF"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T1</w:t>
            </w:r>
          </w:p>
        </w:tc>
        <w:tc>
          <w:tcPr>
            <w:tcW w:w="742" w:type="dxa"/>
            <w:tcBorders>
              <w:top w:val="nil"/>
              <w:left w:val="nil"/>
              <w:bottom w:val="single" w:sz="4" w:space="0" w:color="auto"/>
              <w:right w:val="single" w:sz="4" w:space="0" w:color="auto"/>
            </w:tcBorders>
            <w:shd w:val="clear" w:color="auto" w:fill="C6EFCE"/>
            <w:noWrap/>
          </w:tcPr>
          <w:p w14:paraId="61651732" w14:textId="55F66704"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2025</w:t>
            </w:r>
          </w:p>
        </w:tc>
        <w:tc>
          <w:tcPr>
            <w:tcW w:w="4650" w:type="dxa"/>
            <w:tcBorders>
              <w:top w:val="nil"/>
              <w:left w:val="nil"/>
              <w:bottom w:val="single" w:sz="4" w:space="0" w:color="auto"/>
              <w:right w:val="single" w:sz="4" w:space="0" w:color="auto"/>
            </w:tcBorders>
            <w:shd w:val="clear" w:color="auto" w:fill="C6EFCE"/>
            <w:noWrap/>
          </w:tcPr>
          <w:p w14:paraId="7E37CCDA" w14:textId="2C803331" w:rsidR="006E1228" w:rsidRPr="00D26611" w:rsidRDefault="006E1228" w:rsidP="00964A0B">
            <w:pPr>
              <w:spacing w:after="0"/>
              <w:rPr>
                <w:rFonts w:ascii="Times New Roman" w:hAnsi="Times New Roman" w:cs="Times New Roman"/>
                <w:noProof/>
                <w:color w:val="006100"/>
                <w:sz w:val="20"/>
                <w:szCs w:val="20"/>
              </w:rPr>
            </w:pPr>
            <w:r>
              <w:rPr>
                <w:rFonts w:ascii="Times New Roman" w:hAnsi="Times New Roman"/>
                <w:noProof/>
                <w:color w:val="006100"/>
                <w:sz w:val="20"/>
              </w:rPr>
              <w:t>След успешни процедури за възлагане на обществени поръчки ще бъде завършено изграждането и обновяването на 10 младежки центъра в окръжни градове, на 10 младежки центъра в неокръжни градове, както и на национален координационен център.</w:t>
            </w:r>
          </w:p>
        </w:tc>
      </w:tr>
      <w:tr w:rsidR="006E1228" w:rsidRPr="005241FC" w14:paraId="4C72E42F" w14:textId="77777777" w:rsidTr="008E16C0">
        <w:trPr>
          <w:trHeight w:val="309"/>
        </w:trPr>
        <w:tc>
          <w:tcPr>
            <w:tcW w:w="709" w:type="dxa"/>
            <w:tcBorders>
              <w:top w:val="nil"/>
              <w:left w:val="single" w:sz="4" w:space="0" w:color="auto"/>
              <w:bottom w:val="single" w:sz="4" w:space="0" w:color="auto"/>
              <w:right w:val="single" w:sz="4" w:space="0" w:color="auto"/>
            </w:tcBorders>
            <w:shd w:val="clear" w:color="auto" w:fill="C6EFCE"/>
            <w:noWrap/>
          </w:tcPr>
          <w:p w14:paraId="3E5B8A03" w14:textId="6D1E5213" w:rsidR="006E1228" w:rsidRPr="00D26611" w:rsidRDefault="00600A97" w:rsidP="00C937A7">
            <w:pPr>
              <w:spacing w:after="0"/>
              <w:rPr>
                <w:rFonts w:ascii="Times New Roman" w:eastAsia="Times New Roman" w:hAnsi="Times New Roman" w:cs="Times New Roman"/>
                <w:noProof/>
                <w:sz w:val="20"/>
                <w:szCs w:val="20"/>
              </w:rPr>
            </w:pPr>
            <w:r>
              <w:rPr>
                <w:rFonts w:ascii="Times New Roman" w:hAnsi="Times New Roman"/>
                <w:noProof/>
                <w:color w:val="006100"/>
                <w:sz w:val="20"/>
              </w:rPr>
              <w:t>23</w:t>
            </w:r>
          </w:p>
        </w:tc>
        <w:tc>
          <w:tcPr>
            <w:tcW w:w="1587" w:type="dxa"/>
            <w:tcBorders>
              <w:top w:val="nil"/>
              <w:left w:val="nil"/>
              <w:bottom w:val="single" w:sz="4" w:space="0" w:color="auto"/>
              <w:right w:val="single" w:sz="4" w:space="0" w:color="auto"/>
            </w:tcBorders>
            <w:shd w:val="clear" w:color="auto" w:fill="C6EFCE"/>
            <w:noWrap/>
          </w:tcPr>
          <w:p w14:paraId="58CA7872" w14:textId="77777777" w:rsidR="006E1228" w:rsidRPr="00D26611" w:rsidRDefault="006E1228" w:rsidP="00C937A7">
            <w:pPr>
              <w:spacing w:after="0"/>
              <w:rPr>
                <w:rFonts w:ascii="Times New Roman" w:hAnsi="Times New Roman" w:cs="Times New Roman"/>
                <w:noProof/>
                <w:color w:val="006100"/>
                <w:sz w:val="20"/>
                <w:szCs w:val="20"/>
              </w:rPr>
            </w:pPr>
            <w:r>
              <w:rPr>
                <w:rFonts w:ascii="Times New Roman" w:hAnsi="Times New Roman"/>
                <w:noProof/>
                <w:color w:val="006100"/>
                <w:sz w:val="20"/>
              </w:rPr>
              <w:t xml:space="preserve">К1.И4: </w:t>
            </w:r>
          </w:p>
          <w:p w14:paraId="6A7B81B5" w14:textId="77777777"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Младежки центрове</w:t>
            </w:r>
          </w:p>
        </w:tc>
        <w:tc>
          <w:tcPr>
            <w:tcW w:w="993" w:type="dxa"/>
            <w:tcBorders>
              <w:top w:val="nil"/>
              <w:left w:val="nil"/>
              <w:bottom w:val="single" w:sz="4" w:space="0" w:color="auto"/>
              <w:right w:val="single" w:sz="4" w:space="0" w:color="auto"/>
            </w:tcBorders>
            <w:shd w:val="clear" w:color="auto" w:fill="C6EFCE"/>
            <w:noWrap/>
          </w:tcPr>
          <w:p w14:paraId="1F2BE3DC" w14:textId="77777777"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Цел</w:t>
            </w:r>
          </w:p>
        </w:tc>
        <w:tc>
          <w:tcPr>
            <w:tcW w:w="1984" w:type="dxa"/>
            <w:tcBorders>
              <w:top w:val="nil"/>
              <w:left w:val="nil"/>
              <w:bottom w:val="single" w:sz="4" w:space="0" w:color="auto"/>
              <w:right w:val="single" w:sz="4" w:space="0" w:color="auto"/>
            </w:tcBorders>
            <w:shd w:val="clear" w:color="auto" w:fill="C6EFCE"/>
            <w:noWrap/>
          </w:tcPr>
          <w:p w14:paraId="71D11FFF" w14:textId="77777777"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Студенти/младежи, регистрирани в поне една дейност на младежките центрове.</w:t>
            </w:r>
          </w:p>
        </w:tc>
        <w:tc>
          <w:tcPr>
            <w:tcW w:w="1390" w:type="dxa"/>
            <w:tcBorders>
              <w:top w:val="nil"/>
              <w:left w:val="nil"/>
              <w:bottom w:val="single" w:sz="4" w:space="0" w:color="auto"/>
              <w:right w:val="single" w:sz="4" w:space="0" w:color="auto"/>
            </w:tcBorders>
            <w:shd w:val="clear" w:color="auto" w:fill="C6EFCE"/>
            <w:noWrap/>
          </w:tcPr>
          <w:p w14:paraId="7EC578DD" w14:textId="77777777"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850" w:type="dxa"/>
            <w:tcBorders>
              <w:top w:val="nil"/>
              <w:left w:val="nil"/>
              <w:bottom w:val="single" w:sz="4" w:space="0" w:color="auto"/>
              <w:right w:val="single" w:sz="4" w:space="0" w:color="auto"/>
            </w:tcBorders>
            <w:shd w:val="clear" w:color="auto" w:fill="C6EFCE"/>
            <w:noWrap/>
          </w:tcPr>
          <w:p w14:paraId="78BAA09B" w14:textId="77777777"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Брой</w:t>
            </w:r>
          </w:p>
        </w:tc>
        <w:tc>
          <w:tcPr>
            <w:tcW w:w="879" w:type="dxa"/>
            <w:tcBorders>
              <w:top w:val="nil"/>
              <w:left w:val="nil"/>
              <w:bottom w:val="single" w:sz="4" w:space="0" w:color="auto"/>
              <w:right w:val="single" w:sz="4" w:space="0" w:color="auto"/>
            </w:tcBorders>
            <w:shd w:val="clear" w:color="auto" w:fill="C6EFCE"/>
            <w:noWrap/>
          </w:tcPr>
          <w:p w14:paraId="2AB050EC" w14:textId="77777777"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0</w:t>
            </w:r>
          </w:p>
        </w:tc>
        <w:tc>
          <w:tcPr>
            <w:tcW w:w="675" w:type="dxa"/>
            <w:tcBorders>
              <w:top w:val="nil"/>
              <w:left w:val="nil"/>
              <w:bottom w:val="single" w:sz="4" w:space="0" w:color="auto"/>
              <w:right w:val="single" w:sz="4" w:space="0" w:color="auto"/>
            </w:tcBorders>
            <w:shd w:val="clear" w:color="auto" w:fill="C6EFCE"/>
            <w:noWrap/>
          </w:tcPr>
          <w:p w14:paraId="491D35E4" w14:textId="77777777"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19500</w:t>
            </w:r>
          </w:p>
        </w:tc>
        <w:tc>
          <w:tcPr>
            <w:tcW w:w="851" w:type="dxa"/>
            <w:tcBorders>
              <w:top w:val="nil"/>
              <w:left w:val="nil"/>
              <w:bottom w:val="single" w:sz="4" w:space="0" w:color="auto"/>
              <w:right w:val="single" w:sz="4" w:space="0" w:color="auto"/>
            </w:tcBorders>
            <w:shd w:val="clear" w:color="auto" w:fill="C6EFCE"/>
            <w:noWrap/>
          </w:tcPr>
          <w:p w14:paraId="00A94299" w14:textId="77777777"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T2</w:t>
            </w:r>
          </w:p>
        </w:tc>
        <w:tc>
          <w:tcPr>
            <w:tcW w:w="742" w:type="dxa"/>
            <w:tcBorders>
              <w:top w:val="nil"/>
              <w:left w:val="nil"/>
              <w:bottom w:val="single" w:sz="4" w:space="0" w:color="auto"/>
              <w:right w:val="single" w:sz="4" w:space="0" w:color="auto"/>
            </w:tcBorders>
            <w:shd w:val="clear" w:color="auto" w:fill="C6EFCE"/>
            <w:noWrap/>
          </w:tcPr>
          <w:p w14:paraId="786CA818" w14:textId="77777777" w:rsidR="006E1228" w:rsidRPr="00D26611" w:rsidRDefault="006E1228" w:rsidP="00C937A7">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2026</w:t>
            </w:r>
          </w:p>
        </w:tc>
        <w:tc>
          <w:tcPr>
            <w:tcW w:w="4650" w:type="dxa"/>
            <w:tcBorders>
              <w:top w:val="nil"/>
              <w:left w:val="nil"/>
              <w:bottom w:val="single" w:sz="4" w:space="0" w:color="auto"/>
              <w:right w:val="single" w:sz="4" w:space="0" w:color="auto"/>
            </w:tcBorders>
            <w:shd w:val="clear" w:color="auto" w:fill="C6EFCE"/>
            <w:noWrap/>
          </w:tcPr>
          <w:p w14:paraId="7B79899E" w14:textId="69EBD86F" w:rsidR="006E1228" w:rsidRPr="00D26611" w:rsidRDefault="00B12A8C" w:rsidP="00C937A7">
            <w:pPr>
              <w:spacing w:after="0"/>
              <w:rPr>
                <w:rFonts w:ascii="Times New Roman" w:hAnsi="Times New Roman" w:cs="Times New Roman"/>
                <w:noProof/>
                <w:color w:val="006100"/>
                <w:sz w:val="20"/>
                <w:szCs w:val="20"/>
              </w:rPr>
            </w:pPr>
            <w:r>
              <w:rPr>
                <w:rFonts w:ascii="Times New Roman" w:hAnsi="Times New Roman"/>
                <w:noProof/>
                <w:color w:val="006100"/>
                <w:sz w:val="20"/>
              </w:rPr>
              <w:t>19 500 младежи (под 29 години), в т.ч. от уязвими групи като ромите, регистрирани в поне една дейност на младежките центрове, в т.ч. обучения или групови консултации.</w:t>
            </w:r>
          </w:p>
          <w:p w14:paraId="00A1632B" w14:textId="77777777" w:rsidR="006E1228" w:rsidRPr="008A0F8A" w:rsidRDefault="006E1228" w:rsidP="00C937A7">
            <w:pPr>
              <w:spacing w:after="0"/>
              <w:rPr>
                <w:rFonts w:ascii="Times New Roman" w:hAnsi="Times New Roman" w:cs="Times New Roman"/>
                <w:noProof/>
                <w:color w:val="006100"/>
                <w:sz w:val="20"/>
                <w:szCs w:val="20"/>
                <w:lang w:val="ru-RU"/>
              </w:rPr>
            </w:pPr>
          </w:p>
          <w:p w14:paraId="4A662A55" w14:textId="4A9A364F" w:rsidR="006E1228" w:rsidRPr="00D26611" w:rsidRDefault="006E1228" w:rsidP="00291140">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Освен това 4 700 младежи от общия целеви брой 19 500 ще са преминали успешно изпит по умения в областта на цифровите технологии след участие в курс в младежки център.</w:t>
            </w:r>
          </w:p>
        </w:tc>
      </w:tr>
    </w:tbl>
    <w:p w14:paraId="6EA8B431" w14:textId="77777777" w:rsidR="006E1228" w:rsidRPr="008A0F8A" w:rsidRDefault="006E1228" w:rsidP="006E1228">
      <w:pPr>
        <w:spacing w:before="120" w:after="120" w:line="240" w:lineRule="auto"/>
        <w:jc w:val="both"/>
        <w:rPr>
          <w:rFonts w:ascii="Times New Roman" w:eastAsia="Calibri" w:hAnsi="Times New Roman" w:cs="Times New Roman"/>
          <w:noProof/>
          <w:sz w:val="24"/>
          <w:lang w:val="ru-RU"/>
        </w:rPr>
        <w:sectPr w:rsidR="006E1228" w:rsidRPr="008A0F8A" w:rsidSect="00B60432">
          <w:headerReference w:type="even" r:id="rId24"/>
          <w:headerReference w:type="default" r:id="rId25"/>
          <w:footerReference w:type="even" r:id="rId26"/>
          <w:footerReference w:type="default" r:id="rId27"/>
          <w:headerReference w:type="first" r:id="rId28"/>
          <w:footerReference w:type="first" r:id="rId29"/>
          <w:pgSz w:w="16839" w:h="11907" w:orient="landscape"/>
          <w:pgMar w:top="1134" w:right="1134" w:bottom="1134" w:left="1134" w:header="567" w:footer="567" w:gutter="0"/>
          <w:cols w:space="720"/>
          <w:docGrid w:linePitch="360"/>
        </w:sectPr>
      </w:pPr>
    </w:p>
    <w:p w14:paraId="1655CCC2" w14:textId="1B6C177C" w:rsidR="00446317" w:rsidRPr="00562D16" w:rsidRDefault="003B792C" w:rsidP="00446317">
      <w:pPr>
        <w:keepNext/>
        <w:tabs>
          <w:tab w:val="left" w:pos="850"/>
        </w:tabs>
        <w:spacing w:before="360" w:after="120" w:line="240" w:lineRule="auto"/>
        <w:ind w:left="850" w:hanging="850"/>
        <w:jc w:val="both"/>
        <w:outlineLvl w:val="0"/>
        <w:rPr>
          <w:rFonts w:ascii="Times New Roman" w:eastAsia="Calibri" w:hAnsi="Times New Roman" w:cs="Times New Roman"/>
          <w:b/>
          <w:bCs/>
          <w:smallCaps/>
          <w:noProof/>
          <w:sz w:val="24"/>
          <w:szCs w:val="24"/>
        </w:rPr>
      </w:pPr>
      <w:r>
        <w:rPr>
          <w:rFonts w:ascii="Times New Roman" w:hAnsi="Times New Roman"/>
          <w:b/>
          <w:smallCaps/>
          <w:noProof/>
          <w:sz w:val="24"/>
        </w:rPr>
        <w:tab/>
        <w:t>Б. КОМПОНЕНТ 2: Научни изследвания и иновации</w:t>
      </w:r>
    </w:p>
    <w:p w14:paraId="749CE8FE" w14:textId="0B4978F0" w:rsidR="00446317" w:rsidRPr="00562D16" w:rsidRDefault="31375477" w:rsidP="54FEC46E">
      <w:pPr>
        <w:pStyle w:val="paragraph"/>
        <w:spacing w:before="0" w:beforeAutospacing="0" w:after="0" w:afterAutospacing="0"/>
        <w:ind w:left="840"/>
        <w:jc w:val="both"/>
        <w:textAlignment w:val="baseline"/>
        <w:rPr>
          <w:rStyle w:val="normaltextrun"/>
          <w:noProof/>
          <w:color w:val="000000" w:themeColor="text1"/>
        </w:rPr>
      </w:pPr>
      <w:r>
        <w:rPr>
          <w:rStyle w:val="normaltextrun"/>
          <w:noProof/>
          <w:color w:val="000000" w:themeColor="text1"/>
        </w:rPr>
        <w:t xml:space="preserve">Компонентът „Научни изследвания и иновации“ на българския план за възстановяване и устойчивост съдържа мерки за увеличаване на иновациите в България и оттам – за насърчаване на средносрочния и дългосрочния икономически растеж на страната. Компонентът съдържа реформа, чиято цел е да постави научните изследвания и иновациите като ясен приоритет на бъдещото развитие на страната и да обедини националните ресурси и ресурсите на ЕС, за да се преодолее настоящата разпокъсаност на средата. Основните елементи на реформата са: </w:t>
      </w:r>
      <w:r>
        <w:rPr>
          <w:rStyle w:val="normaltextrun"/>
          <w:noProof/>
        </w:rPr>
        <w:t xml:space="preserve">приемане на Закон за научните изследвания и иновациите и създаване на Съвет по иновации. </w:t>
      </w:r>
      <w:r>
        <w:rPr>
          <w:rStyle w:val="normaltextrun"/>
          <w:noProof/>
          <w:color w:val="000000" w:themeColor="text1"/>
        </w:rPr>
        <w:t>Компонентът включва и инвестиции за насърчаване на ефикасността на научните изследвания и иновациите на публичните научноизследователски институции и иновативните дружества. С инвестициите се създават нови канали за финансиране на научноизследователската и иновационна дейност и се повишава иновационният капацитет на Българската академия на науките.</w:t>
      </w:r>
      <w:r>
        <w:rPr>
          <w:noProof/>
        </w:rPr>
        <w:t xml:space="preserve"> </w:t>
      </w:r>
    </w:p>
    <w:p w14:paraId="42A35328" w14:textId="77777777" w:rsidR="00446317" w:rsidRPr="008A0F8A" w:rsidRDefault="00446317" w:rsidP="00446317">
      <w:pPr>
        <w:pStyle w:val="paragraph"/>
        <w:spacing w:before="0" w:beforeAutospacing="0" w:after="0" w:afterAutospacing="0"/>
        <w:ind w:left="840"/>
        <w:jc w:val="both"/>
        <w:textAlignment w:val="baseline"/>
        <w:rPr>
          <w:rStyle w:val="normaltextrun"/>
          <w:bCs/>
          <w:iCs/>
          <w:noProof/>
          <w:color w:val="000000" w:themeColor="text1"/>
          <w:lang w:val="ru-RU"/>
        </w:rPr>
      </w:pPr>
    </w:p>
    <w:p w14:paraId="0FE5B86E" w14:textId="0DEBD908" w:rsidR="00446317" w:rsidRPr="00562D16" w:rsidRDefault="00446317" w:rsidP="00507C4C">
      <w:pPr>
        <w:pStyle w:val="paragraph"/>
        <w:spacing w:before="0" w:beforeAutospacing="0" w:after="0" w:afterAutospacing="0"/>
        <w:ind w:left="840"/>
        <w:jc w:val="both"/>
        <w:textAlignment w:val="baseline"/>
        <w:rPr>
          <w:rStyle w:val="normaltextrun"/>
          <w:bCs/>
          <w:iCs/>
          <w:noProof/>
          <w:color w:val="000000" w:themeColor="text1"/>
        </w:rPr>
      </w:pPr>
      <w:r>
        <w:rPr>
          <w:noProof/>
        </w:rPr>
        <w:t>Мерките, включени в компонента, допринасят за изпълнението на специфичната за страната препоръка 3 от 2019 г. („Насочване на икономическата политика, свързана с инвестициите, към научните изследвания и иновациите“) и препоръка 3 от 2020 г. („Рационализиране и ускоряване на процедурите за предоставяне на ефективна подкрепа на малките и средните предприятия и самостоятелно заетите лица“).</w:t>
      </w:r>
    </w:p>
    <w:p w14:paraId="7AE10795" w14:textId="77777777" w:rsidR="00446317" w:rsidRPr="008A0F8A" w:rsidRDefault="00446317" w:rsidP="00446317">
      <w:pPr>
        <w:pStyle w:val="paragraph"/>
        <w:spacing w:before="0" w:beforeAutospacing="0" w:after="0" w:afterAutospacing="0"/>
        <w:ind w:left="840"/>
        <w:jc w:val="both"/>
        <w:textAlignment w:val="baseline"/>
        <w:rPr>
          <w:rStyle w:val="normaltextrun"/>
          <w:b/>
          <w:bCs/>
          <w:iCs/>
          <w:noProof/>
          <w:color w:val="000000" w:themeColor="text1"/>
          <w:lang w:val="ru-RU"/>
        </w:rPr>
      </w:pPr>
    </w:p>
    <w:p w14:paraId="25ECE51A" w14:textId="26C65FE3" w:rsidR="00446317" w:rsidRPr="00562D16" w:rsidRDefault="00192C2E" w:rsidP="00446317">
      <w:pPr>
        <w:spacing w:before="120" w:after="120" w:line="240" w:lineRule="auto"/>
        <w:ind w:left="850"/>
        <w:jc w:val="both"/>
        <w:rPr>
          <w:rFonts w:ascii="Times New Roman" w:eastAsia="Calibri" w:hAnsi="Times New Roman" w:cs="Times New Roman"/>
          <w:b/>
          <w:bCs/>
          <w:i/>
          <w:iCs/>
          <w:noProof/>
          <w:color w:val="4F81BD"/>
          <w:sz w:val="24"/>
          <w:szCs w:val="24"/>
        </w:rPr>
      </w:pPr>
      <w:r>
        <w:rPr>
          <w:rFonts w:ascii="Times New Roman" w:hAnsi="Times New Roman"/>
          <w:b/>
          <w:noProof/>
          <w:sz w:val="24"/>
          <w:u w:val="single"/>
        </w:rPr>
        <w:t>Б</w:t>
      </w:r>
      <w:r w:rsidR="00446317">
        <w:rPr>
          <w:rFonts w:ascii="Times New Roman" w:hAnsi="Times New Roman"/>
          <w:b/>
          <w:noProof/>
          <w:sz w:val="24"/>
          <w:u w:val="single"/>
        </w:rPr>
        <w:t xml:space="preserve">.1 </w:t>
      </w:r>
      <w:r w:rsidR="00446317">
        <w:rPr>
          <w:rFonts w:ascii="Times New Roman" w:hAnsi="Times New Roman"/>
          <w:b/>
          <w:noProof/>
          <w:sz w:val="24"/>
          <w:u w:val="single"/>
        </w:rPr>
        <w:tab/>
        <w:t>Описание на реформите и инвестициите за безвъзмездна финансова подкрепа</w:t>
      </w:r>
    </w:p>
    <w:p w14:paraId="0C1DE799" w14:textId="77777777" w:rsidR="00446317" w:rsidRPr="008A0F8A" w:rsidRDefault="00446317" w:rsidP="00446317">
      <w:pPr>
        <w:pStyle w:val="paragraph"/>
        <w:spacing w:before="0" w:beforeAutospacing="0" w:after="0" w:afterAutospacing="0"/>
        <w:ind w:left="840"/>
        <w:jc w:val="both"/>
        <w:textAlignment w:val="baseline"/>
        <w:rPr>
          <w:rStyle w:val="normaltextrun"/>
          <w:b/>
          <w:bCs/>
          <w:i/>
          <w:iCs/>
          <w:noProof/>
          <w:color w:val="4472C4"/>
          <w:lang w:val="ru-RU"/>
        </w:rPr>
      </w:pPr>
    </w:p>
    <w:p w14:paraId="724A8131" w14:textId="435EE97B" w:rsidR="00446317" w:rsidRPr="00562D16" w:rsidRDefault="00446317" w:rsidP="00446317">
      <w:pPr>
        <w:pStyle w:val="paragraph"/>
        <w:spacing w:before="0" w:beforeAutospacing="0" w:after="0" w:afterAutospacing="0"/>
        <w:ind w:left="840"/>
        <w:jc w:val="both"/>
        <w:textAlignment w:val="baseline"/>
        <w:rPr>
          <w:rStyle w:val="eop"/>
          <w:noProof/>
          <w:color w:val="000000" w:themeColor="text1"/>
          <w:u w:val="single"/>
        </w:rPr>
      </w:pPr>
      <w:r>
        <w:rPr>
          <w:rStyle w:val="normaltextrun"/>
          <w:noProof/>
          <w:color w:val="000000" w:themeColor="text1"/>
          <w:u w:val="single"/>
        </w:rPr>
        <w:t>Реформа 1 (К2.Р1): Обща политика за развитие на научните изследвания и иновациите</w:t>
      </w:r>
    </w:p>
    <w:p w14:paraId="2F4B1FE0" w14:textId="77777777" w:rsidR="00446317" w:rsidRPr="00562D16" w:rsidRDefault="00446317" w:rsidP="00446317">
      <w:pPr>
        <w:pStyle w:val="paragraph"/>
        <w:spacing w:before="0" w:beforeAutospacing="0" w:after="0" w:afterAutospacing="0"/>
        <w:ind w:left="840"/>
        <w:jc w:val="both"/>
        <w:textAlignment w:val="baseline"/>
        <w:rPr>
          <w:noProof/>
          <w:color w:val="000000" w:themeColor="text1"/>
          <w:sz w:val="18"/>
          <w:szCs w:val="18"/>
        </w:rPr>
      </w:pPr>
    </w:p>
    <w:p w14:paraId="70129D94" w14:textId="77777777" w:rsidR="00446317" w:rsidRPr="00562D16" w:rsidRDefault="00446317" w:rsidP="00446317">
      <w:pPr>
        <w:pStyle w:val="paragraph"/>
        <w:spacing w:before="0" w:beforeAutospacing="0" w:after="0" w:afterAutospacing="0"/>
        <w:ind w:left="840"/>
        <w:jc w:val="both"/>
        <w:textAlignment w:val="baseline"/>
        <w:rPr>
          <w:rStyle w:val="eop"/>
          <w:noProof/>
          <w:color w:val="000000" w:themeColor="text1"/>
        </w:rPr>
      </w:pPr>
      <w:r>
        <w:rPr>
          <w:noProof/>
        </w:rPr>
        <w:t>Реформата ще допринесе за ефективното координиране на действията на всички етапи от научните изследвания и иновациите и за увеличаване на иновациите в България.</w:t>
      </w:r>
      <w:r>
        <w:rPr>
          <w:rStyle w:val="normaltextrun"/>
          <w:noProof/>
          <w:color w:val="000000" w:themeColor="text1"/>
        </w:rPr>
        <w:t xml:space="preserve"> Това ще се постигне чрез създаването на среда за научни изследвания и иновации, която да осигурява тесни връзки между академичните среди и деловата сфера.</w:t>
      </w:r>
      <w:r>
        <w:rPr>
          <w:rStyle w:val="eop"/>
          <w:noProof/>
          <w:color w:val="000000" w:themeColor="text1"/>
        </w:rPr>
        <w:t> </w:t>
      </w:r>
    </w:p>
    <w:p w14:paraId="1534225E" w14:textId="77777777" w:rsidR="00446317" w:rsidRPr="00562D16" w:rsidRDefault="00446317" w:rsidP="00446317">
      <w:pPr>
        <w:pStyle w:val="paragraph"/>
        <w:spacing w:before="0" w:beforeAutospacing="0" w:after="0" w:afterAutospacing="0"/>
        <w:ind w:left="840"/>
        <w:jc w:val="both"/>
        <w:textAlignment w:val="baseline"/>
        <w:rPr>
          <w:noProof/>
          <w:color w:val="000000" w:themeColor="text1"/>
          <w:sz w:val="18"/>
          <w:szCs w:val="18"/>
        </w:rPr>
      </w:pPr>
    </w:p>
    <w:p w14:paraId="0C171D55" w14:textId="77777777" w:rsidR="00446317" w:rsidRPr="00562D16" w:rsidRDefault="00446317" w:rsidP="00446317">
      <w:pPr>
        <w:pStyle w:val="paragraph"/>
        <w:spacing w:before="0" w:beforeAutospacing="0" w:after="0" w:afterAutospacing="0"/>
        <w:ind w:left="840"/>
        <w:jc w:val="both"/>
        <w:textAlignment w:val="baseline"/>
        <w:rPr>
          <w:rStyle w:val="normaltextrun"/>
          <w:iCs/>
          <w:noProof/>
          <w:color w:val="000000" w:themeColor="text1"/>
        </w:rPr>
      </w:pPr>
      <w:r>
        <w:rPr>
          <w:rStyle w:val="normaltextrun"/>
          <w:noProof/>
          <w:color w:val="000000" w:themeColor="text1"/>
        </w:rPr>
        <w:t>Реформата ще включва следните елементи:</w:t>
      </w:r>
    </w:p>
    <w:p w14:paraId="106CC5D4" w14:textId="795D27E4" w:rsidR="00446317" w:rsidRPr="004C1305" w:rsidRDefault="00446317" w:rsidP="004C1305">
      <w:pPr>
        <w:pStyle w:val="paragraph"/>
        <w:spacing w:before="0" w:beforeAutospacing="0" w:after="0" w:afterAutospacing="0"/>
        <w:ind w:left="840"/>
        <w:jc w:val="both"/>
        <w:textAlignment w:val="baseline"/>
        <w:rPr>
          <w:rStyle w:val="normaltextrun"/>
          <w:rFonts w:asciiTheme="minorHAnsi" w:eastAsiaTheme="minorHAnsi" w:hAnsiTheme="minorHAnsi" w:cstheme="minorBidi"/>
          <w:iCs/>
          <w:noProof/>
          <w:sz w:val="22"/>
          <w:szCs w:val="22"/>
        </w:rPr>
      </w:pPr>
      <w:r>
        <w:rPr>
          <w:rStyle w:val="eop"/>
          <w:noProof/>
          <w:color w:val="000000" w:themeColor="text1"/>
        </w:rPr>
        <w:t> </w:t>
      </w:r>
    </w:p>
    <w:p w14:paraId="37EE0FDC" w14:textId="77777777" w:rsidR="00446317" w:rsidRPr="00562D16" w:rsidRDefault="00446317" w:rsidP="00507C4C">
      <w:pPr>
        <w:pStyle w:val="paragraph"/>
        <w:numPr>
          <w:ilvl w:val="0"/>
          <w:numId w:val="17"/>
        </w:numPr>
        <w:tabs>
          <w:tab w:val="clear" w:pos="1068"/>
          <w:tab w:val="num" w:pos="1776"/>
        </w:tabs>
        <w:spacing w:before="0" w:beforeAutospacing="0" w:after="0" w:afterAutospacing="0"/>
        <w:ind w:left="1776"/>
        <w:jc w:val="both"/>
        <w:textAlignment w:val="baseline"/>
        <w:rPr>
          <w:rStyle w:val="normaltextrun"/>
          <w:iCs/>
          <w:noProof/>
          <w:color w:val="000000" w:themeColor="text1"/>
        </w:rPr>
      </w:pPr>
      <w:r>
        <w:rPr>
          <w:rStyle w:val="normaltextrun"/>
          <w:noProof/>
          <w:color w:val="000000" w:themeColor="text1"/>
        </w:rPr>
        <w:t>Влизане в сила на Закона за научните изследвания и иновациите и свързаните с него законодателни актове</w:t>
      </w:r>
    </w:p>
    <w:p w14:paraId="42E34D74" w14:textId="77777777" w:rsidR="00446317" w:rsidRPr="008A0F8A" w:rsidRDefault="00446317" w:rsidP="00446317">
      <w:pPr>
        <w:pStyle w:val="paragraph"/>
        <w:spacing w:before="0" w:beforeAutospacing="0" w:after="0" w:afterAutospacing="0"/>
        <w:ind w:left="1080"/>
        <w:jc w:val="both"/>
        <w:textAlignment w:val="baseline"/>
        <w:rPr>
          <w:rStyle w:val="normaltextrun"/>
          <w:iCs/>
          <w:noProof/>
          <w:color w:val="000000" w:themeColor="text1"/>
          <w:lang w:val="ru-RU"/>
        </w:rPr>
      </w:pPr>
    </w:p>
    <w:p w14:paraId="251F2F83" w14:textId="22F07E78" w:rsidR="00446317" w:rsidRDefault="00446317" w:rsidP="00507C4C">
      <w:pPr>
        <w:pStyle w:val="paragraph"/>
        <w:spacing w:before="0" w:beforeAutospacing="0" w:after="0" w:afterAutospacing="0"/>
        <w:ind w:left="708" w:firstLine="708"/>
        <w:jc w:val="both"/>
        <w:textAlignment w:val="baseline"/>
        <w:rPr>
          <w:rStyle w:val="normaltextrun"/>
          <w:iCs/>
          <w:noProof/>
          <w:color w:val="000000" w:themeColor="text1"/>
        </w:rPr>
      </w:pPr>
      <w:r>
        <w:rPr>
          <w:rStyle w:val="normaltextrun"/>
          <w:noProof/>
          <w:color w:val="000000" w:themeColor="text1"/>
        </w:rPr>
        <w:t>Законът за научните изследвания и иновациите:</w:t>
      </w:r>
    </w:p>
    <w:p w14:paraId="7F307E0F" w14:textId="77777777" w:rsidR="009E3FBD" w:rsidRPr="008A0F8A" w:rsidRDefault="009E3FBD" w:rsidP="00507C4C">
      <w:pPr>
        <w:pStyle w:val="paragraph"/>
        <w:spacing w:before="0" w:beforeAutospacing="0" w:after="0" w:afterAutospacing="0"/>
        <w:ind w:left="708" w:firstLine="708"/>
        <w:jc w:val="both"/>
        <w:textAlignment w:val="baseline"/>
        <w:rPr>
          <w:rStyle w:val="normaltextrun"/>
          <w:iCs/>
          <w:noProof/>
          <w:color w:val="000000" w:themeColor="text1"/>
          <w:lang w:val="ru-RU"/>
        </w:rPr>
      </w:pPr>
    </w:p>
    <w:p w14:paraId="386E7C4C" w14:textId="104174BF" w:rsidR="00446317" w:rsidRPr="00562D16" w:rsidRDefault="00446317" w:rsidP="003E0F0C">
      <w:pPr>
        <w:pStyle w:val="paragraph"/>
        <w:numPr>
          <w:ilvl w:val="0"/>
          <w:numId w:val="18"/>
        </w:numPr>
        <w:spacing w:before="0" w:beforeAutospacing="0" w:after="0" w:afterAutospacing="0"/>
        <w:ind w:left="1834"/>
        <w:jc w:val="both"/>
        <w:textAlignment w:val="baseline"/>
        <w:rPr>
          <w:rStyle w:val="normaltextrun"/>
          <w:noProof/>
          <w:color w:val="000000" w:themeColor="text1"/>
        </w:rPr>
      </w:pPr>
      <w:r>
        <w:rPr>
          <w:rStyle w:val="normaltextrun"/>
          <w:noProof/>
          <w:color w:val="000000" w:themeColor="text1"/>
        </w:rPr>
        <w:t xml:space="preserve">ще зададе нормативната рамка на националната политика за развитие и финансиране на научните изследвания и иновациите; </w:t>
      </w:r>
    </w:p>
    <w:p w14:paraId="01A342EF" w14:textId="77777777" w:rsidR="00446317" w:rsidRPr="00562D16" w:rsidRDefault="00446317" w:rsidP="003E0F0C">
      <w:pPr>
        <w:pStyle w:val="paragraph"/>
        <w:numPr>
          <w:ilvl w:val="0"/>
          <w:numId w:val="18"/>
        </w:numPr>
        <w:spacing w:after="0" w:afterAutospacing="0"/>
        <w:ind w:left="1834"/>
        <w:jc w:val="both"/>
        <w:textAlignment w:val="baseline"/>
        <w:rPr>
          <w:rStyle w:val="normaltextrun"/>
          <w:iCs/>
          <w:noProof/>
          <w:color w:val="000000" w:themeColor="text1"/>
        </w:rPr>
      </w:pPr>
      <w:r>
        <w:rPr>
          <w:rStyle w:val="normaltextrun"/>
          <w:noProof/>
          <w:color w:val="000000" w:themeColor="text1"/>
        </w:rPr>
        <w:t xml:space="preserve">ще регламентира ролята и отговорностите на всяка от институциите, участващи в разработването, изпълнението, мониторинга и оценката на политиките в областта на научните изследвания и иновациите; </w:t>
      </w:r>
    </w:p>
    <w:p w14:paraId="6F4B7DB3" w14:textId="05D059A2" w:rsidR="00446317" w:rsidRPr="00562D16" w:rsidRDefault="00446317" w:rsidP="003E0F0C">
      <w:pPr>
        <w:pStyle w:val="paragraph"/>
        <w:numPr>
          <w:ilvl w:val="0"/>
          <w:numId w:val="18"/>
        </w:numPr>
        <w:spacing w:before="0" w:beforeAutospacing="0" w:after="0" w:afterAutospacing="0"/>
        <w:ind w:left="1834"/>
        <w:jc w:val="both"/>
        <w:textAlignment w:val="baseline"/>
        <w:rPr>
          <w:rStyle w:val="normaltextrun"/>
          <w:noProof/>
          <w:color w:val="000000" w:themeColor="text1"/>
        </w:rPr>
      </w:pPr>
      <w:r>
        <w:rPr>
          <w:rStyle w:val="normaltextrun"/>
          <w:noProof/>
          <w:color w:val="000000" w:themeColor="text1"/>
        </w:rPr>
        <w:t xml:space="preserve">ще регламентира трансфера на технологии и познания; </w:t>
      </w:r>
    </w:p>
    <w:p w14:paraId="3E2222AE" w14:textId="77777777" w:rsidR="00446317" w:rsidRPr="00562D16" w:rsidRDefault="00446317" w:rsidP="003E0F0C">
      <w:pPr>
        <w:pStyle w:val="paragraph"/>
        <w:numPr>
          <w:ilvl w:val="0"/>
          <w:numId w:val="18"/>
        </w:numPr>
        <w:spacing w:before="0" w:beforeAutospacing="0" w:after="0" w:afterAutospacing="0"/>
        <w:ind w:left="1834"/>
        <w:jc w:val="both"/>
        <w:textAlignment w:val="baseline"/>
        <w:rPr>
          <w:noProof/>
          <w:color w:val="000000" w:themeColor="text1"/>
        </w:rPr>
      </w:pPr>
      <w:r>
        <w:rPr>
          <w:noProof/>
        </w:rPr>
        <w:t>ще измени нормативната уредба на правата върху интелектуалната собственост, съобразно препоръките на Световната банка, посочени в доклада за страната за трансфера на знания и умения</w:t>
      </w:r>
      <w:r w:rsidRPr="00562D16">
        <w:rPr>
          <w:rStyle w:val="FootnoteReference"/>
          <w:noProof/>
        </w:rPr>
        <w:footnoteReference w:id="2"/>
      </w:r>
      <w:r>
        <w:rPr>
          <w:noProof/>
        </w:rPr>
        <w:t>, и на Съвместния изследователски център</w:t>
      </w:r>
      <w:r w:rsidRPr="00562D16">
        <w:rPr>
          <w:rStyle w:val="FootnoteReference"/>
          <w:noProof/>
        </w:rPr>
        <w:footnoteReference w:id="3"/>
      </w:r>
      <w:r>
        <w:rPr>
          <w:noProof/>
        </w:rPr>
        <w:t>.</w:t>
      </w:r>
    </w:p>
    <w:p w14:paraId="3E994CBF" w14:textId="77777777" w:rsidR="00446317" w:rsidRPr="00562D16" w:rsidRDefault="00446317" w:rsidP="00507C4C">
      <w:pPr>
        <w:pStyle w:val="paragraph"/>
        <w:spacing w:before="0" w:beforeAutospacing="0" w:after="0" w:afterAutospacing="0"/>
        <w:ind w:left="1416"/>
        <w:jc w:val="both"/>
        <w:textAlignment w:val="baseline"/>
        <w:rPr>
          <w:noProof/>
        </w:rPr>
      </w:pPr>
    </w:p>
    <w:p w14:paraId="1A220592" w14:textId="77777777" w:rsidR="00446317" w:rsidRPr="00562D16" w:rsidRDefault="00446317" w:rsidP="00507C4C">
      <w:pPr>
        <w:pStyle w:val="paragraph"/>
        <w:spacing w:before="0" w:beforeAutospacing="0" w:after="0" w:afterAutospacing="0"/>
        <w:ind w:left="1416"/>
        <w:jc w:val="both"/>
        <w:textAlignment w:val="baseline"/>
        <w:rPr>
          <w:rStyle w:val="eop"/>
          <w:noProof/>
          <w:color w:val="000000" w:themeColor="text1"/>
        </w:rPr>
      </w:pPr>
      <w:r>
        <w:rPr>
          <w:noProof/>
        </w:rPr>
        <w:t>В изготвянето на ЗНИИ ще участват съответните министерства, агенции и заинтересовани страни, в т.ч. висши учебни заведения и представители на частния сектор.</w:t>
      </w:r>
      <w:r>
        <w:rPr>
          <w:rStyle w:val="eop"/>
          <w:noProof/>
          <w:color w:val="000000" w:themeColor="text1"/>
        </w:rPr>
        <w:t> </w:t>
      </w:r>
    </w:p>
    <w:p w14:paraId="263C5EC6" w14:textId="77777777" w:rsidR="00446317" w:rsidRPr="00562D16" w:rsidRDefault="00446317" w:rsidP="00507C4C">
      <w:pPr>
        <w:pStyle w:val="paragraph"/>
        <w:spacing w:before="0" w:beforeAutospacing="0" w:after="0" w:afterAutospacing="0"/>
        <w:ind w:left="1416"/>
        <w:jc w:val="both"/>
        <w:textAlignment w:val="baseline"/>
        <w:rPr>
          <w:rStyle w:val="eop"/>
          <w:noProof/>
          <w:color w:val="000000" w:themeColor="text1"/>
        </w:rPr>
      </w:pPr>
    </w:p>
    <w:p w14:paraId="750C9643" w14:textId="77777777" w:rsidR="00446317" w:rsidRPr="00562D16" w:rsidRDefault="00446317" w:rsidP="00507C4C">
      <w:pPr>
        <w:pStyle w:val="paragraph"/>
        <w:numPr>
          <w:ilvl w:val="0"/>
          <w:numId w:val="17"/>
        </w:numPr>
        <w:tabs>
          <w:tab w:val="clear" w:pos="1068"/>
          <w:tab w:val="num" w:pos="1776"/>
        </w:tabs>
        <w:spacing w:before="0" w:beforeAutospacing="0" w:after="0" w:afterAutospacing="0"/>
        <w:ind w:left="1776"/>
        <w:jc w:val="both"/>
        <w:textAlignment w:val="baseline"/>
        <w:rPr>
          <w:rStyle w:val="normaltextrun"/>
          <w:iCs/>
          <w:noProof/>
          <w:color w:val="000000" w:themeColor="text1"/>
        </w:rPr>
      </w:pPr>
      <w:r>
        <w:rPr>
          <w:rStyle w:val="normaltextrun"/>
          <w:noProof/>
          <w:color w:val="000000" w:themeColor="text1"/>
        </w:rPr>
        <w:t>Създаване на Съвет по иновации</w:t>
      </w:r>
    </w:p>
    <w:p w14:paraId="7EED7B5A" w14:textId="77777777" w:rsidR="00446317" w:rsidRPr="00562D16" w:rsidRDefault="00446317" w:rsidP="00507C4C">
      <w:pPr>
        <w:pStyle w:val="paragraph"/>
        <w:spacing w:before="0" w:beforeAutospacing="0" w:after="0" w:afterAutospacing="0"/>
        <w:ind w:left="708"/>
        <w:jc w:val="both"/>
        <w:textAlignment w:val="baseline"/>
        <w:rPr>
          <w:rStyle w:val="normaltextrun"/>
          <w:noProof/>
          <w:color w:val="000000" w:themeColor="text1"/>
        </w:rPr>
      </w:pPr>
    </w:p>
    <w:p w14:paraId="77A22500" w14:textId="77777777" w:rsidR="00446317" w:rsidRPr="00562D16" w:rsidRDefault="00446317" w:rsidP="00507C4C">
      <w:pPr>
        <w:pStyle w:val="paragraph"/>
        <w:spacing w:before="0" w:beforeAutospacing="0" w:after="0" w:afterAutospacing="0"/>
        <w:ind w:left="1416"/>
        <w:jc w:val="both"/>
        <w:textAlignment w:val="baseline"/>
        <w:rPr>
          <w:noProof/>
          <w:color w:val="000000" w:themeColor="text1"/>
        </w:rPr>
      </w:pPr>
      <w:r>
        <w:rPr>
          <w:noProof/>
          <w:color w:val="000000" w:themeColor="text1"/>
        </w:rPr>
        <w:t xml:space="preserve">Съветът по иновации ще е консултативен орган към Министерството на образованието и науката и Министерството на иновациите и растежа; той ще бъде председателстван съвместно от двамата министри. </w:t>
      </w:r>
    </w:p>
    <w:p w14:paraId="22727434" w14:textId="77777777" w:rsidR="00446317" w:rsidRPr="00562D16" w:rsidRDefault="00446317" w:rsidP="00507C4C">
      <w:pPr>
        <w:pStyle w:val="paragraph"/>
        <w:spacing w:before="0" w:beforeAutospacing="0" w:after="0" w:afterAutospacing="0"/>
        <w:ind w:left="1416"/>
        <w:jc w:val="both"/>
        <w:textAlignment w:val="baseline"/>
        <w:rPr>
          <w:rStyle w:val="normaltextrun"/>
          <w:noProof/>
          <w:color w:val="000000" w:themeColor="text1"/>
        </w:rPr>
      </w:pPr>
    </w:p>
    <w:p w14:paraId="1BE0A478" w14:textId="53C03D31" w:rsidR="00446317" w:rsidRPr="00562D16" w:rsidRDefault="00446317" w:rsidP="00507C4C">
      <w:pPr>
        <w:pStyle w:val="paragraph"/>
        <w:spacing w:before="0" w:beforeAutospacing="0" w:after="0" w:afterAutospacing="0"/>
        <w:ind w:left="1416"/>
        <w:jc w:val="both"/>
        <w:textAlignment w:val="baseline"/>
        <w:rPr>
          <w:noProof/>
          <w:color w:val="000000" w:themeColor="text1"/>
        </w:rPr>
      </w:pPr>
      <w:r>
        <w:rPr>
          <w:noProof/>
          <w:color w:val="000000" w:themeColor="text1"/>
        </w:rPr>
        <w:t>Членовете на Съвета по иновации ще се избират сред български и международни учени и представители на деловите среди. Съветът ще включва най-малко 17 представители на деловите среди. Те ще се подбират по прозрачна процедура и ще се назначават за срок от най-малко 5 години.</w:t>
      </w:r>
    </w:p>
    <w:p w14:paraId="14123E34" w14:textId="77777777" w:rsidR="00446317" w:rsidRPr="00562D16" w:rsidRDefault="00446317" w:rsidP="00507C4C">
      <w:pPr>
        <w:pStyle w:val="paragraph"/>
        <w:ind w:left="1416"/>
        <w:jc w:val="both"/>
        <w:textAlignment w:val="baseline"/>
        <w:rPr>
          <w:noProof/>
          <w:color w:val="000000" w:themeColor="text1"/>
        </w:rPr>
      </w:pPr>
      <w:r>
        <w:rPr>
          <w:noProof/>
          <w:color w:val="000000" w:themeColor="text1"/>
        </w:rPr>
        <w:t xml:space="preserve">Съветът по иновации ще е постоянен и ще заседава най-малко 6 пъти годишно. Той ще консултира Министерството на образованието и науката и Министерството на иновациите и растежа по всички въпроси на политиката в областта на научните изследвания и иновациите. </w:t>
      </w:r>
    </w:p>
    <w:p w14:paraId="1AE9039F" w14:textId="7EB3F7DC" w:rsidR="00446317" w:rsidRPr="00562D16" w:rsidRDefault="00446317" w:rsidP="002E486A">
      <w:pPr>
        <w:pStyle w:val="paragraph"/>
        <w:spacing w:before="0" w:beforeAutospacing="0" w:after="0" w:afterAutospacing="0"/>
        <w:ind w:firstLine="851"/>
        <w:jc w:val="both"/>
        <w:textAlignment w:val="baseline"/>
        <w:rPr>
          <w:iCs/>
          <w:noProof/>
          <w:color w:val="000000" w:themeColor="text1"/>
        </w:rPr>
      </w:pPr>
      <w:r>
        <w:rPr>
          <w:noProof/>
          <w:color w:val="000000" w:themeColor="text1"/>
        </w:rPr>
        <w:t xml:space="preserve">Изпълнението на реформата ще приключи до 30 септември 2023 г. </w:t>
      </w:r>
    </w:p>
    <w:p w14:paraId="783C9D1C" w14:textId="77777777" w:rsidR="00446317" w:rsidRPr="008A0F8A" w:rsidRDefault="00446317" w:rsidP="00446317">
      <w:pPr>
        <w:pStyle w:val="paragraph"/>
        <w:spacing w:before="0" w:beforeAutospacing="0" w:after="0" w:afterAutospacing="0"/>
        <w:jc w:val="both"/>
        <w:textAlignment w:val="baseline"/>
        <w:rPr>
          <w:rStyle w:val="normaltextrun"/>
          <w:iCs/>
          <w:noProof/>
          <w:color w:val="000000" w:themeColor="text1"/>
          <w:lang w:val="ru-RU"/>
        </w:rPr>
      </w:pPr>
    </w:p>
    <w:p w14:paraId="48643DC6" w14:textId="3B3F6F0D" w:rsidR="00446317" w:rsidRPr="00562D16" w:rsidRDefault="00446317" w:rsidP="00446317">
      <w:pPr>
        <w:pStyle w:val="paragraph"/>
        <w:spacing w:before="0" w:beforeAutospacing="0" w:after="0" w:afterAutospacing="0"/>
        <w:ind w:left="840"/>
        <w:jc w:val="both"/>
        <w:textAlignment w:val="baseline"/>
        <w:rPr>
          <w:noProof/>
          <w:color w:val="000000" w:themeColor="text1"/>
          <w:sz w:val="18"/>
          <w:szCs w:val="18"/>
        </w:rPr>
      </w:pPr>
      <w:r>
        <w:rPr>
          <w:rStyle w:val="normaltextrun"/>
          <w:b/>
          <w:noProof/>
          <w:color w:val="000000" w:themeColor="text1"/>
        </w:rPr>
        <w:t>Инвестиция 1 (К2.И1): Програма за ускоряване на икономическото възстановяване и трансформация чрез научни изследвания и иновации </w:t>
      </w:r>
    </w:p>
    <w:p w14:paraId="48A29F7C" w14:textId="77777777" w:rsidR="00446317" w:rsidRPr="008A0F8A" w:rsidRDefault="00446317" w:rsidP="00446317">
      <w:pPr>
        <w:pStyle w:val="paragraph"/>
        <w:spacing w:before="0" w:beforeAutospacing="0" w:after="0" w:afterAutospacing="0"/>
        <w:ind w:left="840"/>
        <w:jc w:val="both"/>
        <w:textAlignment w:val="baseline"/>
        <w:rPr>
          <w:rStyle w:val="normaltextrun"/>
          <w:iCs/>
          <w:noProof/>
          <w:color w:val="000000" w:themeColor="text1"/>
          <w:lang w:val="ru-RU"/>
        </w:rPr>
      </w:pPr>
    </w:p>
    <w:p w14:paraId="21CD279F" w14:textId="0CF67FD8" w:rsidR="00446317" w:rsidRPr="00562D16" w:rsidRDefault="00446317" w:rsidP="00446317">
      <w:pPr>
        <w:pStyle w:val="paragraph"/>
        <w:spacing w:before="0" w:beforeAutospacing="0" w:after="0" w:afterAutospacing="0"/>
        <w:ind w:left="840"/>
        <w:jc w:val="both"/>
        <w:textAlignment w:val="baseline"/>
        <w:rPr>
          <w:rStyle w:val="normaltextrun"/>
          <w:iCs/>
          <w:noProof/>
          <w:color w:val="000000" w:themeColor="text1"/>
        </w:rPr>
      </w:pPr>
      <w:r>
        <w:rPr>
          <w:rStyle w:val="normaltextrun"/>
          <w:noProof/>
          <w:color w:val="000000" w:themeColor="text1"/>
        </w:rPr>
        <w:t xml:space="preserve">Целта на инвестицията е да се подобрят постиженията на България в областта на научните изследвания и иновациите и ефективността на трансфера на технологии, както и да се насърчи обменът на информация между научноизследователските университети в България. Инвестицията се състои във въвеждането на ефективна система за финансиране на научноизследователската и иновационна дейност чрез финансиране на избрани проекти, предлагани от иновативни малки и средни предприятия и висши учебни заведения </w:t>
      </w:r>
    </w:p>
    <w:p w14:paraId="5675D4DA" w14:textId="77777777" w:rsidR="00446317" w:rsidRPr="008A0F8A" w:rsidRDefault="00446317" w:rsidP="00446317">
      <w:pPr>
        <w:pStyle w:val="paragraph"/>
        <w:spacing w:before="0" w:beforeAutospacing="0" w:after="0" w:afterAutospacing="0"/>
        <w:ind w:left="840"/>
        <w:jc w:val="both"/>
        <w:textAlignment w:val="baseline"/>
        <w:rPr>
          <w:rStyle w:val="normaltextrun"/>
          <w:iCs/>
          <w:noProof/>
          <w:color w:val="000000" w:themeColor="text1"/>
          <w:lang w:val="ru-RU"/>
        </w:rPr>
      </w:pPr>
    </w:p>
    <w:p w14:paraId="0173A416" w14:textId="77777777" w:rsidR="00446317" w:rsidRPr="00562D16" w:rsidRDefault="00446317" w:rsidP="00446317">
      <w:pPr>
        <w:pStyle w:val="paragraph"/>
        <w:spacing w:before="0" w:beforeAutospacing="0" w:after="0" w:afterAutospacing="0"/>
        <w:ind w:left="840"/>
        <w:jc w:val="both"/>
        <w:textAlignment w:val="baseline"/>
        <w:rPr>
          <w:rStyle w:val="normaltextrun"/>
          <w:iCs/>
          <w:noProof/>
          <w:color w:val="000000" w:themeColor="text1"/>
        </w:rPr>
      </w:pPr>
      <w:r>
        <w:rPr>
          <w:rStyle w:val="normaltextrun"/>
          <w:noProof/>
          <w:color w:val="000000" w:themeColor="text1"/>
        </w:rPr>
        <w:t>Инвестицията ще включва следните дейности:</w:t>
      </w:r>
    </w:p>
    <w:p w14:paraId="4C6AA141" w14:textId="24E7BE2A" w:rsidR="00446317" w:rsidRPr="00562D16" w:rsidRDefault="00392366" w:rsidP="00446317">
      <w:pPr>
        <w:pStyle w:val="paragraph"/>
        <w:spacing w:before="0" w:beforeAutospacing="0" w:after="0" w:afterAutospacing="0"/>
        <w:ind w:left="840"/>
        <w:jc w:val="both"/>
        <w:textAlignment w:val="baseline"/>
        <w:rPr>
          <w:noProof/>
          <w:color w:val="000000" w:themeColor="text1"/>
          <w:sz w:val="18"/>
          <w:szCs w:val="18"/>
        </w:rPr>
      </w:pPr>
      <w:r>
        <w:rPr>
          <w:rStyle w:val="normaltextrun"/>
          <w:noProof/>
          <w:color w:val="000000" w:themeColor="text1"/>
        </w:rPr>
        <w:t xml:space="preserve"> </w:t>
      </w:r>
    </w:p>
    <w:p w14:paraId="31B91C79" w14:textId="2CC908D5" w:rsidR="00446317" w:rsidRPr="003E0F0C" w:rsidRDefault="00446317" w:rsidP="71F3F1F6">
      <w:pPr>
        <w:pStyle w:val="paragraph"/>
        <w:numPr>
          <w:ilvl w:val="0"/>
          <w:numId w:val="18"/>
        </w:numPr>
        <w:spacing w:before="0" w:beforeAutospacing="0" w:after="0" w:afterAutospacing="0"/>
        <w:ind w:left="1210"/>
        <w:jc w:val="both"/>
        <w:textAlignment w:val="baseline"/>
        <w:rPr>
          <w:rStyle w:val="normaltextrun"/>
          <w:noProof/>
        </w:rPr>
      </w:pPr>
      <w:r>
        <w:rPr>
          <w:rStyle w:val="normaltextrun"/>
          <w:noProof/>
          <w:color w:val="000000" w:themeColor="text1"/>
        </w:rPr>
        <w:t>финансиране на 13 проекта от български малки и средни предприятия, на които е присъден знакът за качество „Печат за високи постижения по линия на „Хоризонт Европа“;</w:t>
      </w:r>
      <w:r>
        <w:rPr>
          <w:rStyle w:val="normaltextrun"/>
          <w:noProof/>
        </w:rPr>
        <w:t> </w:t>
      </w:r>
    </w:p>
    <w:p w14:paraId="25861571" w14:textId="5B02CA26" w:rsidR="00446317" w:rsidRPr="003E0F0C" w:rsidRDefault="00446317" w:rsidP="71F3F1F6">
      <w:pPr>
        <w:pStyle w:val="paragraph"/>
        <w:numPr>
          <w:ilvl w:val="0"/>
          <w:numId w:val="18"/>
        </w:numPr>
        <w:spacing w:before="0" w:beforeAutospacing="0" w:after="0" w:afterAutospacing="0"/>
        <w:ind w:left="1210"/>
        <w:jc w:val="both"/>
        <w:textAlignment w:val="baseline"/>
        <w:rPr>
          <w:rStyle w:val="normaltextrun"/>
          <w:noProof/>
        </w:rPr>
      </w:pPr>
      <w:r>
        <w:rPr>
          <w:rStyle w:val="normaltextrun"/>
          <w:noProof/>
          <w:color w:val="000000" w:themeColor="text1"/>
        </w:rPr>
        <w:t>финансиране на 3 проекта от български висши учебни заведения, които са получили висока оценка „над прага“ (т.е. над 10 точки) от Европейската комисия, но не са получили финансиране от европейския бюджет в областта „Разширяване на участието и разпространяване на високите постижения“ на РП „Хоризонт Европа“;</w:t>
      </w:r>
      <w:r>
        <w:rPr>
          <w:rStyle w:val="normaltextrun"/>
          <w:noProof/>
        </w:rPr>
        <w:t> </w:t>
      </w:r>
    </w:p>
    <w:p w14:paraId="7B5C10D4" w14:textId="370465C0" w:rsidR="00446317" w:rsidRPr="00562D16" w:rsidRDefault="00446317" w:rsidP="71F3F1F6">
      <w:pPr>
        <w:pStyle w:val="paragraph"/>
        <w:numPr>
          <w:ilvl w:val="0"/>
          <w:numId w:val="19"/>
        </w:numPr>
        <w:spacing w:before="0" w:beforeAutospacing="0" w:after="0" w:afterAutospacing="0"/>
        <w:ind w:left="1210"/>
        <w:jc w:val="both"/>
        <w:textAlignment w:val="baseline"/>
        <w:rPr>
          <w:rStyle w:val="eop"/>
          <w:noProof/>
          <w:color w:val="000000" w:themeColor="text1"/>
        </w:rPr>
      </w:pPr>
      <w:r>
        <w:rPr>
          <w:rStyle w:val="normaltextrun"/>
          <w:noProof/>
          <w:color w:val="000000" w:themeColor="text1"/>
        </w:rPr>
        <w:t>финансиране на изпълнението на иновационни програми от десет научноизследователски висши учебни заведения в България.</w:t>
      </w:r>
      <w:r>
        <w:rPr>
          <w:rStyle w:val="eop"/>
          <w:noProof/>
          <w:color w:val="000000" w:themeColor="text1"/>
        </w:rPr>
        <w:t> </w:t>
      </w:r>
    </w:p>
    <w:p w14:paraId="15FEA0E9" w14:textId="77777777" w:rsidR="00446317" w:rsidRPr="00562D16" w:rsidRDefault="00446317" w:rsidP="00446317">
      <w:pPr>
        <w:pStyle w:val="paragraph"/>
        <w:spacing w:before="0" w:beforeAutospacing="0" w:after="0" w:afterAutospacing="0"/>
        <w:ind w:left="1080"/>
        <w:jc w:val="both"/>
        <w:textAlignment w:val="baseline"/>
        <w:rPr>
          <w:noProof/>
          <w:color w:val="000000" w:themeColor="text1"/>
        </w:rPr>
      </w:pPr>
    </w:p>
    <w:p w14:paraId="3E0A2CB3" w14:textId="77777777" w:rsidR="00150517" w:rsidRDefault="00150517" w:rsidP="00150517">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 xml:space="preserve">С оглед на съответствието на мярката с техническите насоки „Ненанасяне на значителни вреди“ (2021/C58/01), критериите за допустимост в техническите спецификации на предстоящите покани за представяне на проекти: </w:t>
      </w:r>
    </w:p>
    <w:p w14:paraId="276199BC" w14:textId="77777777" w:rsidR="00150517" w:rsidRDefault="00150517" w:rsidP="003E0F0C">
      <w:pPr>
        <w:pStyle w:val="ListParagraph"/>
        <w:numPr>
          <w:ilvl w:val="0"/>
          <w:numId w:val="19"/>
        </w:numPr>
        <w:spacing w:before="120" w:after="120" w:line="240" w:lineRule="auto"/>
        <w:ind w:left="1210"/>
        <w:jc w:val="both"/>
        <w:rPr>
          <w:rFonts w:ascii="Times New Roman" w:eastAsia="Calibri" w:hAnsi="Times New Roman" w:cs="Times New Roman"/>
          <w:noProof/>
          <w:sz w:val="24"/>
          <w:szCs w:val="24"/>
        </w:rPr>
      </w:pPr>
      <w:r>
        <w:rPr>
          <w:rFonts w:ascii="Times New Roman" w:hAnsi="Times New Roman"/>
          <w:noProof/>
          <w:sz w:val="24"/>
        </w:rPr>
        <w:t>ще изключат следния списък от дейности и активи: i) дейностите и активите, свързани с изкопаеми горива, включително използване надолу по веригата</w:t>
      </w:r>
      <w:r w:rsidRPr="00562D16">
        <w:rPr>
          <w:rStyle w:val="FootnoteReference"/>
          <w:rFonts w:ascii="Times New Roman" w:eastAsia="Calibri" w:hAnsi="Times New Roman" w:cs="Times New Roman"/>
          <w:noProof/>
          <w:sz w:val="24"/>
          <w:szCs w:val="24"/>
          <w:lang w:val="en-US"/>
        </w:rPr>
        <w:footnoteReference w:id="4"/>
      </w:r>
      <w:r>
        <w:rPr>
          <w:rFonts w:ascii="Times New Roman" w:hAnsi="Times New Roman"/>
          <w:noProof/>
          <w:sz w:val="24"/>
        </w:rPr>
        <w:t>; ii) дейностите и активите по схемата на ЕС за търговия с емисии (СТЕ), с които се постигат прогнозните емисии на парникови газове, които не са по-ниски от съответните референтни стойности</w:t>
      </w:r>
      <w:r w:rsidRPr="00562D16">
        <w:rPr>
          <w:rStyle w:val="FootnoteReference"/>
          <w:rFonts w:ascii="Times New Roman" w:eastAsia="Calibri" w:hAnsi="Times New Roman" w:cs="Times New Roman"/>
          <w:noProof/>
          <w:sz w:val="24"/>
          <w:szCs w:val="24"/>
          <w:lang w:val="en-US"/>
        </w:rPr>
        <w:footnoteReference w:id="5"/>
      </w:r>
      <w:r>
        <w:rPr>
          <w:rFonts w:ascii="Times New Roman" w:hAnsi="Times New Roman"/>
          <w:noProof/>
          <w:sz w:val="24"/>
        </w:rPr>
        <w:t>; iii) дейностите и активите, свързани с депата за отпадъци, инсталациите за изгаряне на отпадъци</w:t>
      </w:r>
      <w:r w:rsidRPr="00562D16">
        <w:rPr>
          <w:rStyle w:val="FootnoteReference"/>
          <w:rFonts w:ascii="Times New Roman" w:eastAsia="Calibri" w:hAnsi="Times New Roman" w:cs="Times New Roman"/>
          <w:noProof/>
          <w:sz w:val="24"/>
          <w:szCs w:val="24"/>
          <w:lang w:val="en-US"/>
        </w:rPr>
        <w:footnoteReference w:id="6"/>
      </w:r>
      <w:r>
        <w:rPr>
          <w:rFonts w:ascii="Times New Roman" w:hAnsi="Times New Roman"/>
          <w:noProof/>
          <w:sz w:val="24"/>
        </w:rPr>
        <w:t xml:space="preserve"> и заводите за механично-биологично третиране</w:t>
      </w:r>
      <w:r w:rsidRPr="00562D16">
        <w:rPr>
          <w:rStyle w:val="FootnoteReference"/>
          <w:rFonts w:ascii="Times New Roman" w:eastAsia="Calibri" w:hAnsi="Times New Roman" w:cs="Times New Roman"/>
          <w:noProof/>
          <w:sz w:val="24"/>
          <w:szCs w:val="24"/>
          <w:lang w:val="en-US"/>
        </w:rPr>
        <w:footnoteReference w:id="7"/>
      </w:r>
      <w:r>
        <w:rPr>
          <w:rFonts w:ascii="Times New Roman" w:hAnsi="Times New Roman"/>
          <w:noProof/>
          <w:sz w:val="24"/>
        </w:rPr>
        <w:t>; и iv) дейностите и активите, при които дългосрочното обезвреждане на отпадъци може да причини вреда на околната среда; както и</w:t>
      </w:r>
    </w:p>
    <w:p w14:paraId="7AF4452C" w14:textId="22766F12" w:rsidR="00150517" w:rsidRDefault="00150517" w:rsidP="003E0F0C">
      <w:pPr>
        <w:pStyle w:val="paragraph"/>
        <w:numPr>
          <w:ilvl w:val="0"/>
          <w:numId w:val="19"/>
        </w:numPr>
        <w:spacing w:before="0" w:beforeAutospacing="0" w:after="0" w:afterAutospacing="0"/>
        <w:ind w:left="1210"/>
        <w:jc w:val="both"/>
        <w:textAlignment w:val="baseline"/>
        <w:rPr>
          <w:iCs/>
          <w:noProof/>
          <w:color w:val="000000" w:themeColor="text1"/>
        </w:rPr>
      </w:pPr>
      <w:r>
        <w:rPr>
          <w:noProof/>
        </w:rPr>
        <w:t>ще изискат да могат да бъдат избирани само дейности, които съблюдават съответното законодателство на ЕС и национално законодателство в областта на околната среда.</w:t>
      </w:r>
    </w:p>
    <w:p w14:paraId="646FC2EA" w14:textId="00C404AE" w:rsidR="00446317" w:rsidRPr="00562D16" w:rsidRDefault="00150517" w:rsidP="00446317">
      <w:pPr>
        <w:pStyle w:val="paragraph"/>
        <w:spacing w:before="0" w:beforeAutospacing="0" w:after="0" w:afterAutospacing="0"/>
        <w:ind w:left="840"/>
        <w:jc w:val="both"/>
        <w:textAlignment w:val="baseline"/>
        <w:rPr>
          <w:noProof/>
          <w:color w:val="000000" w:themeColor="text1"/>
          <w:sz w:val="18"/>
          <w:szCs w:val="18"/>
        </w:rPr>
      </w:pPr>
      <w:r>
        <w:rPr>
          <w:noProof/>
          <w:color w:val="000000" w:themeColor="text1"/>
        </w:rPr>
        <w:br/>
        <w:t>Изпълнението на инвестицията ще приключи до 30 юни 2026 г.</w:t>
      </w:r>
      <w:r>
        <w:rPr>
          <w:rStyle w:val="normaltextrun"/>
          <w:noProof/>
          <w:color w:val="000000" w:themeColor="text1"/>
        </w:rPr>
        <w:t xml:space="preserve"> </w:t>
      </w:r>
    </w:p>
    <w:p w14:paraId="2E9574A8" w14:textId="77777777" w:rsidR="00446317" w:rsidRPr="00562D16" w:rsidRDefault="00446317" w:rsidP="00446317">
      <w:pPr>
        <w:pStyle w:val="paragraph"/>
        <w:spacing w:before="0" w:beforeAutospacing="0" w:after="0" w:afterAutospacing="0"/>
        <w:ind w:left="1080"/>
        <w:jc w:val="both"/>
        <w:textAlignment w:val="baseline"/>
        <w:rPr>
          <w:noProof/>
          <w:color w:val="000000" w:themeColor="text1"/>
        </w:rPr>
      </w:pPr>
    </w:p>
    <w:p w14:paraId="36A92F38" w14:textId="4D5342E7" w:rsidR="00446317" w:rsidRPr="00562D16" w:rsidRDefault="00446317" w:rsidP="00446317">
      <w:pPr>
        <w:pStyle w:val="paragraph"/>
        <w:spacing w:before="0" w:beforeAutospacing="0" w:after="0" w:afterAutospacing="0"/>
        <w:ind w:left="840"/>
        <w:jc w:val="both"/>
        <w:textAlignment w:val="baseline"/>
        <w:rPr>
          <w:rStyle w:val="normaltextrun"/>
          <w:b/>
          <w:bCs/>
          <w:iCs/>
          <w:noProof/>
          <w:color w:val="000000" w:themeColor="text1"/>
        </w:rPr>
      </w:pPr>
      <w:r>
        <w:rPr>
          <w:rStyle w:val="normaltextrun"/>
          <w:b/>
          <w:noProof/>
          <w:color w:val="000000" w:themeColor="text1"/>
        </w:rPr>
        <w:t xml:space="preserve">Инвестиция 2 (К2.И2): Повишаване на иновационния капацитет на Българската академия на науките </w:t>
      </w:r>
    </w:p>
    <w:p w14:paraId="13853730" w14:textId="77777777" w:rsidR="00446317" w:rsidRPr="00562D16" w:rsidRDefault="00446317" w:rsidP="00446317">
      <w:pPr>
        <w:pStyle w:val="paragraph"/>
        <w:spacing w:before="0" w:beforeAutospacing="0" w:after="0" w:afterAutospacing="0"/>
        <w:ind w:left="840"/>
        <w:jc w:val="both"/>
        <w:textAlignment w:val="baseline"/>
        <w:rPr>
          <w:noProof/>
          <w:color w:val="000000" w:themeColor="text1"/>
          <w:sz w:val="18"/>
          <w:szCs w:val="18"/>
        </w:rPr>
      </w:pPr>
      <w:r>
        <w:rPr>
          <w:rStyle w:val="eop"/>
          <w:noProof/>
          <w:color w:val="000000" w:themeColor="text1"/>
        </w:rPr>
        <w:t> </w:t>
      </w:r>
    </w:p>
    <w:p w14:paraId="78A2D69E" w14:textId="77777777" w:rsidR="00446317" w:rsidRPr="00562D16" w:rsidRDefault="00446317" w:rsidP="00446317">
      <w:pPr>
        <w:pStyle w:val="paragraph"/>
        <w:spacing w:before="0" w:beforeAutospacing="0" w:after="0" w:afterAutospacing="0"/>
        <w:ind w:left="840"/>
        <w:jc w:val="both"/>
        <w:textAlignment w:val="baseline"/>
        <w:rPr>
          <w:rStyle w:val="normaltextrun"/>
          <w:iCs/>
          <w:noProof/>
          <w:color w:val="000000" w:themeColor="text1"/>
        </w:rPr>
      </w:pPr>
      <w:r>
        <w:rPr>
          <w:rStyle w:val="normaltextrun"/>
          <w:noProof/>
          <w:color w:val="000000" w:themeColor="text1"/>
        </w:rPr>
        <w:t xml:space="preserve">Инвестицията има за цел повишаване на иновационния капацитет на Българската академия на науките (БАН). Инвестицията включва проекти за: </w:t>
      </w:r>
    </w:p>
    <w:p w14:paraId="1A1075B8" w14:textId="77777777" w:rsidR="00446317" w:rsidRPr="00562D16" w:rsidRDefault="00446317" w:rsidP="003E0F0C">
      <w:pPr>
        <w:pStyle w:val="paragraph"/>
        <w:numPr>
          <w:ilvl w:val="0"/>
          <w:numId w:val="19"/>
        </w:numPr>
        <w:spacing w:before="0" w:beforeAutospacing="0" w:after="0" w:afterAutospacing="0"/>
        <w:ind w:left="1210"/>
        <w:jc w:val="both"/>
        <w:textAlignment w:val="baseline"/>
        <w:rPr>
          <w:rStyle w:val="normaltextrun"/>
          <w:iCs/>
          <w:noProof/>
          <w:color w:val="000000" w:themeColor="text1"/>
        </w:rPr>
      </w:pPr>
      <w:r>
        <w:rPr>
          <w:rStyle w:val="normaltextrun"/>
          <w:noProof/>
          <w:color w:val="000000" w:themeColor="text1"/>
        </w:rPr>
        <w:t>модернизиране на физическата и цифровата инфраструктура на БАН и по-специално обновяване на две сгради;</w:t>
      </w:r>
    </w:p>
    <w:p w14:paraId="0480D350" w14:textId="77777777" w:rsidR="00446317" w:rsidRPr="00562D16" w:rsidRDefault="00446317" w:rsidP="003E0F0C">
      <w:pPr>
        <w:pStyle w:val="paragraph"/>
        <w:numPr>
          <w:ilvl w:val="0"/>
          <w:numId w:val="19"/>
        </w:numPr>
        <w:spacing w:before="0" w:beforeAutospacing="0" w:after="0" w:afterAutospacing="0"/>
        <w:ind w:left="1210"/>
        <w:jc w:val="both"/>
        <w:textAlignment w:val="baseline"/>
        <w:rPr>
          <w:iCs/>
          <w:noProof/>
          <w:color w:val="000000" w:themeColor="text1"/>
        </w:rPr>
      </w:pPr>
      <w:r>
        <w:rPr>
          <w:noProof/>
          <w:color w:val="000000" w:themeColor="text1"/>
        </w:rPr>
        <w:t>възстановяване на инфраструктурата на 14 обекта на БАН, модернизиране на Съвместния иновационен център;</w:t>
      </w:r>
    </w:p>
    <w:p w14:paraId="5D3751C4" w14:textId="73F1802C" w:rsidR="00446317" w:rsidRPr="00562D16" w:rsidRDefault="00446317" w:rsidP="003E0F0C">
      <w:pPr>
        <w:pStyle w:val="paragraph"/>
        <w:numPr>
          <w:ilvl w:val="0"/>
          <w:numId w:val="19"/>
        </w:numPr>
        <w:spacing w:before="0" w:beforeAutospacing="0" w:after="0" w:afterAutospacing="0"/>
        <w:ind w:left="1210"/>
        <w:jc w:val="both"/>
        <w:textAlignment w:val="baseline"/>
        <w:rPr>
          <w:rStyle w:val="normaltextrun"/>
          <w:iCs/>
          <w:noProof/>
          <w:color w:val="000000" w:themeColor="text1"/>
        </w:rPr>
      </w:pPr>
      <w:r>
        <w:rPr>
          <w:noProof/>
        </w:rPr>
        <w:t>прокарване на оптична връзка и разгръщане на мрежа за европейска квантова комуникационна инфраструктура.</w:t>
      </w:r>
      <w:r>
        <w:rPr>
          <w:noProof/>
          <w:color w:val="000000" w:themeColor="text1"/>
        </w:rPr>
        <w:t xml:space="preserve"> </w:t>
      </w:r>
    </w:p>
    <w:p w14:paraId="2E48C4C4" w14:textId="77777777" w:rsidR="00446317" w:rsidRPr="008A0F8A" w:rsidRDefault="00446317" w:rsidP="00446317">
      <w:pPr>
        <w:spacing w:after="0" w:line="240" w:lineRule="auto"/>
        <w:rPr>
          <w:rFonts w:ascii="Times New Roman" w:hAnsi="Times New Roman" w:cs="Times New Roman"/>
          <w:noProof/>
          <w:color w:val="000000" w:themeColor="text1"/>
          <w:lang w:val="ru-RU"/>
        </w:rPr>
      </w:pPr>
    </w:p>
    <w:p w14:paraId="38B150A5" w14:textId="506EB045" w:rsidR="00446317" w:rsidRPr="00562D16" w:rsidRDefault="00446317" w:rsidP="00446317">
      <w:pPr>
        <w:pStyle w:val="paragraph"/>
        <w:spacing w:before="0" w:beforeAutospacing="0" w:after="0" w:afterAutospacing="0"/>
        <w:ind w:left="840"/>
        <w:jc w:val="both"/>
        <w:textAlignment w:val="baseline"/>
        <w:rPr>
          <w:iCs/>
          <w:noProof/>
          <w:color w:val="000000" w:themeColor="text1"/>
        </w:rPr>
      </w:pPr>
      <w:r>
        <w:rPr>
          <w:noProof/>
          <w:color w:val="000000" w:themeColor="text1"/>
        </w:rPr>
        <w:t>С инвестицията ще се финансират и научноизследователски проекти за увеличаване на иновационния капацитет на БАН, по-специално в областта на технологиите, свързани с опазването на околната среда, и цифровите технологии.</w:t>
      </w:r>
    </w:p>
    <w:p w14:paraId="0E31C556" w14:textId="77777777" w:rsidR="00D959ED" w:rsidRDefault="00D959ED" w:rsidP="00D959ED">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 xml:space="preserve">С оглед на съответствието на мярката с техническите насоки „Ненанасяне на значителни вреди“ (2021/C58/01), критериите за допустимост в техническите спецификации на предстоящите покани за представяне на проекти: </w:t>
      </w:r>
    </w:p>
    <w:p w14:paraId="266C3DD3" w14:textId="77777777" w:rsidR="00D959ED" w:rsidRDefault="00D959ED" w:rsidP="003E0F0C">
      <w:pPr>
        <w:pStyle w:val="ListParagraph"/>
        <w:numPr>
          <w:ilvl w:val="0"/>
          <w:numId w:val="19"/>
        </w:numPr>
        <w:spacing w:before="120" w:after="120" w:line="240" w:lineRule="auto"/>
        <w:ind w:left="1267"/>
        <w:jc w:val="both"/>
        <w:rPr>
          <w:rFonts w:ascii="Times New Roman" w:eastAsia="Calibri" w:hAnsi="Times New Roman" w:cs="Times New Roman"/>
          <w:noProof/>
          <w:sz w:val="24"/>
          <w:szCs w:val="24"/>
        </w:rPr>
      </w:pPr>
      <w:r>
        <w:rPr>
          <w:rFonts w:ascii="Times New Roman" w:hAnsi="Times New Roman"/>
          <w:noProof/>
          <w:sz w:val="24"/>
        </w:rPr>
        <w:t>ще изключат следния списък от дейности и активи: i) дейностите и активите, свързани с изкопаеми горива, включително използване надолу по веригата</w:t>
      </w:r>
      <w:r w:rsidRPr="00562D16">
        <w:rPr>
          <w:rStyle w:val="FootnoteReference"/>
          <w:rFonts w:ascii="Times New Roman" w:eastAsia="Calibri" w:hAnsi="Times New Roman" w:cs="Times New Roman"/>
          <w:noProof/>
          <w:sz w:val="24"/>
          <w:szCs w:val="24"/>
          <w:lang w:val="en-US"/>
        </w:rPr>
        <w:footnoteReference w:id="8"/>
      </w:r>
      <w:r>
        <w:rPr>
          <w:rFonts w:ascii="Times New Roman" w:hAnsi="Times New Roman"/>
          <w:noProof/>
          <w:sz w:val="24"/>
        </w:rPr>
        <w:t>; ii) дейностите и активите по схемата на ЕС за търговия с емисии (СТЕ), с които се постигат прогнозните емисии на парникови газове, които не са по-ниски от съответните референтни стойности</w:t>
      </w:r>
      <w:r w:rsidRPr="00562D16">
        <w:rPr>
          <w:rStyle w:val="FootnoteReference"/>
          <w:rFonts w:ascii="Times New Roman" w:eastAsia="Calibri" w:hAnsi="Times New Roman" w:cs="Times New Roman"/>
          <w:noProof/>
          <w:sz w:val="24"/>
          <w:szCs w:val="24"/>
          <w:lang w:val="en-US"/>
        </w:rPr>
        <w:footnoteReference w:id="9"/>
      </w:r>
      <w:r>
        <w:rPr>
          <w:rFonts w:ascii="Times New Roman" w:hAnsi="Times New Roman"/>
          <w:noProof/>
          <w:sz w:val="24"/>
        </w:rPr>
        <w:t>; iii) дейностите и активите, свързани с депата за отпадъци, инсталациите за изгаряне на отпадъци</w:t>
      </w:r>
      <w:r w:rsidRPr="00562D16">
        <w:rPr>
          <w:rStyle w:val="FootnoteReference"/>
          <w:rFonts w:ascii="Times New Roman" w:eastAsia="Calibri" w:hAnsi="Times New Roman" w:cs="Times New Roman"/>
          <w:noProof/>
          <w:sz w:val="24"/>
          <w:szCs w:val="24"/>
          <w:lang w:val="en-US"/>
        </w:rPr>
        <w:footnoteReference w:id="10"/>
      </w:r>
      <w:r>
        <w:rPr>
          <w:rFonts w:ascii="Times New Roman" w:hAnsi="Times New Roman"/>
          <w:noProof/>
          <w:sz w:val="24"/>
        </w:rPr>
        <w:t xml:space="preserve"> и заводите за механично-биологично третиране</w:t>
      </w:r>
      <w:r w:rsidRPr="00562D16">
        <w:rPr>
          <w:rStyle w:val="FootnoteReference"/>
          <w:rFonts w:ascii="Times New Roman" w:eastAsia="Calibri" w:hAnsi="Times New Roman" w:cs="Times New Roman"/>
          <w:noProof/>
          <w:sz w:val="24"/>
          <w:szCs w:val="24"/>
          <w:lang w:val="en-US"/>
        </w:rPr>
        <w:footnoteReference w:id="11"/>
      </w:r>
      <w:r>
        <w:rPr>
          <w:rFonts w:ascii="Times New Roman" w:hAnsi="Times New Roman"/>
          <w:noProof/>
          <w:sz w:val="24"/>
        </w:rPr>
        <w:t>; и iv) дейностите и активите, при които дългосрочното обезвреждане на отпадъци може да причини вреда на околната среда; както и</w:t>
      </w:r>
    </w:p>
    <w:p w14:paraId="416D3895" w14:textId="31A2A59F" w:rsidR="00D959ED" w:rsidRPr="00562D16" w:rsidRDefault="00D959ED" w:rsidP="003E0F0C">
      <w:pPr>
        <w:pStyle w:val="paragraph"/>
        <w:numPr>
          <w:ilvl w:val="0"/>
          <w:numId w:val="19"/>
        </w:numPr>
        <w:spacing w:before="0" w:beforeAutospacing="0" w:after="0" w:afterAutospacing="0"/>
        <w:ind w:left="1267"/>
        <w:jc w:val="both"/>
        <w:textAlignment w:val="baseline"/>
        <w:rPr>
          <w:iCs/>
          <w:noProof/>
          <w:color w:val="000000" w:themeColor="text1"/>
        </w:rPr>
      </w:pPr>
      <w:r>
        <w:rPr>
          <w:noProof/>
        </w:rPr>
        <w:t>ще изискат да могат да бъдат избирани само дейности, които съблюдават съответното законодателство на ЕС и национално законодателство в областта на околната среда.</w:t>
      </w:r>
    </w:p>
    <w:p w14:paraId="056FA1B0" w14:textId="77777777" w:rsidR="00446317" w:rsidRPr="008A0F8A" w:rsidRDefault="00446317" w:rsidP="00446317">
      <w:pPr>
        <w:pStyle w:val="paragraph"/>
        <w:spacing w:before="0" w:beforeAutospacing="0" w:after="0" w:afterAutospacing="0"/>
        <w:ind w:left="840"/>
        <w:jc w:val="both"/>
        <w:textAlignment w:val="baseline"/>
        <w:rPr>
          <w:rStyle w:val="normaltextrun"/>
          <w:iCs/>
          <w:noProof/>
          <w:color w:val="000000" w:themeColor="text1"/>
          <w:lang w:val="ru-RU"/>
        </w:rPr>
      </w:pPr>
    </w:p>
    <w:p w14:paraId="269A84F3" w14:textId="5BBD451A" w:rsidR="00446317" w:rsidRPr="00562D16" w:rsidRDefault="00446317" w:rsidP="00446317">
      <w:pPr>
        <w:pStyle w:val="paragraph"/>
        <w:spacing w:before="0" w:beforeAutospacing="0" w:after="0" w:afterAutospacing="0"/>
        <w:ind w:left="840"/>
        <w:jc w:val="both"/>
        <w:textAlignment w:val="baseline"/>
        <w:rPr>
          <w:noProof/>
          <w:color w:val="000000" w:themeColor="text1"/>
          <w:sz w:val="18"/>
          <w:szCs w:val="18"/>
        </w:rPr>
      </w:pPr>
      <w:r>
        <w:rPr>
          <w:noProof/>
          <w:color w:val="000000" w:themeColor="text1"/>
        </w:rPr>
        <w:t>Изпълнението на инвестицията ще приключи до 30 юни 2026 г.</w:t>
      </w:r>
      <w:r>
        <w:rPr>
          <w:rStyle w:val="normaltextrun"/>
          <w:noProof/>
          <w:color w:val="000000" w:themeColor="text1"/>
        </w:rPr>
        <w:t xml:space="preserve"> </w:t>
      </w:r>
    </w:p>
    <w:p w14:paraId="10EB37F8" w14:textId="77777777" w:rsidR="00446317" w:rsidRPr="00562D16" w:rsidRDefault="00446317" w:rsidP="00446317">
      <w:pPr>
        <w:spacing w:before="120" w:after="120" w:line="240" w:lineRule="auto"/>
        <w:ind w:left="850"/>
        <w:jc w:val="both"/>
        <w:rPr>
          <w:rFonts w:ascii="Times New Roman" w:eastAsia="Calibri" w:hAnsi="Times New Roman" w:cs="Times New Roman"/>
          <w:noProof/>
          <w:sz w:val="24"/>
        </w:rPr>
      </w:pPr>
      <w:r>
        <w:rPr>
          <w:rFonts w:ascii="Times New Roman" w:hAnsi="Times New Roman"/>
          <w:noProof/>
          <w:sz w:val="24"/>
        </w:rPr>
        <w:t xml:space="preserve"> </w:t>
      </w:r>
    </w:p>
    <w:p w14:paraId="2ACEE8D5" w14:textId="1E34127A" w:rsidR="00446317" w:rsidRPr="00562D16" w:rsidRDefault="00446317" w:rsidP="00446317">
      <w:pPr>
        <w:spacing w:before="120" w:after="120" w:line="240" w:lineRule="auto"/>
        <w:ind w:left="850"/>
        <w:jc w:val="both"/>
        <w:rPr>
          <w:rFonts w:ascii="Times New Roman" w:eastAsia="Calibri" w:hAnsi="Times New Roman" w:cs="Times New Roman"/>
          <w:b/>
          <w:bCs/>
          <w:noProof/>
          <w:sz w:val="24"/>
          <w:szCs w:val="24"/>
          <w:u w:val="single"/>
        </w:rPr>
      </w:pPr>
      <w:r>
        <w:rPr>
          <w:rFonts w:ascii="Times New Roman" w:hAnsi="Times New Roman"/>
          <w:b/>
          <w:noProof/>
          <w:sz w:val="24"/>
          <w:u w:val="single"/>
        </w:rPr>
        <w:t xml:space="preserve">Б.2. </w:t>
      </w:r>
      <w:r>
        <w:rPr>
          <w:rFonts w:ascii="Times New Roman" w:hAnsi="Times New Roman"/>
          <w:b/>
          <w:noProof/>
          <w:sz w:val="24"/>
          <w:u w:val="single"/>
        </w:rPr>
        <w:tab/>
        <w:t>Ключови етапи, цели, показатели и график за мониторинг и изпълнение на безвъзмездната финансова подкрепа</w:t>
      </w:r>
    </w:p>
    <w:p w14:paraId="5EC6EEA5" w14:textId="77777777" w:rsidR="00446317" w:rsidRPr="008A0F8A" w:rsidRDefault="00446317" w:rsidP="00446317">
      <w:pPr>
        <w:spacing w:before="120" w:after="120" w:line="240" w:lineRule="auto"/>
        <w:ind w:left="709"/>
        <w:jc w:val="both"/>
        <w:rPr>
          <w:rFonts w:ascii="Times New Roman" w:eastAsia="Calibri" w:hAnsi="Times New Roman" w:cs="Times New Roman"/>
          <w:noProof/>
          <w:sz w:val="24"/>
          <w:lang w:val="ru-RU"/>
        </w:rPr>
        <w:sectPr w:rsidR="00446317" w:rsidRPr="008A0F8A" w:rsidSect="00B60432">
          <w:headerReference w:type="even" r:id="rId30"/>
          <w:headerReference w:type="default" r:id="rId31"/>
          <w:footerReference w:type="even" r:id="rId32"/>
          <w:footerReference w:type="default" r:id="rId33"/>
          <w:headerReference w:type="first" r:id="rId34"/>
          <w:footerReference w:type="first" r:id="rId35"/>
          <w:pgSz w:w="11907" w:h="16839"/>
          <w:pgMar w:top="1134" w:right="1134" w:bottom="1134" w:left="1134" w:header="567" w:footer="567" w:gutter="0"/>
          <w:cols w:space="720"/>
          <w:docGrid w:linePitch="360"/>
        </w:sectPr>
      </w:pPr>
    </w:p>
    <w:tbl>
      <w:tblPr>
        <w:tblW w:w="15615" w:type="dxa"/>
        <w:jc w:val="center"/>
        <w:tblLayout w:type="fixed"/>
        <w:tblLook w:val="04A0" w:firstRow="1" w:lastRow="0" w:firstColumn="1" w:lastColumn="0" w:noHBand="0" w:noVBand="1"/>
      </w:tblPr>
      <w:tblGrid>
        <w:gridCol w:w="673"/>
        <w:gridCol w:w="1694"/>
        <w:gridCol w:w="1130"/>
        <w:gridCol w:w="1836"/>
        <w:gridCol w:w="1977"/>
        <w:gridCol w:w="1130"/>
        <w:gridCol w:w="988"/>
        <w:gridCol w:w="745"/>
        <w:gridCol w:w="992"/>
        <w:gridCol w:w="709"/>
        <w:gridCol w:w="3741"/>
      </w:tblGrid>
      <w:tr w:rsidR="006B4967" w:rsidRPr="005241FC" w14:paraId="60E4ABC7" w14:textId="77777777" w:rsidTr="008E333E">
        <w:trPr>
          <w:trHeight w:val="599"/>
          <w:tblHeader/>
          <w:jc w:val="center"/>
        </w:trPr>
        <w:tc>
          <w:tcPr>
            <w:tcW w:w="67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4CAEEF9" w14:textId="2487C7C3" w:rsidR="00EE72D6" w:rsidRPr="00D26611" w:rsidRDefault="006C7FC3" w:rsidP="00855FFB">
            <w:pPr>
              <w:spacing w:after="0" w:line="240" w:lineRule="auto"/>
              <w:jc w:val="center"/>
              <w:rPr>
                <w:rFonts w:ascii="Times New Roman" w:eastAsia="Times New Roman" w:hAnsi="Times New Roman" w:cs="Times New Roman"/>
                <w:b/>
                <w:noProof/>
                <w:color w:val="000000" w:themeColor="text1"/>
                <w:sz w:val="20"/>
                <w:szCs w:val="20"/>
              </w:rPr>
            </w:pPr>
            <w:r>
              <w:rPr>
                <w:rFonts w:ascii="Times New Roman" w:hAnsi="Times New Roman"/>
                <w:b/>
                <w:noProof/>
                <w:sz w:val="20"/>
              </w:rPr>
              <w:t>Пореден номер</w:t>
            </w:r>
          </w:p>
        </w:tc>
        <w:tc>
          <w:tcPr>
            <w:tcW w:w="169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83EC922" w14:textId="77777777" w:rsidR="00EE72D6" w:rsidRPr="00D26611" w:rsidRDefault="00EE72D6" w:rsidP="00855FFB">
            <w:pPr>
              <w:spacing w:after="0" w:line="240" w:lineRule="auto"/>
              <w:jc w:val="center"/>
              <w:rPr>
                <w:rFonts w:ascii="Times New Roman" w:eastAsia="Times New Roman" w:hAnsi="Times New Roman" w:cs="Times New Roman"/>
                <w:b/>
                <w:bCs/>
                <w:noProof/>
                <w:color w:val="000000" w:themeColor="text1"/>
                <w:sz w:val="20"/>
                <w:szCs w:val="20"/>
              </w:rPr>
            </w:pPr>
            <w:r>
              <w:rPr>
                <w:rFonts w:ascii="Times New Roman" w:hAnsi="Times New Roman"/>
                <w:b/>
                <w:noProof/>
                <w:color w:val="000000" w:themeColor="text1"/>
                <w:sz w:val="20"/>
              </w:rPr>
              <w:t>Свързана мярка (реформа или инвестиция)</w:t>
            </w:r>
          </w:p>
        </w:tc>
        <w:tc>
          <w:tcPr>
            <w:tcW w:w="113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3F3F2F6" w14:textId="16A82882" w:rsidR="00EE72D6" w:rsidRPr="00D26611" w:rsidRDefault="00EE72D6" w:rsidP="00855FFB">
            <w:pPr>
              <w:spacing w:after="0" w:line="240" w:lineRule="auto"/>
              <w:jc w:val="center"/>
              <w:rPr>
                <w:rFonts w:ascii="Times New Roman" w:eastAsia="Times New Roman" w:hAnsi="Times New Roman" w:cs="Times New Roman"/>
                <w:b/>
                <w:bCs/>
                <w:noProof/>
                <w:color w:val="000000" w:themeColor="text1"/>
                <w:sz w:val="20"/>
                <w:szCs w:val="20"/>
              </w:rPr>
            </w:pPr>
            <w:r>
              <w:rPr>
                <w:rFonts w:ascii="Times New Roman" w:hAnsi="Times New Roman"/>
                <w:b/>
                <w:noProof/>
                <w:color w:val="000000" w:themeColor="text1"/>
                <w:sz w:val="20"/>
              </w:rPr>
              <w:t>Ключов етап / Цел</w:t>
            </w:r>
          </w:p>
        </w:tc>
        <w:tc>
          <w:tcPr>
            <w:tcW w:w="183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0BC7B98" w14:textId="77777777" w:rsidR="00EE72D6" w:rsidRPr="00D26611" w:rsidRDefault="00EE72D6" w:rsidP="00855FFB">
            <w:pPr>
              <w:spacing w:after="0" w:line="240" w:lineRule="auto"/>
              <w:jc w:val="center"/>
              <w:rPr>
                <w:rFonts w:ascii="Times New Roman" w:eastAsia="Times New Roman" w:hAnsi="Times New Roman" w:cs="Times New Roman"/>
                <w:b/>
                <w:bCs/>
                <w:noProof/>
                <w:color w:val="000000" w:themeColor="text1"/>
                <w:sz w:val="20"/>
                <w:szCs w:val="20"/>
              </w:rPr>
            </w:pPr>
            <w:r>
              <w:rPr>
                <w:rFonts w:ascii="Times New Roman" w:hAnsi="Times New Roman"/>
                <w:b/>
                <w:noProof/>
                <w:color w:val="000000" w:themeColor="text1"/>
                <w:sz w:val="20"/>
              </w:rPr>
              <w:t>Наименование</w:t>
            </w:r>
          </w:p>
        </w:tc>
        <w:tc>
          <w:tcPr>
            <w:tcW w:w="197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9DE40DA" w14:textId="77777777" w:rsidR="00EE72D6" w:rsidRPr="00D26611" w:rsidRDefault="00EE72D6" w:rsidP="00855FFB">
            <w:pPr>
              <w:spacing w:after="0" w:line="240" w:lineRule="auto"/>
              <w:jc w:val="center"/>
              <w:rPr>
                <w:rFonts w:ascii="Times New Roman" w:eastAsia="Times New Roman" w:hAnsi="Times New Roman" w:cs="Times New Roman"/>
                <w:b/>
                <w:bCs/>
                <w:noProof/>
                <w:color w:val="000000" w:themeColor="text1"/>
                <w:sz w:val="20"/>
                <w:szCs w:val="20"/>
              </w:rPr>
            </w:pPr>
            <w:r>
              <w:rPr>
                <w:rFonts w:ascii="Times New Roman" w:hAnsi="Times New Roman"/>
                <w:b/>
                <w:noProof/>
                <w:color w:val="000000" w:themeColor="text1"/>
                <w:sz w:val="20"/>
              </w:rPr>
              <w:t xml:space="preserve">Качествени показатели </w:t>
            </w:r>
            <w:r>
              <w:rPr>
                <w:rFonts w:ascii="Times New Roman" w:hAnsi="Times New Roman"/>
                <w:noProof/>
                <w:color w:val="000000" w:themeColor="text1"/>
                <w:sz w:val="20"/>
              </w:rPr>
              <w:br/>
            </w:r>
            <w:r>
              <w:rPr>
                <w:rFonts w:ascii="Times New Roman" w:hAnsi="Times New Roman"/>
                <w:b/>
                <w:noProof/>
                <w:color w:val="000000" w:themeColor="text1"/>
                <w:sz w:val="20"/>
              </w:rPr>
              <w:t>(за ключовите етапи)</w:t>
            </w:r>
          </w:p>
        </w:tc>
        <w:tc>
          <w:tcPr>
            <w:tcW w:w="2863"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7E6A9B5F" w14:textId="77777777" w:rsidR="00EE72D6" w:rsidRPr="00D26611" w:rsidRDefault="00EE72D6" w:rsidP="00855FFB">
            <w:pPr>
              <w:spacing w:after="0" w:line="240" w:lineRule="auto"/>
              <w:jc w:val="center"/>
              <w:rPr>
                <w:rFonts w:ascii="Times New Roman" w:eastAsia="Times New Roman" w:hAnsi="Times New Roman" w:cs="Times New Roman"/>
                <w:b/>
                <w:bCs/>
                <w:noProof/>
                <w:color w:val="000000" w:themeColor="text1"/>
                <w:sz w:val="20"/>
                <w:szCs w:val="20"/>
              </w:rPr>
            </w:pPr>
            <w:r>
              <w:rPr>
                <w:rFonts w:ascii="Times New Roman" w:hAnsi="Times New Roman"/>
                <w:b/>
                <w:noProof/>
                <w:color w:val="000000" w:themeColor="text1"/>
                <w:sz w:val="20"/>
              </w:rPr>
              <w:t xml:space="preserve">Количествени показатели </w:t>
            </w:r>
            <w:r>
              <w:rPr>
                <w:rFonts w:ascii="Times New Roman" w:hAnsi="Times New Roman"/>
                <w:noProof/>
                <w:color w:val="000000" w:themeColor="text1"/>
                <w:sz w:val="20"/>
              </w:rPr>
              <w:br/>
            </w:r>
            <w:r>
              <w:rPr>
                <w:rFonts w:ascii="Times New Roman" w:hAnsi="Times New Roman"/>
                <w:b/>
                <w:noProof/>
                <w:color w:val="000000" w:themeColor="text1"/>
                <w:sz w:val="20"/>
              </w:rPr>
              <w:t>(за целите)</w:t>
            </w:r>
          </w:p>
        </w:tc>
        <w:tc>
          <w:tcPr>
            <w:tcW w:w="1701" w:type="dxa"/>
            <w:gridSpan w:val="2"/>
            <w:tcBorders>
              <w:top w:val="single" w:sz="4" w:space="0" w:color="auto"/>
              <w:left w:val="nil"/>
              <w:bottom w:val="single" w:sz="4" w:space="0" w:color="auto"/>
              <w:right w:val="single" w:sz="4" w:space="0" w:color="auto"/>
            </w:tcBorders>
            <w:shd w:val="clear" w:color="auto" w:fill="BDD7EE"/>
            <w:vAlign w:val="center"/>
            <w:hideMark/>
          </w:tcPr>
          <w:p w14:paraId="5AD783D8" w14:textId="2F3C088C" w:rsidR="00EE72D6" w:rsidRPr="00D26611" w:rsidRDefault="00EE72D6" w:rsidP="00855FFB">
            <w:pPr>
              <w:spacing w:after="0" w:line="240" w:lineRule="auto"/>
              <w:jc w:val="center"/>
              <w:rPr>
                <w:rFonts w:ascii="Times New Roman" w:eastAsia="Times New Roman" w:hAnsi="Times New Roman" w:cs="Times New Roman"/>
                <w:b/>
                <w:bCs/>
                <w:noProof/>
                <w:color w:val="000000" w:themeColor="text1"/>
                <w:sz w:val="20"/>
                <w:szCs w:val="20"/>
              </w:rPr>
            </w:pPr>
            <w:r>
              <w:rPr>
                <w:rFonts w:ascii="Times New Roman" w:hAnsi="Times New Roman"/>
                <w:b/>
                <w:noProof/>
                <w:color w:val="000000" w:themeColor="text1"/>
                <w:sz w:val="20"/>
              </w:rPr>
              <w:t>Ориентировъчен график за приключване</w:t>
            </w:r>
          </w:p>
        </w:tc>
        <w:tc>
          <w:tcPr>
            <w:tcW w:w="374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8E9EAE2" w14:textId="77777777" w:rsidR="00EE72D6" w:rsidRPr="00D26611" w:rsidRDefault="00EE72D6" w:rsidP="00855FFB">
            <w:pPr>
              <w:spacing w:after="0" w:line="240" w:lineRule="auto"/>
              <w:jc w:val="center"/>
              <w:rPr>
                <w:rFonts w:ascii="Times New Roman" w:eastAsia="Times New Roman" w:hAnsi="Times New Roman" w:cs="Times New Roman"/>
                <w:b/>
                <w:bCs/>
                <w:noProof/>
                <w:color w:val="000000" w:themeColor="text1"/>
                <w:sz w:val="20"/>
                <w:szCs w:val="20"/>
              </w:rPr>
            </w:pPr>
            <w:r>
              <w:rPr>
                <w:rFonts w:ascii="Times New Roman" w:hAnsi="Times New Roman"/>
                <w:b/>
                <w:noProof/>
                <w:color w:val="000000" w:themeColor="text1"/>
                <w:sz w:val="20"/>
              </w:rPr>
              <w:t>Описание на всеки ключов етап и цел</w:t>
            </w:r>
          </w:p>
        </w:tc>
      </w:tr>
      <w:tr w:rsidR="006B4967" w:rsidRPr="00D26611" w14:paraId="39FA6995" w14:textId="77777777" w:rsidTr="008E333E">
        <w:trPr>
          <w:trHeight w:val="87"/>
          <w:tblHeader/>
          <w:jc w:val="center"/>
        </w:trPr>
        <w:tc>
          <w:tcPr>
            <w:tcW w:w="673" w:type="dxa"/>
            <w:vMerge/>
            <w:tcBorders>
              <w:top w:val="single" w:sz="4" w:space="0" w:color="auto"/>
              <w:left w:val="single" w:sz="4" w:space="0" w:color="auto"/>
              <w:bottom w:val="single" w:sz="4" w:space="0" w:color="auto"/>
              <w:right w:val="single" w:sz="4" w:space="0" w:color="auto"/>
            </w:tcBorders>
            <w:hideMark/>
          </w:tcPr>
          <w:p w14:paraId="3F9EDCAA" w14:textId="77777777" w:rsidR="00EE72D6" w:rsidRPr="008A0F8A" w:rsidRDefault="00EE72D6" w:rsidP="00066694">
            <w:pPr>
              <w:spacing w:after="0" w:line="240" w:lineRule="auto"/>
              <w:rPr>
                <w:rFonts w:ascii="Times New Roman" w:eastAsia="Times New Roman" w:hAnsi="Times New Roman" w:cs="Times New Roman"/>
                <w:b/>
                <w:bCs/>
                <w:noProof/>
                <w:color w:val="000000" w:themeColor="text1"/>
                <w:sz w:val="20"/>
                <w:szCs w:val="20"/>
                <w:lang w:val="ru-RU" w:eastAsia="en-GB"/>
              </w:rPr>
            </w:pPr>
          </w:p>
        </w:tc>
        <w:tc>
          <w:tcPr>
            <w:tcW w:w="1694" w:type="dxa"/>
            <w:vMerge/>
            <w:tcBorders>
              <w:top w:val="single" w:sz="4" w:space="0" w:color="auto"/>
              <w:left w:val="single" w:sz="4" w:space="0" w:color="auto"/>
              <w:bottom w:val="single" w:sz="4" w:space="0" w:color="auto"/>
              <w:right w:val="single" w:sz="4" w:space="0" w:color="auto"/>
            </w:tcBorders>
            <w:hideMark/>
          </w:tcPr>
          <w:p w14:paraId="4C844AC3" w14:textId="77777777" w:rsidR="00EE72D6" w:rsidRPr="008A0F8A" w:rsidRDefault="00EE72D6" w:rsidP="00066694">
            <w:pPr>
              <w:spacing w:after="0" w:line="240" w:lineRule="auto"/>
              <w:rPr>
                <w:rFonts w:ascii="Times New Roman" w:eastAsia="Times New Roman" w:hAnsi="Times New Roman" w:cs="Times New Roman"/>
                <w:b/>
                <w:bCs/>
                <w:noProof/>
                <w:color w:val="000000" w:themeColor="text1"/>
                <w:sz w:val="20"/>
                <w:szCs w:val="20"/>
                <w:lang w:val="ru-RU" w:eastAsia="en-GB"/>
              </w:rPr>
            </w:pPr>
          </w:p>
        </w:tc>
        <w:tc>
          <w:tcPr>
            <w:tcW w:w="1130" w:type="dxa"/>
            <w:vMerge/>
            <w:tcBorders>
              <w:top w:val="single" w:sz="4" w:space="0" w:color="auto"/>
              <w:left w:val="single" w:sz="4" w:space="0" w:color="auto"/>
              <w:bottom w:val="single" w:sz="4" w:space="0" w:color="auto"/>
              <w:right w:val="single" w:sz="4" w:space="0" w:color="auto"/>
            </w:tcBorders>
            <w:hideMark/>
          </w:tcPr>
          <w:p w14:paraId="0A34EEFD" w14:textId="77777777" w:rsidR="00EE72D6" w:rsidRPr="008A0F8A" w:rsidRDefault="00EE72D6" w:rsidP="00066694">
            <w:pPr>
              <w:spacing w:after="0" w:line="240" w:lineRule="auto"/>
              <w:rPr>
                <w:rFonts w:ascii="Times New Roman" w:eastAsia="Times New Roman" w:hAnsi="Times New Roman" w:cs="Times New Roman"/>
                <w:b/>
                <w:bCs/>
                <w:noProof/>
                <w:color w:val="000000" w:themeColor="text1"/>
                <w:sz w:val="20"/>
                <w:szCs w:val="20"/>
                <w:lang w:val="ru-RU" w:eastAsia="en-GB"/>
              </w:rPr>
            </w:pPr>
          </w:p>
        </w:tc>
        <w:tc>
          <w:tcPr>
            <w:tcW w:w="1836" w:type="dxa"/>
            <w:vMerge/>
            <w:tcBorders>
              <w:top w:val="single" w:sz="4" w:space="0" w:color="auto"/>
              <w:left w:val="single" w:sz="4" w:space="0" w:color="auto"/>
              <w:bottom w:val="single" w:sz="4" w:space="0" w:color="auto"/>
              <w:right w:val="single" w:sz="4" w:space="0" w:color="auto"/>
            </w:tcBorders>
            <w:hideMark/>
          </w:tcPr>
          <w:p w14:paraId="2BC112B7" w14:textId="77777777" w:rsidR="00EE72D6" w:rsidRPr="008A0F8A" w:rsidRDefault="00EE72D6" w:rsidP="00066694">
            <w:pPr>
              <w:spacing w:after="0" w:line="240" w:lineRule="auto"/>
              <w:rPr>
                <w:rFonts w:ascii="Times New Roman" w:eastAsia="Times New Roman" w:hAnsi="Times New Roman" w:cs="Times New Roman"/>
                <w:b/>
                <w:bCs/>
                <w:noProof/>
                <w:color w:val="000000" w:themeColor="text1"/>
                <w:sz w:val="20"/>
                <w:szCs w:val="20"/>
                <w:lang w:val="ru-RU" w:eastAsia="en-GB"/>
              </w:rPr>
            </w:pPr>
          </w:p>
        </w:tc>
        <w:tc>
          <w:tcPr>
            <w:tcW w:w="1977" w:type="dxa"/>
            <w:vMerge/>
            <w:tcBorders>
              <w:top w:val="single" w:sz="4" w:space="0" w:color="auto"/>
              <w:left w:val="single" w:sz="4" w:space="0" w:color="auto"/>
              <w:bottom w:val="single" w:sz="4" w:space="0" w:color="auto"/>
              <w:right w:val="single" w:sz="4" w:space="0" w:color="auto"/>
            </w:tcBorders>
            <w:hideMark/>
          </w:tcPr>
          <w:p w14:paraId="28F7AFCD" w14:textId="77777777" w:rsidR="00EE72D6" w:rsidRPr="008A0F8A" w:rsidRDefault="00EE72D6" w:rsidP="00066694">
            <w:pPr>
              <w:spacing w:after="0" w:line="240" w:lineRule="auto"/>
              <w:rPr>
                <w:rFonts w:ascii="Times New Roman" w:eastAsia="Times New Roman" w:hAnsi="Times New Roman" w:cs="Times New Roman"/>
                <w:b/>
                <w:bCs/>
                <w:noProof/>
                <w:color w:val="000000" w:themeColor="text1"/>
                <w:sz w:val="20"/>
                <w:szCs w:val="20"/>
                <w:lang w:val="ru-RU" w:eastAsia="en-GB"/>
              </w:rPr>
            </w:pPr>
          </w:p>
        </w:tc>
        <w:tc>
          <w:tcPr>
            <w:tcW w:w="1130" w:type="dxa"/>
            <w:tcBorders>
              <w:top w:val="nil"/>
              <w:left w:val="single" w:sz="4" w:space="0" w:color="auto"/>
              <w:bottom w:val="single" w:sz="4" w:space="0" w:color="auto"/>
              <w:right w:val="single" w:sz="4" w:space="0" w:color="auto"/>
            </w:tcBorders>
            <w:shd w:val="clear" w:color="auto" w:fill="BDD7EE"/>
            <w:hideMark/>
          </w:tcPr>
          <w:p w14:paraId="41202397" w14:textId="77777777" w:rsidR="00EE72D6" w:rsidRPr="00D26611" w:rsidRDefault="00EE72D6" w:rsidP="00855FFB">
            <w:pPr>
              <w:spacing w:after="0" w:line="240" w:lineRule="auto"/>
              <w:jc w:val="center"/>
              <w:rPr>
                <w:rFonts w:ascii="Times New Roman" w:eastAsia="Times New Roman" w:hAnsi="Times New Roman" w:cs="Times New Roman"/>
                <w:b/>
                <w:bCs/>
                <w:noProof/>
                <w:color w:val="000000" w:themeColor="text1"/>
                <w:sz w:val="20"/>
                <w:szCs w:val="20"/>
              </w:rPr>
            </w:pPr>
            <w:r>
              <w:rPr>
                <w:rFonts w:ascii="Times New Roman" w:hAnsi="Times New Roman"/>
                <w:b/>
                <w:noProof/>
                <w:color w:val="000000" w:themeColor="text1"/>
                <w:sz w:val="20"/>
              </w:rPr>
              <w:t>Мерна единица</w:t>
            </w:r>
          </w:p>
        </w:tc>
        <w:tc>
          <w:tcPr>
            <w:tcW w:w="988" w:type="dxa"/>
            <w:tcBorders>
              <w:top w:val="nil"/>
              <w:left w:val="nil"/>
              <w:bottom w:val="single" w:sz="4" w:space="0" w:color="auto"/>
              <w:right w:val="single" w:sz="4" w:space="0" w:color="auto"/>
            </w:tcBorders>
            <w:shd w:val="clear" w:color="auto" w:fill="BDD7EE"/>
            <w:hideMark/>
          </w:tcPr>
          <w:p w14:paraId="090222B6" w14:textId="06FC2D36" w:rsidR="00EE72D6" w:rsidRPr="00D26611" w:rsidRDefault="00EE72D6" w:rsidP="00855FFB">
            <w:pPr>
              <w:spacing w:after="0" w:line="240" w:lineRule="auto"/>
              <w:jc w:val="center"/>
              <w:rPr>
                <w:rFonts w:ascii="Times New Roman" w:eastAsia="Times New Roman" w:hAnsi="Times New Roman" w:cs="Times New Roman"/>
                <w:b/>
                <w:bCs/>
                <w:noProof/>
                <w:color w:val="000000" w:themeColor="text1"/>
                <w:sz w:val="20"/>
                <w:szCs w:val="20"/>
              </w:rPr>
            </w:pPr>
            <w:r>
              <w:rPr>
                <w:rFonts w:ascii="Times New Roman" w:hAnsi="Times New Roman"/>
                <w:b/>
                <w:noProof/>
                <w:color w:val="000000" w:themeColor="text1"/>
                <w:sz w:val="20"/>
              </w:rPr>
              <w:t>Базова линия</w:t>
            </w:r>
          </w:p>
        </w:tc>
        <w:tc>
          <w:tcPr>
            <w:tcW w:w="745" w:type="dxa"/>
            <w:tcBorders>
              <w:top w:val="nil"/>
              <w:left w:val="nil"/>
              <w:bottom w:val="single" w:sz="4" w:space="0" w:color="auto"/>
              <w:right w:val="single" w:sz="4" w:space="0" w:color="auto"/>
            </w:tcBorders>
            <w:shd w:val="clear" w:color="auto" w:fill="BDD7EE"/>
            <w:hideMark/>
          </w:tcPr>
          <w:p w14:paraId="31FA6534" w14:textId="135F2D76" w:rsidR="00EE72D6" w:rsidRPr="00D26611" w:rsidRDefault="00EE72D6" w:rsidP="00855FFB">
            <w:pPr>
              <w:spacing w:after="0" w:line="240" w:lineRule="auto"/>
              <w:jc w:val="center"/>
              <w:rPr>
                <w:rFonts w:ascii="Times New Roman" w:eastAsia="Times New Roman" w:hAnsi="Times New Roman" w:cs="Times New Roman"/>
                <w:b/>
                <w:bCs/>
                <w:noProof/>
                <w:color w:val="000000" w:themeColor="text1"/>
                <w:sz w:val="20"/>
                <w:szCs w:val="20"/>
              </w:rPr>
            </w:pPr>
            <w:r>
              <w:rPr>
                <w:rFonts w:ascii="Times New Roman" w:hAnsi="Times New Roman"/>
                <w:b/>
                <w:noProof/>
                <w:color w:val="000000" w:themeColor="text1"/>
                <w:sz w:val="20"/>
              </w:rPr>
              <w:t>Цел</w:t>
            </w:r>
          </w:p>
        </w:tc>
        <w:tc>
          <w:tcPr>
            <w:tcW w:w="992" w:type="dxa"/>
            <w:tcBorders>
              <w:top w:val="nil"/>
              <w:left w:val="nil"/>
              <w:bottom w:val="single" w:sz="4" w:space="0" w:color="auto"/>
              <w:right w:val="single" w:sz="4" w:space="0" w:color="auto"/>
            </w:tcBorders>
            <w:shd w:val="clear" w:color="auto" w:fill="BDD7EE"/>
            <w:hideMark/>
          </w:tcPr>
          <w:p w14:paraId="6E09417F" w14:textId="77777777" w:rsidR="00EE72D6" w:rsidRPr="00D26611" w:rsidRDefault="00EE72D6" w:rsidP="00066694">
            <w:pPr>
              <w:spacing w:after="0" w:line="240" w:lineRule="auto"/>
              <w:rPr>
                <w:rFonts w:ascii="Times New Roman" w:eastAsia="Times New Roman" w:hAnsi="Times New Roman" w:cs="Times New Roman"/>
                <w:b/>
                <w:bCs/>
                <w:noProof/>
                <w:color w:val="000000" w:themeColor="text1"/>
                <w:sz w:val="20"/>
                <w:szCs w:val="20"/>
              </w:rPr>
            </w:pPr>
            <w:r>
              <w:rPr>
                <w:rFonts w:ascii="Times New Roman" w:hAnsi="Times New Roman"/>
                <w:b/>
                <w:noProof/>
                <w:color w:val="000000" w:themeColor="text1"/>
                <w:sz w:val="20"/>
              </w:rPr>
              <w:t>Тримесечие</w:t>
            </w:r>
          </w:p>
        </w:tc>
        <w:tc>
          <w:tcPr>
            <w:tcW w:w="709" w:type="dxa"/>
            <w:tcBorders>
              <w:top w:val="nil"/>
              <w:left w:val="nil"/>
              <w:bottom w:val="single" w:sz="4" w:space="0" w:color="auto"/>
              <w:right w:val="single" w:sz="4" w:space="0" w:color="auto"/>
            </w:tcBorders>
            <w:shd w:val="clear" w:color="auto" w:fill="BDD7EE"/>
            <w:hideMark/>
          </w:tcPr>
          <w:p w14:paraId="74229B85" w14:textId="77777777" w:rsidR="00EE72D6" w:rsidRPr="00D26611" w:rsidRDefault="00EE72D6" w:rsidP="00066694">
            <w:pPr>
              <w:spacing w:after="0" w:line="240" w:lineRule="auto"/>
              <w:rPr>
                <w:rFonts w:ascii="Times New Roman" w:eastAsia="Times New Roman" w:hAnsi="Times New Roman" w:cs="Times New Roman"/>
                <w:b/>
                <w:bCs/>
                <w:noProof/>
                <w:color w:val="000000" w:themeColor="text1"/>
                <w:sz w:val="20"/>
                <w:szCs w:val="20"/>
              </w:rPr>
            </w:pPr>
            <w:r>
              <w:rPr>
                <w:rFonts w:ascii="Times New Roman" w:hAnsi="Times New Roman"/>
                <w:b/>
                <w:noProof/>
                <w:color w:val="000000" w:themeColor="text1"/>
                <w:sz w:val="20"/>
              </w:rPr>
              <w:t>Година</w:t>
            </w:r>
          </w:p>
        </w:tc>
        <w:tc>
          <w:tcPr>
            <w:tcW w:w="3741" w:type="dxa"/>
            <w:vMerge/>
            <w:tcBorders>
              <w:top w:val="single" w:sz="4" w:space="0" w:color="auto"/>
              <w:bottom w:val="single" w:sz="4" w:space="0" w:color="auto"/>
              <w:right w:val="single" w:sz="4" w:space="0" w:color="auto"/>
            </w:tcBorders>
            <w:hideMark/>
          </w:tcPr>
          <w:p w14:paraId="6EB53D37" w14:textId="77777777" w:rsidR="00EE72D6" w:rsidRPr="00D26611" w:rsidRDefault="00EE72D6" w:rsidP="00066694">
            <w:pPr>
              <w:spacing w:after="0" w:line="240" w:lineRule="auto"/>
              <w:rPr>
                <w:rFonts w:ascii="Times New Roman" w:eastAsia="Times New Roman" w:hAnsi="Times New Roman" w:cs="Times New Roman"/>
                <w:b/>
                <w:bCs/>
                <w:noProof/>
                <w:color w:val="000000" w:themeColor="text1"/>
                <w:sz w:val="20"/>
                <w:szCs w:val="20"/>
                <w:lang w:val="en-GB" w:eastAsia="en-GB"/>
              </w:rPr>
            </w:pPr>
          </w:p>
        </w:tc>
      </w:tr>
      <w:tr w:rsidR="006B4967" w:rsidRPr="005241FC" w14:paraId="12D4B0E2" w14:textId="77777777" w:rsidTr="008E333E">
        <w:trPr>
          <w:trHeight w:val="309"/>
          <w:jc w:val="center"/>
        </w:trPr>
        <w:tc>
          <w:tcPr>
            <w:tcW w:w="673" w:type="dxa"/>
            <w:tcBorders>
              <w:top w:val="single" w:sz="4" w:space="0" w:color="auto"/>
              <w:left w:val="single" w:sz="4" w:space="0" w:color="auto"/>
              <w:bottom w:val="single" w:sz="4" w:space="0" w:color="auto"/>
              <w:right w:val="single" w:sz="4" w:space="0" w:color="auto"/>
            </w:tcBorders>
            <w:shd w:val="clear" w:color="auto" w:fill="C6EFCE"/>
            <w:noWrap/>
            <w:hideMark/>
          </w:tcPr>
          <w:p w14:paraId="56B143AE" w14:textId="43E69615" w:rsidR="00EE72D6" w:rsidRPr="00D26611" w:rsidRDefault="00600A97"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24</w:t>
            </w:r>
          </w:p>
        </w:tc>
        <w:tc>
          <w:tcPr>
            <w:tcW w:w="1694" w:type="dxa"/>
            <w:tcBorders>
              <w:top w:val="single" w:sz="4" w:space="0" w:color="auto"/>
              <w:left w:val="nil"/>
              <w:bottom w:val="single" w:sz="4" w:space="0" w:color="auto"/>
              <w:right w:val="single" w:sz="4" w:space="0" w:color="auto"/>
            </w:tcBorders>
            <w:shd w:val="clear" w:color="auto" w:fill="C6EFCE"/>
            <w:noWrap/>
            <w:hideMark/>
          </w:tcPr>
          <w:p w14:paraId="5C9857C5" w14:textId="77777777" w:rsidR="00183158" w:rsidRPr="00D26611" w:rsidRDefault="005D1BB8" w:rsidP="005D1BB8">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К2.Р1: </w:t>
            </w:r>
          </w:p>
          <w:p w14:paraId="697E6025" w14:textId="0F05624A" w:rsidR="00EE72D6" w:rsidRPr="00D26611" w:rsidRDefault="00EE72D6" w:rsidP="005D1BB8">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Обща политика за развитие на научните изследвания и иновациите </w:t>
            </w:r>
          </w:p>
        </w:tc>
        <w:tc>
          <w:tcPr>
            <w:tcW w:w="1130" w:type="dxa"/>
            <w:tcBorders>
              <w:top w:val="single" w:sz="4" w:space="0" w:color="auto"/>
              <w:left w:val="nil"/>
              <w:bottom w:val="single" w:sz="4" w:space="0" w:color="auto"/>
              <w:right w:val="single" w:sz="4" w:space="0" w:color="auto"/>
            </w:tcBorders>
            <w:shd w:val="clear" w:color="auto" w:fill="C6EFCE"/>
            <w:noWrap/>
            <w:hideMark/>
          </w:tcPr>
          <w:p w14:paraId="303B67E6" w14:textId="77777777" w:rsidR="00EE72D6" w:rsidRPr="00D26611" w:rsidRDefault="00EE72D6"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Ключов етап</w:t>
            </w:r>
          </w:p>
        </w:tc>
        <w:tc>
          <w:tcPr>
            <w:tcW w:w="1836" w:type="dxa"/>
            <w:tcBorders>
              <w:top w:val="single" w:sz="4" w:space="0" w:color="auto"/>
              <w:left w:val="nil"/>
              <w:bottom w:val="single" w:sz="4" w:space="0" w:color="auto"/>
              <w:right w:val="single" w:sz="4" w:space="0" w:color="auto"/>
            </w:tcBorders>
            <w:shd w:val="clear" w:color="auto" w:fill="C6EFCE"/>
            <w:noWrap/>
            <w:hideMark/>
          </w:tcPr>
          <w:p w14:paraId="720DB114" w14:textId="7CCE2244" w:rsidR="00EE72D6" w:rsidRPr="00D26611" w:rsidRDefault="00C0424D" w:rsidP="00C0424D">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Законови разпоредби, указващи влизането в сила на новия Закон за научните изследвания и иновациите и проучване на необходимите изменения на други законодателни актове</w:t>
            </w:r>
          </w:p>
        </w:tc>
        <w:tc>
          <w:tcPr>
            <w:tcW w:w="1977" w:type="dxa"/>
            <w:tcBorders>
              <w:top w:val="single" w:sz="4" w:space="0" w:color="auto"/>
              <w:left w:val="nil"/>
              <w:bottom w:val="single" w:sz="4" w:space="0" w:color="auto"/>
              <w:right w:val="single" w:sz="4" w:space="0" w:color="auto"/>
            </w:tcBorders>
            <w:shd w:val="clear" w:color="auto" w:fill="C6EFCE"/>
            <w:noWrap/>
            <w:hideMark/>
          </w:tcPr>
          <w:p w14:paraId="124F33E5" w14:textId="20AB8E0F" w:rsidR="00EE72D6" w:rsidRPr="00D26611" w:rsidRDefault="00BF6BDC" w:rsidP="00BF6BDC">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Законови разпоредби, указващи влизането в сила на новия Закон за научните изследвания и иновациите и завършен доклад за необходимите изменения на други законодателни актове</w:t>
            </w:r>
          </w:p>
        </w:tc>
        <w:tc>
          <w:tcPr>
            <w:tcW w:w="1130" w:type="dxa"/>
            <w:tcBorders>
              <w:top w:val="nil"/>
              <w:left w:val="nil"/>
              <w:bottom w:val="single" w:sz="4" w:space="0" w:color="auto"/>
              <w:right w:val="single" w:sz="4" w:space="0" w:color="auto"/>
            </w:tcBorders>
            <w:shd w:val="clear" w:color="auto" w:fill="C6EFCE"/>
            <w:noWrap/>
          </w:tcPr>
          <w:p w14:paraId="038693C3" w14:textId="77777777" w:rsidR="00EE72D6" w:rsidRPr="008A0F8A" w:rsidRDefault="00EE72D6" w:rsidP="00066694">
            <w:pPr>
              <w:spacing w:after="0" w:line="240" w:lineRule="auto"/>
              <w:rPr>
                <w:rFonts w:ascii="Times New Roman" w:hAnsi="Times New Roman" w:cs="Times New Roman"/>
                <w:noProof/>
                <w:color w:val="006100"/>
                <w:sz w:val="20"/>
                <w:szCs w:val="20"/>
                <w:lang w:val="ru-RU"/>
              </w:rPr>
            </w:pPr>
          </w:p>
        </w:tc>
        <w:tc>
          <w:tcPr>
            <w:tcW w:w="988" w:type="dxa"/>
            <w:tcBorders>
              <w:top w:val="nil"/>
              <w:left w:val="nil"/>
              <w:bottom w:val="single" w:sz="4" w:space="0" w:color="auto"/>
              <w:right w:val="single" w:sz="4" w:space="0" w:color="auto"/>
            </w:tcBorders>
            <w:shd w:val="clear" w:color="auto" w:fill="C6EFCE"/>
            <w:noWrap/>
          </w:tcPr>
          <w:p w14:paraId="5CDF62D3" w14:textId="77777777" w:rsidR="00EE72D6" w:rsidRPr="008A0F8A" w:rsidRDefault="00EE72D6" w:rsidP="00066694">
            <w:pPr>
              <w:spacing w:after="0" w:line="240" w:lineRule="auto"/>
              <w:rPr>
                <w:rFonts w:ascii="Times New Roman" w:hAnsi="Times New Roman" w:cs="Times New Roman"/>
                <w:noProof/>
                <w:color w:val="006100"/>
                <w:sz w:val="20"/>
                <w:szCs w:val="20"/>
                <w:lang w:val="ru-RU"/>
              </w:rPr>
            </w:pPr>
          </w:p>
        </w:tc>
        <w:tc>
          <w:tcPr>
            <w:tcW w:w="745" w:type="dxa"/>
            <w:tcBorders>
              <w:top w:val="nil"/>
              <w:left w:val="nil"/>
              <w:bottom w:val="single" w:sz="4" w:space="0" w:color="auto"/>
              <w:right w:val="single" w:sz="4" w:space="0" w:color="auto"/>
            </w:tcBorders>
            <w:shd w:val="clear" w:color="auto" w:fill="C6EFCE"/>
            <w:noWrap/>
            <w:hideMark/>
          </w:tcPr>
          <w:p w14:paraId="00DF2155" w14:textId="77777777" w:rsidR="00EE72D6" w:rsidRPr="00D26611" w:rsidRDefault="00EE72D6"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w:t>
            </w:r>
          </w:p>
        </w:tc>
        <w:tc>
          <w:tcPr>
            <w:tcW w:w="992" w:type="dxa"/>
            <w:tcBorders>
              <w:top w:val="nil"/>
              <w:left w:val="nil"/>
              <w:bottom w:val="single" w:sz="4" w:space="0" w:color="auto"/>
              <w:right w:val="single" w:sz="4" w:space="0" w:color="auto"/>
            </w:tcBorders>
            <w:shd w:val="clear" w:color="auto" w:fill="C6EFCE"/>
            <w:noWrap/>
            <w:hideMark/>
          </w:tcPr>
          <w:p w14:paraId="0B0E63D8" w14:textId="77777777" w:rsidR="00EE72D6" w:rsidRPr="00D26611" w:rsidRDefault="00EE72D6"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T2</w:t>
            </w:r>
          </w:p>
        </w:tc>
        <w:tc>
          <w:tcPr>
            <w:tcW w:w="709" w:type="dxa"/>
            <w:tcBorders>
              <w:top w:val="nil"/>
              <w:left w:val="nil"/>
              <w:bottom w:val="single" w:sz="4" w:space="0" w:color="auto"/>
              <w:right w:val="single" w:sz="4" w:space="0" w:color="auto"/>
            </w:tcBorders>
            <w:shd w:val="clear" w:color="auto" w:fill="C6EFCE"/>
            <w:noWrap/>
            <w:hideMark/>
          </w:tcPr>
          <w:p w14:paraId="4218FE28" w14:textId="77777777" w:rsidR="00EE72D6" w:rsidRPr="00D26611" w:rsidRDefault="00EE72D6"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2023</w:t>
            </w:r>
          </w:p>
        </w:tc>
        <w:tc>
          <w:tcPr>
            <w:tcW w:w="3741" w:type="dxa"/>
            <w:tcBorders>
              <w:top w:val="single" w:sz="4" w:space="0" w:color="auto"/>
              <w:left w:val="nil"/>
              <w:bottom w:val="single" w:sz="4" w:space="0" w:color="auto"/>
              <w:right w:val="single" w:sz="4" w:space="0" w:color="auto"/>
            </w:tcBorders>
            <w:shd w:val="clear" w:color="auto" w:fill="C6EFCE"/>
            <w:noWrap/>
            <w:hideMark/>
          </w:tcPr>
          <w:p w14:paraId="53DB1BB6" w14:textId="0E02E2A1" w:rsidR="00EE72D6" w:rsidRPr="00D26611" w:rsidRDefault="00EE72D6"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Законът за научните изследвания и иновациите (ЗНИИ) ще влезе в сила. ЗНИИ ще зададе законодателната рамка на новата политика за развитие на научните изследвания и иновациите.</w:t>
            </w:r>
            <w:r>
              <w:rPr>
                <w:rFonts w:ascii="Times New Roman" w:hAnsi="Times New Roman"/>
                <w:noProof/>
                <w:color w:val="006100"/>
                <w:sz w:val="20"/>
              </w:rPr>
              <w:br/>
            </w:r>
            <w:r>
              <w:rPr>
                <w:rFonts w:ascii="Times New Roman" w:hAnsi="Times New Roman"/>
                <w:noProof/>
                <w:color w:val="006100"/>
                <w:sz w:val="20"/>
              </w:rPr>
              <w:br/>
              <w:t>ЗНИИ:</w:t>
            </w:r>
            <w:r>
              <w:rPr>
                <w:rFonts w:ascii="Times New Roman" w:hAnsi="Times New Roman"/>
                <w:noProof/>
                <w:color w:val="006100"/>
                <w:sz w:val="20"/>
              </w:rPr>
              <w:br/>
              <w:t>• ще зададе нормативната рамка на националната политика за развитие и финансиране на научните изследвания и иновациите;</w:t>
            </w:r>
          </w:p>
          <w:p w14:paraId="17C2E8BD" w14:textId="77777777" w:rsidR="00EE72D6" w:rsidRPr="00D26611" w:rsidRDefault="00EE72D6"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 ще регламентира ролята и отговорностите на всяка от институциите, участващи в разработването, изпълнението, мониторинга и оценката на политиките в областта на научните изследвания и иновациите; </w:t>
            </w:r>
          </w:p>
          <w:p w14:paraId="2B676969" w14:textId="77777777" w:rsidR="00EE72D6" w:rsidRPr="00D26611" w:rsidRDefault="00EE72D6"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ще определи инструментите и механизмите за изпълнение на политиката в областта на научните изследвания и иновациите.</w:t>
            </w:r>
          </w:p>
          <w:p w14:paraId="3943B750" w14:textId="2FB67CC8" w:rsidR="00EE72D6" w:rsidRPr="00D26611" w:rsidRDefault="00EE72D6"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br/>
              <w:t>По отношение на политиката за трансфер на технологии и познания ЗНИИ ще установи:</w:t>
            </w:r>
          </w:p>
          <w:p w14:paraId="75DC4D8D" w14:textId="06DDD00A" w:rsidR="00EE72D6" w:rsidRPr="00D26611" w:rsidRDefault="00EE72D6"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 принципите и правилата за изготвяне и финансиране на политиката за трансфер на технологии и познания; </w:t>
            </w:r>
            <w:r>
              <w:rPr>
                <w:rFonts w:ascii="Times New Roman" w:hAnsi="Times New Roman"/>
                <w:noProof/>
                <w:color w:val="006100"/>
                <w:sz w:val="20"/>
              </w:rPr>
              <w:br/>
              <w:t>• ролята и функциите на всяка от институциите, участващи в подготовката, изпълнението, мониторинга и оценката на политиката за трансфер на технологии.</w:t>
            </w:r>
          </w:p>
          <w:p w14:paraId="1F982418" w14:textId="77777777" w:rsidR="00EE72D6" w:rsidRPr="008A0F8A" w:rsidRDefault="00EE72D6" w:rsidP="00066694">
            <w:pPr>
              <w:spacing w:after="0" w:line="240" w:lineRule="auto"/>
              <w:rPr>
                <w:rFonts w:ascii="Times New Roman" w:hAnsi="Times New Roman" w:cs="Times New Roman"/>
                <w:noProof/>
                <w:color w:val="006100"/>
                <w:sz w:val="20"/>
                <w:szCs w:val="20"/>
                <w:lang w:val="ru-RU"/>
              </w:rPr>
            </w:pPr>
          </w:p>
          <w:p w14:paraId="2AAD6897" w14:textId="77777777" w:rsidR="00EE72D6" w:rsidRPr="00D26611" w:rsidRDefault="00EE72D6"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ЗНИИ заменя Закона за насърчаване на научните изследвания.</w:t>
            </w:r>
          </w:p>
          <w:p w14:paraId="5992215A" w14:textId="5FF72CB0" w:rsidR="00EE72D6" w:rsidRPr="00D26611" w:rsidRDefault="00EE72D6"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br/>
              <w:t>ЗНИИ също така изменя законодателството относно правата върху интелектуалната собственост, за да се подобри съгласуваността на националната уредба в тази област и трансферът на технологии; това ще се извърши според препоръките на Световната банка [„Засилване на приноса на публичните научни изследвания в България за иновациите: диагностика на България въз основа на проучване“, Световна банка, 2020 г.] и на Съвместния изследователски център [„Стратегическа оценка на българските центрове за квалификация и за високи постижения и препоръки за по-нататъшното им развитие“, Съвместен изследователски център на Европейската комисия, 2021 г.].</w:t>
            </w:r>
          </w:p>
          <w:p w14:paraId="561651E3" w14:textId="77777777" w:rsidR="00EE72D6" w:rsidRPr="008A0F8A" w:rsidRDefault="00EE72D6" w:rsidP="00066694">
            <w:pPr>
              <w:spacing w:after="0" w:line="240" w:lineRule="auto"/>
              <w:rPr>
                <w:rFonts w:ascii="Times New Roman" w:hAnsi="Times New Roman" w:cs="Times New Roman"/>
                <w:noProof/>
                <w:color w:val="006100"/>
                <w:sz w:val="20"/>
                <w:szCs w:val="20"/>
                <w:lang w:val="ru-RU"/>
              </w:rPr>
            </w:pPr>
          </w:p>
          <w:p w14:paraId="3150434A" w14:textId="52D907F9" w:rsidR="00EE72D6" w:rsidRPr="00D26611" w:rsidRDefault="00EE72D6"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В изготвянето на ЗНИИ ще участват съответните министерства, агенции и заинтересовани страни, в т.ч. висши учебни заведения и представители на частния сектор.</w:t>
            </w:r>
          </w:p>
          <w:p w14:paraId="6F322ED8" w14:textId="77777777" w:rsidR="00EE72D6" w:rsidRPr="008A0F8A" w:rsidRDefault="00EE72D6" w:rsidP="00066694">
            <w:pPr>
              <w:spacing w:after="0" w:line="240" w:lineRule="auto"/>
              <w:rPr>
                <w:rFonts w:ascii="Times New Roman" w:hAnsi="Times New Roman" w:cs="Times New Roman"/>
                <w:noProof/>
                <w:color w:val="006100"/>
                <w:sz w:val="20"/>
                <w:szCs w:val="20"/>
                <w:lang w:val="ru-RU"/>
              </w:rPr>
            </w:pPr>
          </w:p>
          <w:p w14:paraId="733C00D0" w14:textId="2AA6C03A" w:rsidR="00EE72D6" w:rsidRPr="00D26611" w:rsidRDefault="00EE72D6"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В доклада за необходимите изменения на други законодателни актове ще се обобщят констатациите от изчерпателен преглед на цялото съответно първично и вторично законодателство, в т.ч. на Закона за Българската академия на науките, Закона за висшето образование и Закона за развитието на академичния състав, в които се налагат изменения с оглед на влизането в сила на Закона за научните изследвания и иновациите. В доклада ще се изброят законодателните актове, които трябва да бъдат изменени, и необходимите промени; ще се посочи и график за измененията.</w:t>
            </w:r>
          </w:p>
          <w:p w14:paraId="5FF81E93" w14:textId="77777777" w:rsidR="00EE72D6" w:rsidRPr="008A0F8A" w:rsidRDefault="00EE72D6" w:rsidP="00066694">
            <w:pPr>
              <w:spacing w:after="0" w:line="240" w:lineRule="auto"/>
              <w:rPr>
                <w:rFonts w:ascii="Times New Roman" w:hAnsi="Times New Roman" w:cs="Times New Roman"/>
                <w:noProof/>
                <w:color w:val="006100"/>
                <w:sz w:val="20"/>
                <w:szCs w:val="20"/>
                <w:lang w:val="ru-RU"/>
              </w:rPr>
            </w:pPr>
          </w:p>
          <w:p w14:paraId="4CB9E6B6" w14:textId="77777777" w:rsidR="00EE72D6" w:rsidRPr="008A0F8A" w:rsidRDefault="00EE72D6" w:rsidP="00066694">
            <w:pPr>
              <w:spacing w:after="0" w:line="240" w:lineRule="auto"/>
              <w:rPr>
                <w:rFonts w:ascii="Times New Roman" w:hAnsi="Times New Roman" w:cs="Times New Roman"/>
                <w:noProof/>
                <w:color w:val="006100"/>
                <w:sz w:val="20"/>
                <w:szCs w:val="20"/>
                <w:lang w:val="ru-RU"/>
              </w:rPr>
            </w:pPr>
          </w:p>
        </w:tc>
      </w:tr>
      <w:tr w:rsidR="006B4967" w:rsidRPr="005241FC" w14:paraId="727475FA" w14:textId="77777777" w:rsidTr="2146F73B">
        <w:trPr>
          <w:trHeight w:val="309"/>
          <w:jc w:val="center"/>
        </w:trPr>
        <w:tc>
          <w:tcPr>
            <w:tcW w:w="673" w:type="dxa"/>
            <w:tcBorders>
              <w:top w:val="nil"/>
              <w:left w:val="single" w:sz="4" w:space="0" w:color="auto"/>
              <w:bottom w:val="single" w:sz="4" w:space="0" w:color="auto"/>
              <w:right w:val="single" w:sz="4" w:space="0" w:color="auto"/>
            </w:tcBorders>
            <w:shd w:val="clear" w:color="auto" w:fill="C6EFCE"/>
            <w:noWrap/>
          </w:tcPr>
          <w:p w14:paraId="04927CA3" w14:textId="4A98609C" w:rsidR="00EE72D6" w:rsidRPr="00D26611" w:rsidRDefault="00600A97"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25</w:t>
            </w:r>
          </w:p>
        </w:tc>
        <w:tc>
          <w:tcPr>
            <w:tcW w:w="1694" w:type="dxa"/>
            <w:tcBorders>
              <w:top w:val="nil"/>
              <w:left w:val="nil"/>
              <w:bottom w:val="single" w:sz="4" w:space="0" w:color="auto"/>
              <w:right w:val="single" w:sz="4" w:space="0" w:color="auto"/>
            </w:tcBorders>
            <w:shd w:val="clear" w:color="auto" w:fill="C6EFCE"/>
            <w:noWrap/>
          </w:tcPr>
          <w:p w14:paraId="4B611B43" w14:textId="77777777" w:rsidR="00183158" w:rsidRPr="00D26611" w:rsidRDefault="005D1BB8"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К2.Р1: </w:t>
            </w:r>
          </w:p>
          <w:p w14:paraId="02C424FA" w14:textId="56BA7D2D" w:rsidR="00EE72D6" w:rsidRPr="00D26611" w:rsidRDefault="00EE72D6"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Обща политика за развитие на научните изследвания и иновациите </w:t>
            </w:r>
          </w:p>
        </w:tc>
        <w:tc>
          <w:tcPr>
            <w:tcW w:w="1130" w:type="dxa"/>
            <w:tcBorders>
              <w:top w:val="nil"/>
              <w:left w:val="nil"/>
              <w:bottom w:val="single" w:sz="4" w:space="0" w:color="auto"/>
              <w:right w:val="single" w:sz="4" w:space="0" w:color="auto"/>
            </w:tcBorders>
            <w:shd w:val="clear" w:color="auto" w:fill="C6EFCE"/>
            <w:noWrap/>
          </w:tcPr>
          <w:p w14:paraId="39CB414B" w14:textId="77777777" w:rsidR="00EE72D6" w:rsidRPr="00D26611" w:rsidRDefault="00EE72D6"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Ключов етап</w:t>
            </w:r>
          </w:p>
        </w:tc>
        <w:tc>
          <w:tcPr>
            <w:tcW w:w="1836" w:type="dxa"/>
            <w:tcBorders>
              <w:top w:val="nil"/>
              <w:left w:val="nil"/>
              <w:bottom w:val="single" w:sz="4" w:space="0" w:color="auto"/>
              <w:right w:val="single" w:sz="4" w:space="0" w:color="auto"/>
            </w:tcBorders>
            <w:shd w:val="clear" w:color="auto" w:fill="C6EFCE"/>
            <w:noWrap/>
          </w:tcPr>
          <w:p w14:paraId="4594B61C" w14:textId="77777777" w:rsidR="00EE72D6" w:rsidRPr="00D26611" w:rsidRDefault="00EE72D6"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Създаване на Съвет по иновации</w:t>
            </w:r>
          </w:p>
        </w:tc>
        <w:tc>
          <w:tcPr>
            <w:tcW w:w="1977" w:type="dxa"/>
            <w:tcBorders>
              <w:top w:val="nil"/>
              <w:left w:val="nil"/>
              <w:bottom w:val="single" w:sz="4" w:space="0" w:color="auto"/>
              <w:right w:val="single" w:sz="4" w:space="0" w:color="auto"/>
            </w:tcBorders>
            <w:shd w:val="clear" w:color="auto" w:fill="C6EFCE"/>
            <w:noWrap/>
          </w:tcPr>
          <w:p w14:paraId="751B352C" w14:textId="77777777" w:rsidR="00EE72D6" w:rsidRPr="00D26611" w:rsidRDefault="00EE72D6"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Проведени оперативно заседание и първо заседание на Съвета по иновации. Публикуван вътрешен правилник на Съвета по иновации</w:t>
            </w:r>
          </w:p>
        </w:tc>
        <w:tc>
          <w:tcPr>
            <w:tcW w:w="1130" w:type="dxa"/>
            <w:tcBorders>
              <w:top w:val="nil"/>
              <w:left w:val="nil"/>
              <w:bottom w:val="single" w:sz="4" w:space="0" w:color="auto"/>
              <w:right w:val="single" w:sz="4" w:space="0" w:color="auto"/>
            </w:tcBorders>
            <w:shd w:val="clear" w:color="auto" w:fill="C6EFCE"/>
            <w:noWrap/>
          </w:tcPr>
          <w:p w14:paraId="2FD3D37E" w14:textId="77777777" w:rsidR="00EE72D6" w:rsidRPr="00D26611" w:rsidRDefault="00EE72D6" w:rsidP="00066694">
            <w:pPr>
              <w:spacing w:after="0" w:line="240" w:lineRule="auto"/>
              <w:rPr>
                <w:rFonts w:ascii="Times New Roman" w:hAnsi="Times New Roman" w:cs="Times New Roman"/>
                <w:noProof/>
                <w:color w:val="006100"/>
                <w:sz w:val="20"/>
                <w:szCs w:val="20"/>
                <w:lang w:val="en-US"/>
              </w:rPr>
            </w:pPr>
          </w:p>
        </w:tc>
        <w:tc>
          <w:tcPr>
            <w:tcW w:w="988" w:type="dxa"/>
            <w:tcBorders>
              <w:top w:val="nil"/>
              <w:left w:val="nil"/>
              <w:bottom w:val="single" w:sz="4" w:space="0" w:color="auto"/>
              <w:right w:val="single" w:sz="4" w:space="0" w:color="auto"/>
            </w:tcBorders>
            <w:shd w:val="clear" w:color="auto" w:fill="C6EFCE"/>
            <w:noWrap/>
          </w:tcPr>
          <w:p w14:paraId="6C656203" w14:textId="77777777" w:rsidR="00EE72D6" w:rsidRPr="00D26611" w:rsidRDefault="00EE72D6" w:rsidP="00066694">
            <w:pPr>
              <w:spacing w:after="0" w:line="240" w:lineRule="auto"/>
              <w:rPr>
                <w:rFonts w:ascii="Times New Roman" w:hAnsi="Times New Roman" w:cs="Times New Roman"/>
                <w:noProof/>
                <w:color w:val="006100"/>
                <w:sz w:val="20"/>
                <w:szCs w:val="20"/>
                <w:lang w:val="en-US"/>
              </w:rPr>
            </w:pPr>
          </w:p>
        </w:tc>
        <w:tc>
          <w:tcPr>
            <w:tcW w:w="745" w:type="dxa"/>
            <w:tcBorders>
              <w:top w:val="nil"/>
              <w:left w:val="nil"/>
              <w:bottom w:val="single" w:sz="4" w:space="0" w:color="auto"/>
              <w:right w:val="single" w:sz="4" w:space="0" w:color="auto"/>
            </w:tcBorders>
            <w:shd w:val="clear" w:color="auto" w:fill="C6EFCE"/>
            <w:noWrap/>
          </w:tcPr>
          <w:p w14:paraId="086DF3BF" w14:textId="77777777" w:rsidR="00EE72D6" w:rsidRPr="00D26611" w:rsidRDefault="00EE72D6" w:rsidP="00066694">
            <w:pPr>
              <w:spacing w:after="0" w:line="240" w:lineRule="auto"/>
              <w:rPr>
                <w:rFonts w:ascii="Times New Roman" w:hAnsi="Times New Roman" w:cs="Times New Roman"/>
                <w:noProof/>
                <w:color w:val="006100"/>
                <w:sz w:val="20"/>
                <w:szCs w:val="20"/>
                <w:lang w:val="en-US"/>
              </w:rPr>
            </w:pPr>
          </w:p>
        </w:tc>
        <w:tc>
          <w:tcPr>
            <w:tcW w:w="992" w:type="dxa"/>
            <w:tcBorders>
              <w:top w:val="nil"/>
              <w:left w:val="nil"/>
              <w:bottom w:val="single" w:sz="4" w:space="0" w:color="auto"/>
              <w:right w:val="single" w:sz="4" w:space="0" w:color="auto"/>
            </w:tcBorders>
            <w:shd w:val="clear" w:color="auto" w:fill="C6EFCE"/>
            <w:noWrap/>
          </w:tcPr>
          <w:p w14:paraId="7D2C942A" w14:textId="77777777" w:rsidR="00EE72D6" w:rsidRPr="00D26611" w:rsidRDefault="00EE72D6"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T3</w:t>
            </w:r>
          </w:p>
        </w:tc>
        <w:tc>
          <w:tcPr>
            <w:tcW w:w="709" w:type="dxa"/>
            <w:tcBorders>
              <w:top w:val="nil"/>
              <w:left w:val="nil"/>
              <w:bottom w:val="single" w:sz="4" w:space="0" w:color="auto"/>
              <w:right w:val="single" w:sz="4" w:space="0" w:color="auto"/>
            </w:tcBorders>
            <w:shd w:val="clear" w:color="auto" w:fill="C6EFCE"/>
            <w:noWrap/>
          </w:tcPr>
          <w:p w14:paraId="323D0EC9" w14:textId="77777777" w:rsidR="00EE72D6" w:rsidRPr="00D26611" w:rsidRDefault="00EE72D6"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2023</w:t>
            </w:r>
          </w:p>
        </w:tc>
        <w:tc>
          <w:tcPr>
            <w:tcW w:w="3741" w:type="dxa"/>
            <w:tcBorders>
              <w:top w:val="nil"/>
              <w:left w:val="nil"/>
              <w:bottom w:val="single" w:sz="4" w:space="0" w:color="auto"/>
              <w:right w:val="single" w:sz="4" w:space="0" w:color="auto"/>
            </w:tcBorders>
            <w:shd w:val="clear" w:color="auto" w:fill="C6EFCE"/>
            <w:noWrap/>
          </w:tcPr>
          <w:p w14:paraId="6B6D14DA" w14:textId="0C61C3A4" w:rsidR="00EE72D6" w:rsidRPr="00D26611" w:rsidRDefault="00EE72D6"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Съветът по иновации ще е консултативен орган към Министерството на образованието и науката и Министерството на иновациите и растежа; той ще бъде председателстван съвместно от двамата министри. Той ще предоставя консултации по развитието на научните изследвания и иновациите и ще предлага политически действия в тази област.</w:t>
            </w:r>
          </w:p>
          <w:p w14:paraId="52C5D53F" w14:textId="77777777" w:rsidR="00EE72D6" w:rsidRPr="008A0F8A" w:rsidRDefault="00EE72D6" w:rsidP="00066694">
            <w:pPr>
              <w:spacing w:after="0" w:line="240" w:lineRule="auto"/>
              <w:rPr>
                <w:rFonts w:ascii="Times New Roman" w:hAnsi="Times New Roman" w:cs="Times New Roman"/>
                <w:noProof/>
                <w:color w:val="006100"/>
                <w:sz w:val="20"/>
                <w:szCs w:val="20"/>
                <w:lang w:val="ru-RU"/>
              </w:rPr>
            </w:pPr>
          </w:p>
          <w:p w14:paraId="0A92BB04" w14:textId="77777777" w:rsidR="00EE72D6" w:rsidRPr="00D26611" w:rsidRDefault="00EE72D6"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Членовете на Съвета по иновации ще се избират сред български и международни учени и представители на деловите среди. Най-малко 1/3 от общия брой членове на Съвета по иновации ще се състои от представители на деловите среди. Членовете ще се подбират по прозрачна процедура и ще се назначават за срок от най-малко пет години. </w:t>
            </w:r>
          </w:p>
          <w:p w14:paraId="3A1D35DC" w14:textId="77777777" w:rsidR="00EE72D6" w:rsidRPr="008A0F8A" w:rsidRDefault="00EE72D6" w:rsidP="00066694">
            <w:pPr>
              <w:spacing w:after="0" w:line="240" w:lineRule="auto"/>
              <w:rPr>
                <w:rFonts w:ascii="Times New Roman" w:hAnsi="Times New Roman" w:cs="Times New Roman"/>
                <w:noProof/>
                <w:color w:val="006100"/>
                <w:sz w:val="20"/>
                <w:szCs w:val="20"/>
                <w:lang w:val="ru-RU"/>
              </w:rPr>
            </w:pPr>
          </w:p>
          <w:p w14:paraId="0DA8159D" w14:textId="77777777" w:rsidR="00EE72D6" w:rsidRPr="00D26611" w:rsidRDefault="00EE72D6"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Съветът по иновации ще е постоянен; вътрешният му правилник ще посочва, че той ще заседава най-малко шест пъти годишно. </w:t>
            </w:r>
          </w:p>
          <w:p w14:paraId="0451CF9A" w14:textId="77777777" w:rsidR="00EE72D6" w:rsidRPr="008A0F8A" w:rsidRDefault="00EE72D6" w:rsidP="00066694">
            <w:pPr>
              <w:spacing w:after="0" w:line="240" w:lineRule="auto"/>
              <w:rPr>
                <w:rFonts w:ascii="Times New Roman" w:hAnsi="Times New Roman" w:cs="Times New Roman"/>
                <w:noProof/>
                <w:color w:val="006100"/>
                <w:sz w:val="20"/>
                <w:szCs w:val="20"/>
                <w:lang w:val="ru-RU"/>
              </w:rPr>
            </w:pPr>
          </w:p>
          <w:p w14:paraId="5195F6D3" w14:textId="77777777" w:rsidR="00EE72D6" w:rsidRPr="00D26611" w:rsidRDefault="00EE72D6"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Съветът по иновации ще подпомага съгласуваността на политиката в областта на научните изследвания и иновациите с останалите национални политики и стратегии, сред които са интегрираният план в областта на енергетиката и климата, стратегията за висшето образование, националната пътна карта за подобряване на условията за разгръщане на потенциала за развитие на водородните технологии и стратегията „Индустрия 4.0“.</w:t>
            </w:r>
          </w:p>
          <w:p w14:paraId="012AD91E" w14:textId="77777777" w:rsidR="00EE72D6" w:rsidRPr="008A0F8A" w:rsidRDefault="00EE72D6" w:rsidP="00066694">
            <w:pPr>
              <w:spacing w:after="0" w:line="240" w:lineRule="auto"/>
              <w:rPr>
                <w:rFonts w:ascii="Times New Roman" w:hAnsi="Times New Roman" w:cs="Times New Roman"/>
                <w:noProof/>
                <w:color w:val="006100"/>
                <w:sz w:val="20"/>
                <w:szCs w:val="20"/>
                <w:lang w:val="ru-RU"/>
              </w:rPr>
            </w:pPr>
          </w:p>
          <w:p w14:paraId="63D80CEB" w14:textId="77777777" w:rsidR="00EE72D6" w:rsidRPr="00D26611" w:rsidRDefault="00EE72D6"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Правомощията, съставът, задачите и функционирането на Съвета по иновации се определят във вътрешния му правилник, който се оповестява публично.</w:t>
            </w:r>
          </w:p>
        </w:tc>
      </w:tr>
      <w:tr w:rsidR="006B4967" w:rsidRPr="005241FC" w14:paraId="1BA2E007" w14:textId="77777777" w:rsidTr="2146F73B">
        <w:trPr>
          <w:trHeight w:val="309"/>
          <w:jc w:val="center"/>
        </w:trPr>
        <w:tc>
          <w:tcPr>
            <w:tcW w:w="673" w:type="dxa"/>
            <w:tcBorders>
              <w:top w:val="nil"/>
              <w:left w:val="single" w:sz="4" w:space="0" w:color="auto"/>
              <w:bottom w:val="single" w:sz="4" w:space="0" w:color="auto"/>
              <w:right w:val="single" w:sz="4" w:space="0" w:color="auto"/>
            </w:tcBorders>
            <w:shd w:val="clear" w:color="auto" w:fill="C6EFCE"/>
            <w:noWrap/>
          </w:tcPr>
          <w:p w14:paraId="78DEDE9E" w14:textId="6112650C" w:rsidR="00EE72D6" w:rsidRPr="00D26611" w:rsidRDefault="00600A97"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26</w:t>
            </w:r>
          </w:p>
        </w:tc>
        <w:tc>
          <w:tcPr>
            <w:tcW w:w="1694" w:type="dxa"/>
            <w:tcBorders>
              <w:top w:val="nil"/>
              <w:left w:val="nil"/>
              <w:bottom w:val="single" w:sz="4" w:space="0" w:color="auto"/>
              <w:right w:val="single" w:sz="4" w:space="0" w:color="auto"/>
            </w:tcBorders>
            <w:shd w:val="clear" w:color="auto" w:fill="C6EFCE"/>
            <w:noWrap/>
          </w:tcPr>
          <w:p w14:paraId="40D1D518" w14:textId="77777777" w:rsidR="00183158" w:rsidRPr="00D26611" w:rsidRDefault="005D1BB8"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К2.Р1: </w:t>
            </w:r>
          </w:p>
          <w:p w14:paraId="190F5BB2" w14:textId="6DFA9277" w:rsidR="00EE72D6" w:rsidRPr="00D26611" w:rsidRDefault="00EE72D6"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Обща политика за развитие на научните изследвания и иновациите </w:t>
            </w:r>
          </w:p>
        </w:tc>
        <w:tc>
          <w:tcPr>
            <w:tcW w:w="1130" w:type="dxa"/>
            <w:tcBorders>
              <w:top w:val="nil"/>
              <w:left w:val="nil"/>
              <w:bottom w:val="single" w:sz="4" w:space="0" w:color="auto"/>
              <w:right w:val="single" w:sz="4" w:space="0" w:color="auto"/>
            </w:tcBorders>
            <w:shd w:val="clear" w:color="auto" w:fill="C6EFCE"/>
            <w:noWrap/>
          </w:tcPr>
          <w:p w14:paraId="7D3D7EB9" w14:textId="77777777" w:rsidR="00EE72D6" w:rsidRPr="00D26611" w:rsidRDefault="00EE72D6"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Ключов етап</w:t>
            </w:r>
          </w:p>
        </w:tc>
        <w:tc>
          <w:tcPr>
            <w:tcW w:w="1836" w:type="dxa"/>
            <w:tcBorders>
              <w:top w:val="nil"/>
              <w:left w:val="nil"/>
              <w:bottom w:val="single" w:sz="4" w:space="0" w:color="auto"/>
              <w:right w:val="single" w:sz="4" w:space="0" w:color="auto"/>
            </w:tcBorders>
            <w:shd w:val="clear" w:color="auto" w:fill="C6EFCE"/>
            <w:noWrap/>
          </w:tcPr>
          <w:p w14:paraId="3B336EDA" w14:textId="1D9B14EA" w:rsidR="00EE72D6" w:rsidRPr="00D26611" w:rsidRDefault="00754901"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Изменени и влезли в сила законодателни актове, посочени в доклада за необходимите изменения на други законодателни актове / влезли в сила подзаконодателни актове </w:t>
            </w:r>
          </w:p>
        </w:tc>
        <w:tc>
          <w:tcPr>
            <w:tcW w:w="1977" w:type="dxa"/>
            <w:tcBorders>
              <w:top w:val="nil"/>
              <w:left w:val="nil"/>
              <w:bottom w:val="single" w:sz="4" w:space="0" w:color="auto"/>
              <w:right w:val="single" w:sz="4" w:space="0" w:color="auto"/>
            </w:tcBorders>
            <w:shd w:val="clear" w:color="auto" w:fill="C6EFCE"/>
            <w:noWrap/>
          </w:tcPr>
          <w:p w14:paraId="3F306D8C" w14:textId="6B0110D3" w:rsidR="00EE72D6" w:rsidRPr="00D26611" w:rsidRDefault="00BF6BDC"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Законови разпоредби, указващи влизането в сила на всички законодателни актове, посочени в доклада за измененията на други законодателни актове (ключов етап 24) и на всички необходими вторични законодателни актове, свързани със Закона за научните изследвания и иновациите</w:t>
            </w:r>
          </w:p>
        </w:tc>
        <w:tc>
          <w:tcPr>
            <w:tcW w:w="1130" w:type="dxa"/>
            <w:tcBorders>
              <w:top w:val="nil"/>
              <w:left w:val="nil"/>
              <w:bottom w:val="single" w:sz="4" w:space="0" w:color="auto"/>
              <w:right w:val="single" w:sz="4" w:space="0" w:color="auto"/>
            </w:tcBorders>
            <w:shd w:val="clear" w:color="auto" w:fill="C6EFCE"/>
            <w:noWrap/>
          </w:tcPr>
          <w:p w14:paraId="3FE77138" w14:textId="77777777" w:rsidR="00EE72D6" w:rsidRPr="008A0F8A" w:rsidRDefault="00EE72D6" w:rsidP="00066694">
            <w:pPr>
              <w:spacing w:after="0" w:line="240" w:lineRule="auto"/>
              <w:rPr>
                <w:rFonts w:ascii="Times New Roman" w:hAnsi="Times New Roman" w:cs="Times New Roman"/>
                <w:noProof/>
                <w:color w:val="006100"/>
                <w:sz w:val="20"/>
                <w:szCs w:val="20"/>
                <w:lang w:val="ru-RU"/>
              </w:rPr>
            </w:pPr>
          </w:p>
        </w:tc>
        <w:tc>
          <w:tcPr>
            <w:tcW w:w="988" w:type="dxa"/>
            <w:tcBorders>
              <w:top w:val="nil"/>
              <w:left w:val="nil"/>
              <w:bottom w:val="single" w:sz="4" w:space="0" w:color="auto"/>
              <w:right w:val="single" w:sz="4" w:space="0" w:color="auto"/>
            </w:tcBorders>
            <w:shd w:val="clear" w:color="auto" w:fill="C6EFCE"/>
            <w:noWrap/>
          </w:tcPr>
          <w:p w14:paraId="2CEF579F" w14:textId="77777777" w:rsidR="00EE72D6" w:rsidRPr="008A0F8A" w:rsidRDefault="00EE72D6" w:rsidP="00066694">
            <w:pPr>
              <w:spacing w:after="0" w:line="240" w:lineRule="auto"/>
              <w:rPr>
                <w:rFonts w:ascii="Times New Roman" w:hAnsi="Times New Roman" w:cs="Times New Roman"/>
                <w:noProof/>
                <w:color w:val="006100"/>
                <w:sz w:val="20"/>
                <w:szCs w:val="20"/>
                <w:lang w:val="ru-RU"/>
              </w:rPr>
            </w:pPr>
          </w:p>
        </w:tc>
        <w:tc>
          <w:tcPr>
            <w:tcW w:w="745" w:type="dxa"/>
            <w:tcBorders>
              <w:top w:val="nil"/>
              <w:left w:val="nil"/>
              <w:bottom w:val="single" w:sz="4" w:space="0" w:color="auto"/>
              <w:right w:val="single" w:sz="4" w:space="0" w:color="auto"/>
            </w:tcBorders>
            <w:shd w:val="clear" w:color="auto" w:fill="C6EFCE"/>
            <w:noWrap/>
          </w:tcPr>
          <w:p w14:paraId="75014646" w14:textId="77777777" w:rsidR="00EE72D6" w:rsidRPr="008A0F8A" w:rsidRDefault="00EE72D6" w:rsidP="00066694">
            <w:pPr>
              <w:spacing w:after="0" w:line="240" w:lineRule="auto"/>
              <w:rPr>
                <w:rFonts w:ascii="Times New Roman" w:hAnsi="Times New Roman" w:cs="Times New Roman"/>
                <w:noProof/>
                <w:color w:val="006100"/>
                <w:sz w:val="20"/>
                <w:szCs w:val="20"/>
                <w:lang w:val="ru-RU"/>
              </w:rPr>
            </w:pPr>
          </w:p>
        </w:tc>
        <w:tc>
          <w:tcPr>
            <w:tcW w:w="992" w:type="dxa"/>
            <w:tcBorders>
              <w:top w:val="nil"/>
              <w:left w:val="nil"/>
              <w:bottom w:val="single" w:sz="4" w:space="0" w:color="auto"/>
              <w:right w:val="single" w:sz="4" w:space="0" w:color="auto"/>
            </w:tcBorders>
            <w:shd w:val="clear" w:color="auto" w:fill="C6EFCE"/>
            <w:noWrap/>
          </w:tcPr>
          <w:p w14:paraId="4CF1F1A0" w14:textId="77777777" w:rsidR="00EE72D6" w:rsidRPr="00D26611" w:rsidRDefault="00EE72D6"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T4</w:t>
            </w:r>
          </w:p>
        </w:tc>
        <w:tc>
          <w:tcPr>
            <w:tcW w:w="709" w:type="dxa"/>
            <w:tcBorders>
              <w:top w:val="nil"/>
              <w:left w:val="nil"/>
              <w:bottom w:val="single" w:sz="4" w:space="0" w:color="auto"/>
              <w:right w:val="single" w:sz="4" w:space="0" w:color="auto"/>
            </w:tcBorders>
            <w:shd w:val="clear" w:color="auto" w:fill="C6EFCE"/>
            <w:noWrap/>
          </w:tcPr>
          <w:p w14:paraId="78CF6D40" w14:textId="617E2089" w:rsidR="00EE72D6" w:rsidRPr="00D26611" w:rsidRDefault="00754901" w:rsidP="00754901">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2024</w:t>
            </w:r>
          </w:p>
        </w:tc>
        <w:tc>
          <w:tcPr>
            <w:tcW w:w="3741" w:type="dxa"/>
            <w:tcBorders>
              <w:top w:val="nil"/>
              <w:left w:val="nil"/>
              <w:bottom w:val="single" w:sz="4" w:space="0" w:color="auto"/>
              <w:right w:val="single" w:sz="4" w:space="0" w:color="auto"/>
            </w:tcBorders>
            <w:shd w:val="clear" w:color="auto" w:fill="C6EFCE"/>
            <w:noWrap/>
          </w:tcPr>
          <w:p w14:paraId="489F2031" w14:textId="46817C18" w:rsidR="00EE72D6" w:rsidRPr="00D26611" w:rsidRDefault="00EE72D6" w:rsidP="00DC3AAC">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Всички съответни законодателни актове, посочени в доклада за необходимите изменения на други законодателни актове в рамките на ключов етап 24, ще бъдат изменени и влезли в сила. Всички необходими подзаконодателни актове във връзка със ЗНИИ ще бъдат влезли в сила.</w:t>
            </w:r>
          </w:p>
        </w:tc>
      </w:tr>
      <w:tr w:rsidR="006B4967" w:rsidRPr="005241FC" w14:paraId="741D9B78" w14:textId="77777777" w:rsidTr="2146F73B">
        <w:trPr>
          <w:trHeight w:val="309"/>
          <w:jc w:val="center"/>
        </w:trPr>
        <w:tc>
          <w:tcPr>
            <w:tcW w:w="673" w:type="dxa"/>
            <w:tcBorders>
              <w:top w:val="nil"/>
              <w:left w:val="single" w:sz="4" w:space="0" w:color="auto"/>
              <w:bottom w:val="single" w:sz="4" w:space="0" w:color="auto"/>
              <w:right w:val="single" w:sz="4" w:space="0" w:color="auto"/>
            </w:tcBorders>
            <w:shd w:val="clear" w:color="auto" w:fill="C6EFCE"/>
            <w:noWrap/>
            <w:hideMark/>
          </w:tcPr>
          <w:p w14:paraId="5279396B" w14:textId="6FA74B91" w:rsidR="00EE72D6" w:rsidRPr="00D26611" w:rsidRDefault="00600A97"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27</w:t>
            </w:r>
          </w:p>
        </w:tc>
        <w:tc>
          <w:tcPr>
            <w:tcW w:w="1694" w:type="dxa"/>
            <w:tcBorders>
              <w:top w:val="nil"/>
              <w:left w:val="nil"/>
              <w:bottom w:val="single" w:sz="4" w:space="0" w:color="auto"/>
              <w:right w:val="single" w:sz="4" w:space="0" w:color="auto"/>
            </w:tcBorders>
            <w:shd w:val="clear" w:color="auto" w:fill="C6EFCE"/>
            <w:noWrap/>
            <w:hideMark/>
          </w:tcPr>
          <w:p w14:paraId="0F9CA5A6" w14:textId="365F4D85" w:rsidR="00EE72D6" w:rsidRPr="00D26611" w:rsidRDefault="005D1BB8" w:rsidP="005D1BB8">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К2.И1: Програма за ускоряване на икономическото възстановяване и трансформация чрез научни изследвания и иновации</w:t>
            </w:r>
          </w:p>
        </w:tc>
        <w:tc>
          <w:tcPr>
            <w:tcW w:w="1130" w:type="dxa"/>
            <w:tcBorders>
              <w:top w:val="nil"/>
              <w:left w:val="nil"/>
              <w:bottom w:val="single" w:sz="4" w:space="0" w:color="auto"/>
              <w:right w:val="single" w:sz="4" w:space="0" w:color="auto"/>
            </w:tcBorders>
            <w:shd w:val="clear" w:color="auto" w:fill="C6EFCE"/>
            <w:noWrap/>
            <w:hideMark/>
          </w:tcPr>
          <w:p w14:paraId="078B9ABD" w14:textId="77777777" w:rsidR="00EE72D6" w:rsidRPr="00D26611" w:rsidRDefault="00EE72D6"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 Ключов етап </w:t>
            </w:r>
          </w:p>
          <w:p w14:paraId="11BBF870" w14:textId="77777777" w:rsidR="00EE72D6" w:rsidRPr="00D26611" w:rsidRDefault="00EE72D6" w:rsidP="00066694">
            <w:pPr>
              <w:spacing w:after="0" w:line="240" w:lineRule="auto"/>
              <w:rPr>
                <w:rFonts w:ascii="Times New Roman" w:hAnsi="Times New Roman" w:cs="Times New Roman"/>
                <w:noProof/>
                <w:color w:val="006100"/>
                <w:sz w:val="20"/>
                <w:szCs w:val="20"/>
                <w:lang w:val="en-US"/>
              </w:rPr>
            </w:pPr>
          </w:p>
        </w:tc>
        <w:tc>
          <w:tcPr>
            <w:tcW w:w="1836" w:type="dxa"/>
            <w:tcBorders>
              <w:top w:val="nil"/>
              <w:left w:val="nil"/>
              <w:bottom w:val="single" w:sz="4" w:space="0" w:color="auto"/>
              <w:right w:val="single" w:sz="4" w:space="0" w:color="auto"/>
            </w:tcBorders>
            <w:shd w:val="clear" w:color="auto" w:fill="C6EFCE"/>
            <w:noWrap/>
            <w:hideMark/>
          </w:tcPr>
          <w:p w14:paraId="7336A7DE" w14:textId="7C204A57" w:rsidR="00EE72D6" w:rsidRPr="00D26611" w:rsidRDefault="00EE72D6"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Уведомления на подбраните проекти на иновативни МСП и висши учебни заведения и научноизследователски организации</w:t>
            </w:r>
          </w:p>
        </w:tc>
        <w:tc>
          <w:tcPr>
            <w:tcW w:w="1977" w:type="dxa"/>
            <w:tcBorders>
              <w:top w:val="nil"/>
              <w:left w:val="nil"/>
              <w:bottom w:val="single" w:sz="4" w:space="0" w:color="auto"/>
              <w:right w:val="single" w:sz="4" w:space="0" w:color="auto"/>
            </w:tcBorders>
            <w:shd w:val="clear" w:color="auto" w:fill="C6EFCE"/>
            <w:noWrap/>
            <w:hideMark/>
          </w:tcPr>
          <w:p w14:paraId="12D2DEEC" w14:textId="77777777" w:rsidR="00EE72D6" w:rsidRPr="00D26611" w:rsidRDefault="00EE72D6"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Съобщаване на подбора</w:t>
            </w:r>
          </w:p>
        </w:tc>
        <w:tc>
          <w:tcPr>
            <w:tcW w:w="1130" w:type="dxa"/>
            <w:tcBorders>
              <w:top w:val="nil"/>
              <w:left w:val="nil"/>
              <w:bottom w:val="single" w:sz="4" w:space="0" w:color="auto"/>
              <w:right w:val="single" w:sz="4" w:space="0" w:color="auto"/>
            </w:tcBorders>
            <w:shd w:val="clear" w:color="auto" w:fill="C6EFCE"/>
            <w:noWrap/>
          </w:tcPr>
          <w:p w14:paraId="3EBEAD2C" w14:textId="77777777" w:rsidR="00EE72D6" w:rsidRPr="00D26611" w:rsidRDefault="00EE72D6" w:rsidP="00066694">
            <w:pPr>
              <w:spacing w:after="0" w:line="240" w:lineRule="auto"/>
              <w:rPr>
                <w:rFonts w:ascii="Times New Roman" w:hAnsi="Times New Roman" w:cs="Times New Roman"/>
                <w:noProof/>
                <w:color w:val="006100"/>
                <w:sz w:val="20"/>
                <w:szCs w:val="20"/>
                <w:lang w:val="en-US"/>
              </w:rPr>
            </w:pPr>
          </w:p>
        </w:tc>
        <w:tc>
          <w:tcPr>
            <w:tcW w:w="988" w:type="dxa"/>
            <w:tcBorders>
              <w:top w:val="nil"/>
              <w:left w:val="nil"/>
              <w:bottom w:val="single" w:sz="4" w:space="0" w:color="auto"/>
              <w:right w:val="single" w:sz="4" w:space="0" w:color="auto"/>
            </w:tcBorders>
            <w:shd w:val="clear" w:color="auto" w:fill="C6EFCE"/>
            <w:noWrap/>
          </w:tcPr>
          <w:p w14:paraId="3406359F" w14:textId="77777777" w:rsidR="00EE72D6" w:rsidRPr="00D26611" w:rsidRDefault="00EE72D6" w:rsidP="00066694">
            <w:pPr>
              <w:spacing w:after="0" w:line="240" w:lineRule="auto"/>
              <w:rPr>
                <w:rFonts w:ascii="Times New Roman" w:hAnsi="Times New Roman" w:cs="Times New Roman"/>
                <w:noProof/>
                <w:color w:val="006100"/>
                <w:sz w:val="20"/>
                <w:szCs w:val="20"/>
                <w:lang w:val="en-US"/>
              </w:rPr>
            </w:pPr>
          </w:p>
        </w:tc>
        <w:tc>
          <w:tcPr>
            <w:tcW w:w="745" w:type="dxa"/>
            <w:tcBorders>
              <w:top w:val="nil"/>
              <w:left w:val="nil"/>
              <w:bottom w:val="single" w:sz="4" w:space="0" w:color="auto"/>
              <w:right w:val="single" w:sz="4" w:space="0" w:color="auto"/>
            </w:tcBorders>
            <w:shd w:val="clear" w:color="auto" w:fill="C6EFCE"/>
            <w:noWrap/>
            <w:hideMark/>
          </w:tcPr>
          <w:p w14:paraId="6D43D6EC" w14:textId="77777777" w:rsidR="00EE72D6" w:rsidRPr="00D26611" w:rsidRDefault="00EE72D6"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w:t>
            </w:r>
          </w:p>
        </w:tc>
        <w:tc>
          <w:tcPr>
            <w:tcW w:w="992" w:type="dxa"/>
            <w:tcBorders>
              <w:top w:val="nil"/>
              <w:left w:val="nil"/>
              <w:bottom w:val="single" w:sz="4" w:space="0" w:color="auto"/>
              <w:right w:val="single" w:sz="4" w:space="0" w:color="auto"/>
            </w:tcBorders>
            <w:shd w:val="clear" w:color="auto" w:fill="C6EFCE"/>
            <w:noWrap/>
            <w:hideMark/>
          </w:tcPr>
          <w:p w14:paraId="5E99047C" w14:textId="6C468371" w:rsidR="00EE72D6" w:rsidRPr="00D26611" w:rsidRDefault="42AF0B84"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T2</w:t>
            </w:r>
          </w:p>
        </w:tc>
        <w:tc>
          <w:tcPr>
            <w:tcW w:w="709" w:type="dxa"/>
            <w:tcBorders>
              <w:top w:val="nil"/>
              <w:left w:val="nil"/>
              <w:bottom w:val="single" w:sz="4" w:space="0" w:color="auto"/>
              <w:right w:val="single" w:sz="4" w:space="0" w:color="auto"/>
            </w:tcBorders>
            <w:shd w:val="clear" w:color="auto" w:fill="C6EFCE"/>
            <w:noWrap/>
            <w:hideMark/>
          </w:tcPr>
          <w:p w14:paraId="2F4DE07D" w14:textId="77777777" w:rsidR="00EE72D6" w:rsidRPr="00D26611" w:rsidRDefault="00EE72D6"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2023</w:t>
            </w:r>
          </w:p>
        </w:tc>
        <w:tc>
          <w:tcPr>
            <w:tcW w:w="3741" w:type="dxa"/>
            <w:tcBorders>
              <w:top w:val="nil"/>
              <w:left w:val="nil"/>
              <w:bottom w:val="single" w:sz="4" w:space="0" w:color="auto"/>
              <w:right w:val="single" w:sz="4" w:space="0" w:color="auto"/>
            </w:tcBorders>
            <w:shd w:val="clear" w:color="auto" w:fill="C6EFCE"/>
            <w:noWrap/>
            <w:hideMark/>
          </w:tcPr>
          <w:p w14:paraId="59A9F446" w14:textId="44D530C0" w:rsidR="00EE72D6" w:rsidRPr="00D26611" w:rsidRDefault="00EE72D6"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Уведомления за подбраните проекти ще бъдат изпратени на предложенията за проекти на иновативните малки и средни предприятия, получили знака за качество „Печат за високи постижения“, и на висшите учебни заведения за „Хоризонт Европа“. </w:t>
            </w:r>
          </w:p>
          <w:p w14:paraId="680D0B9A" w14:textId="77777777" w:rsidR="00EE72D6" w:rsidRPr="008A0F8A" w:rsidRDefault="00EE72D6" w:rsidP="00066694">
            <w:pPr>
              <w:spacing w:after="0" w:line="240" w:lineRule="auto"/>
              <w:rPr>
                <w:rFonts w:ascii="Times New Roman" w:hAnsi="Times New Roman" w:cs="Times New Roman"/>
                <w:noProof/>
                <w:color w:val="006100"/>
                <w:sz w:val="20"/>
                <w:szCs w:val="20"/>
                <w:lang w:val="ru-RU"/>
              </w:rPr>
            </w:pPr>
          </w:p>
          <w:p w14:paraId="27975827" w14:textId="1714CAC7" w:rsidR="00EE72D6" w:rsidRPr="00D26611" w:rsidRDefault="00EE72D6"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Уведомления за подбраните проекти ще бъдат изпратени на предложенията за новаторски проекти на български висши учебни заведения и научноизследователски организации, които не са получили европейско финансиране по линия на разширяването на участието и разпространяването на компонента за високи постижения на Европейската рамкова програма за научни изследвания и иновации „Хоризонт Европа“, по-специално „Туининг“.</w:t>
            </w:r>
            <w:r>
              <w:rPr>
                <w:rFonts w:ascii="Times New Roman" w:hAnsi="Times New Roman"/>
                <w:noProof/>
                <w:color w:val="006100"/>
                <w:sz w:val="20"/>
              </w:rPr>
              <w:br/>
            </w:r>
            <w:r>
              <w:rPr>
                <w:rFonts w:ascii="Times New Roman" w:hAnsi="Times New Roman"/>
                <w:noProof/>
                <w:color w:val="006100"/>
                <w:sz w:val="20"/>
              </w:rPr>
              <w:br/>
              <w:t>Критериите за подбор ще осигурят, чрез посочен в описанието на мярката списък на изключените дейности/активи и изискване за спазване на съответното законодателство на ЕС и национално законодателство в областта на околната среда, приоритет на проектите в областта на опазването на околната среда и цифровите технологии, както и съответствие с техническите насоки „Ненанасяне на значителни вреди“ (2021/C58/01).</w:t>
            </w:r>
          </w:p>
        </w:tc>
      </w:tr>
      <w:tr w:rsidR="006B4967" w:rsidRPr="005241FC" w14:paraId="35957903" w14:textId="77777777" w:rsidTr="2146F73B">
        <w:trPr>
          <w:trHeight w:val="309"/>
          <w:jc w:val="center"/>
        </w:trPr>
        <w:tc>
          <w:tcPr>
            <w:tcW w:w="673" w:type="dxa"/>
            <w:tcBorders>
              <w:top w:val="nil"/>
              <w:left w:val="single" w:sz="4" w:space="0" w:color="auto"/>
              <w:bottom w:val="single" w:sz="4" w:space="0" w:color="auto"/>
              <w:right w:val="single" w:sz="4" w:space="0" w:color="auto"/>
            </w:tcBorders>
            <w:shd w:val="clear" w:color="auto" w:fill="C6EFCE"/>
            <w:noWrap/>
            <w:hideMark/>
          </w:tcPr>
          <w:p w14:paraId="2EE2397D" w14:textId="5CF7FD64" w:rsidR="00EE72D6" w:rsidRPr="00D26611" w:rsidRDefault="00600A97"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28</w:t>
            </w:r>
          </w:p>
        </w:tc>
        <w:tc>
          <w:tcPr>
            <w:tcW w:w="1694" w:type="dxa"/>
            <w:tcBorders>
              <w:top w:val="nil"/>
              <w:left w:val="nil"/>
              <w:bottom w:val="single" w:sz="4" w:space="0" w:color="auto"/>
              <w:right w:val="single" w:sz="4" w:space="0" w:color="auto"/>
            </w:tcBorders>
            <w:shd w:val="clear" w:color="auto" w:fill="C6EFCE"/>
            <w:noWrap/>
            <w:hideMark/>
          </w:tcPr>
          <w:p w14:paraId="37C443A8" w14:textId="2125FA1C" w:rsidR="00EE72D6" w:rsidRPr="00D26611" w:rsidRDefault="005D1BB8"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К2.И1: Програма за ускоряване на икономическото възстановяване и трансформация чрез научни изследвания и иновации</w:t>
            </w:r>
          </w:p>
        </w:tc>
        <w:tc>
          <w:tcPr>
            <w:tcW w:w="1130" w:type="dxa"/>
            <w:tcBorders>
              <w:top w:val="nil"/>
              <w:left w:val="nil"/>
              <w:bottom w:val="single" w:sz="4" w:space="0" w:color="auto"/>
              <w:right w:val="single" w:sz="4" w:space="0" w:color="auto"/>
            </w:tcBorders>
            <w:shd w:val="clear" w:color="auto" w:fill="C6EFCE"/>
            <w:noWrap/>
            <w:hideMark/>
          </w:tcPr>
          <w:p w14:paraId="7F64564D" w14:textId="77777777" w:rsidR="00EE72D6" w:rsidRPr="00D26611" w:rsidRDefault="00EE72D6"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Цел</w:t>
            </w:r>
          </w:p>
        </w:tc>
        <w:tc>
          <w:tcPr>
            <w:tcW w:w="1836" w:type="dxa"/>
            <w:tcBorders>
              <w:top w:val="nil"/>
              <w:left w:val="nil"/>
              <w:bottom w:val="single" w:sz="4" w:space="0" w:color="auto"/>
              <w:right w:val="single" w:sz="4" w:space="0" w:color="auto"/>
            </w:tcBorders>
            <w:shd w:val="clear" w:color="auto" w:fill="C6EFCE"/>
            <w:noWrap/>
            <w:hideMark/>
          </w:tcPr>
          <w:p w14:paraId="474FB2BF" w14:textId="77777777" w:rsidR="00EE72D6" w:rsidRPr="00D26611" w:rsidRDefault="00EE72D6"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Подбрани проекти на иновативни МСП и висши учебни заведения и научноизследователски организации </w:t>
            </w:r>
          </w:p>
        </w:tc>
        <w:tc>
          <w:tcPr>
            <w:tcW w:w="1977" w:type="dxa"/>
            <w:tcBorders>
              <w:top w:val="nil"/>
              <w:left w:val="nil"/>
              <w:bottom w:val="single" w:sz="4" w:space="0" w:color="auto"/>
              <w:right w:val="single" w:sz="4" w:space="0" w:color="auto"/>
            </w:tcBorders>
            <w:shd w:val="clear" w:color="auto" w:fill="C6EFCE"/>
            <w:noWrap/>
            <w:hideMark/>
          </w:tcPr>
          <w:p w14:paraId="57891D15" w14:textId="77777777" w:rsidR="00EE72D6" w:rsidRPr="008A0F8A" w:rsidRDefault="00EE72D6" w:rsidP="00066694">
            <w:pPr>
              <w:spacing w:after="0" w:line="240" w:lineRule="auto"/>
              <w:rPr>
                <w:rFonts w:ascii="Times New Roman" w:hAnsi="Times New Roman" w:cs="Times New Roman"/>
                <w:noProof/>
                <w:color w:val="006100"/>
                <w:sz w:val="20"/>
                <w:szCs w:val="20"/>
                <w:lang w:val="ru-RU"/>
              </w:rPr>
            </w:pPr>
          </w:p>
        </w:tc>
        <w:tc>
          <w:tcPr>
            <w:tcW w:w="1130" w:type="dxa"/>
            <w:tcBorders>
              <w:top w:val="nil"/>
              <w:left w:val="nil"/>
              <w:bottom w:val="single" w:sz="4" w:space="0" w:color="auto"/>
              <w:right w:val="single" w:sz="4" w:space="0" w:color="auto"/>
            </w:tcBorders>
            <w:shd w:val="clear" w:color="auto" w:fill="C6EFCE"/>
            <w:noWrap/>
            <w:hideMark/>
          </w:tcPr>
          <w:p w14:paraId="422D8459" w14:textId="77777777" w:rsidR="00EE72D6" w:rsidRPr="00D26611" w:rsidRDefault="00EE72D6"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Брой</w:t>
            </w:r>
          </w:p>
        </w:tc>
        <w:tc>
          <w:tcPr>
            <w:tcW w:w="988" w:type="dxa"/>
            <w:tcBorders>
              <w:top w:val="nil"/>
              <w:left w:val="nil"/>
              <w:bottom w:val="single" w:sz="4" w:space="0" w:color="auto"/>
              <w:right w:val="single" w:sz="4" w:space="0" w:color="auto"/>
            </w:tcBorders>
            <w:shd w:val="clear" w:color="auto" w:fill="C6EFCE"/>
            <w:noWrap/>
            <w:hideMark/>
          </w:tcPr>
          <w:p w14:paraId="673B1C60" w14:textId="77777777" w:rsidR="00EE72D6" w:rsidRPr="00D26611" w:rsidRDefault="00EE72D6"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0</w:t>
            </w:r>
          </w:p>
        </w:tc>
        <w:tc>
          <w:tcPr>
            <w:tcW w:w="745" w:type="dxa"/>
            <w:tcBorders>
              <w:top w:val="nil"/>
              <w:left w:val="nil"/>
              <w:bottom w:val="single" w:sz="4" w:space="0" w:color="auto"/>
              <w:right w:val="single" w:sz="4" w:space="0" w:color="auto"/>
            </w:tcBorders>
            <w:shd w:val="clear" w:color="auto" w:fill="C6EFCE"/>
            <w:noWrap/>
            <w:hideMark/>
          </w:tcPr>
          <w:p w14:paraId="61BC8B1B" w14:textId="60BD116F" w:rsidR="00EE72D6" w:rsidRPr="00D26611" w:rsidRDefault="00FE2B74"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16</w:t>
            </w:r>
          </w:p>
        </w:tc>
        <w:tc>
          <w:tcPr>
            <w:tcW w:w="992" w:type="dxa"/>
            <w:tcBorders>
              <w:top w:val="nil"/>
              <w:left w:val="nil"/>
              <w:bottom w:val="single" w:sz="4" w:space="0" w:color="auto"/>
              <w:right w:val="single" w:sz="4" w:space="0" w:color="auto"/>
            </w:tcBorders>
            <w:shd w:val="clear" w:color="auto" w:fill="C6EFCE"/>
            <w:noWrap/>
            <w:hideMark/>
          </w:tcPr>
          <w:p w14:paraId="19316ACB" w14:textId="77777777" w:rsidR="00EE72D6" w:rsidRPr="00D26611" w:rsidRDefault="00EE72D6"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T2</w:t>
            </w:r>
          </w:p>
        </w:tc>
        <w:tc>
          <w:tcPr>
            <w:tcW w:w="709" w:type="dxa"/>
            <w:tcBorders>
              <w:top w:val="nil"/>
              <w:left w:val="nil"/>
              <w:bottom w:val="single" w:sz="4" w:space="0" w:color="auto"/>
              <w:right w:val="single" w:sz="4" w:space="0" w:color="auto"/>
            </w:tcBorders>
            <w:shd w:val="clear" w:color="auto" w:fill="C6EFCE"/>
            <w:noWrap/>
            <w:hideMark/>
          </w:tcPr>
          <w:p w14:paraId="17DABB60" w14:textId="77777777" w:rsidR="00EE72D6" w:rsidRPr="00D26611" w:rsidRDefault="00EE72D6"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2026</w:t>
            </w:r>
          </w:p>
        </w:tc>
        <w:tc>
          <w:tcPr>
            <w:tcW w:w="3741" w:type="dxa"/>
            <w:tcBorders>
              <w:top w:val="nil"/>
              <w:left w:val="nil"/>
              <w:bottom w:val="single" w:sz="4" w:space="0" w:color="auto"/>
              <w:right w:val="single" w:sz="4" w:space="0" w:color="auto"/>
            </w:tcBorders>
            <w:shd w:val="clear" w:color="auto" w:fill="C6EFCE"/>
            <w:noWrap/>
          </w:tcPr>
          <w:p w14:paraId="3D530C3F" w14:textId="24B5BB09" w:rsidR="00EE72D6" w:rsidRPr="00D26611" w:rsidRDefault="00EE72D6"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Завършени проекти в съответствие с изискванията на ключов етап 27. Те включват 13 проекта на иновативни МСП и 3 проекта с туининг. </w:t>
            </w:r>
          </w:p>
          <w:p w14:paraId="286B407B" w14:textId="77777777" w:rsidR="00EE72D6" w:rsidRPr="008A0F8A" w:rsidRDefault="00EE72D6" w:rsidP="00066694">
            <w:pPr>
              <w:spacing w:after="0" w:line="240" w:lineRule="auto"/>
              <w:rPr>
                <w:rFonts w:ascii="Times New Roman" w:hAnsi="Times New Roman" w:cs="Times New Roman"/>
                <w:noProof/>
                <w:color w:val="006100"/>
                <w:sz w:val="20"/>
                <w:szCs w:val="20"/>
                <w:lang w:val="ru-RU"/>
              </w:rPr>
            </w:pPr>
          </w:p>
        </w:tc>
      </w:tr>
      <w:tr w:rsidR="006B4967" w:rsidRPr="005241FC" w14:paraId="37211BD2" w14:textId="77777777" w:rsidTr="2146F73B">
        <w:trPr>
          <w:trHeight w:val="309"/>
          <w:jc w:val="center"/>
        </w:trPr>
        <w:tc>
          <w:tcPr>
            <w:tcW w:w="673" w:type="dxa"/>
            <w:tcBorders>
              <w:top w:val="single" w:sz="4" w:space="0" w:color="auto"/>
              <w:left w:val="single" w:sz="4" w:space="0" w:color="auto"/>
              <w:bottom w:val="single" w:sz="4" w:space="0" w:color="auto"/>
              <w:right w:val="single" w:sz="4" w:space="0" w:color="auto"/>
            </w:tcBorders>
            <w:shd w:val="clear" w:color="auto" w:fill="C6EFCE"/>
            <w:noWrap/>
          </w:tcPr>
          <w:p w14:paraId="4250491F" w14:textId="4262CB48" w:rsidR="00EE72D6" w:rsidRPr="00D26611" w:rsidRDefault="00600A97"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29</w:t>
            </w:r>
          </w:p>
        </w:tc>
        <w:tc>
          <w:tcPr>
            <w:tcW w:w="1694" w:type="dxa"/>
            <w:tcBorders>
              <w:top w:val="single" w:sz="4" w:space="0" w:color="auto"/>
              <w:left w:val="nil"/>
              <w:bottom w:val="single" w:sz="4" w:space="0" w:color="auto"/>
              <w:right w:val="single" w:sz="4" w:space="0" w:color="auto"/>
            </w:tcBorders>
            <w:shd w:val="clear" w:color="auto" w:fill="C6EFCE"/>
            <w:noWrap/>
          </w:tcPr>
          <w:p w14:paraId="1D120CB8" w14:textId="3C38069D" w:rsidR="00EE72D6" w:rsidRPr="00D26611" w:rsidRDefault="005D1BB8"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К2.И1: Програма за ускоряване на икономическото възстановяване и трансформация чрез научни изследвания и иновации</w:t>
            </w:r>
          </w:p>
        </w:tc>
        <w:tc>
          <w:tcPr>
            <w:tcW w:w="1130" w:type="dxa"/>
            <w:tcBorders>
              <w:top w:val="single" w:sz="4" w:space="0" w:color="auto"/>
              <w:left w:val="nil"/>
              <w:bottom w:val="single" w:sz="4" w:space="0" w:color="auto"/>
              <w:right w:val="single" w:sz="4" w:space="0" w:color="auto"/>
            </w:tcBorders>
            <w:shd w:val="clear" w:color="auto" w:fill="C6EFCE"/>
            <w:noWrap/>
          </w:tcPr>
          <w:p w14:paraId="587EBC3E" w14:textId="77777777" w:rsidR="00EE72D6" w:rsidRPr="00D26611" w:rsidRDefault="00EE72D6"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Цел </w:t>
            </w:r>
          </w:p>
        </w:tc>
        <w:tc>
          <w:tcPr>
            <w:tcW w:w="1836" w:type="dxa"/>
            <w:tcBorders>
              <w:top w:val="single" w:sz="4" w:space="0" w:color="auto"/>
              <w:left w:val="nil"/>
              <w:bottom w:val="single" w:sz="4" w:space="0" w:color="auto"/>
              <w:right w:val="single" w:sz="4" w:space="0" w:color="auto"/>
            </w:tcBorders>
            <w:shd w:val="clear" w:color="auto" w:fill="C6EFCE"/>
            <w:noWrap/>
          </w:tcPr>
          <w:p w14:paraId="110888B8" w14:textId="77777777" w:rsidR="00EE72D6" w:rsidRPr="00D26611" w:rsidRDefault="00EE72D6"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Сключване на договори с научноизследователски висши учебни заведения </w:t>
            </w:r>
          </w:p>
        </w:tc>
        <w:tc>
          <w:tcPr>
            <w:tcW w:w="1977" w:type="dxa"/>
            <w:tcBorders>
              <w:top w:val="single" w:sz="4" w:space="0" w:color="auto"/>
              <w:left w:val="nil"/>
              <w:bottom w:val="single" w:sz="4" w:space="0" w:color="auto"/>
              <w:right w:val="single" w:sz="4" w:space="0" w:color="auto"/>
            </w:tcBorders>
            <w:shd w:val="clear" w:color="auto" w:fill="C6EFCE"/>
            <w:noWrap/>
          </w:tcPr>
          <w:p w14:paraId="0F71A76E" w14:textId="77777777" w:rsidR="00EE72D6" w:rsidRPr="008A0F8A" w:rsidRDefault="00EE72D6" w:rsidP="00066694">
            <w:pPr>
              <w:spacing w:after="0" w:line="240" w:lineRule="auto"/>
              <w:rPr>
                <w:rFonts w:ascii="Times New Roman" w:hAnsi="Times New Roman" w:cs="Times New Roman"/>
                <w:noProof/>
                <w:color w:val="006100"/>
                <w:sz w:val="20"/>
                <w:szCs w:val="20"/>
                <w:lang w:val="ru-RU"/>
              </w:rPr>
            </w:pPr>
          </w:p>
        </w:tc>
        <w:tc>
          <w:tcPr>
            <w:tcW w:w="1130" w:type="dxa"/>
            <w:tcBorders>
              <w:top w:val="single" w:sz="4" w:space="0" w:color="auto"/>
              <w:left w:val="nil"/>
              <w:bottom w:val="single" w:sz="4" w:space="0" w:color="auto"/>
              <w:right w:val="single" w:sz="4" w:space="0" w:color="auto"/>
            </w:tcBorders>
            <w:shd w:val="clear" w:color="auto" w:fill="C6EFCE"/>
            <w:noWrap/>
          </w:tcPr>
          <w:p w14:paraId="1630DD5D" w14:textId="77777777" w:rsidR="00EE72D6" w:rsidRPr="00D26611" w:rsidRDefault="00EE72D6"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Брой</w:t>
            </w:r>
          </w:p>
        </w:tc>
        <w:tc>
          <w:tcPr>
            <w:tcW w:w="988" w:type="dxa"/>
            <w:tcBorders>
              <w:top w:val="single" w:sz="4" w:space="0" w:color="auto"/>
              <w:left w:val="nil"/>
              <w:bottom w:val="single" w:sz="4" w:space="0" w:color="auto"/>
              <w:right w:val="single" w:sz="4" w:space="0" w:color="auto"/>
            </w:tcBorders>
            <w:shd w:val="clear" w:color="auto" w:fill="C6EFCE"/>
            <w:noWrap/>
          </w:tcPr>
          <w:p w14:paraId="6BA8E750" w14:textId="77777777" w:rsidR="00EE72D6" w:rsidRPr="00D26611" w:rsidRDefault="00EE72D6"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0</w:t>
            </w:r>
          </w:p>
        </w:tc>
        <w:tc>
          <w:tcPr>
            <w:tcW w:w="745" w:type="dxa"/>
            <w:tcBorders>
              <w:top w:val="single" w:sz="4" w:space="0" w:color="auto"/>
              <w:left w:val="nil"/>
              <w:bottom w:val="single" w:sz="4" w:space="0" w:color="auto"/>
              <w:right w:val="single" w:sz="4" w:space="0" w:color="auto"/>
            </w:tcBorders>
            <w:shd w:val="clear" w:color="auto" w:fill="C6EFCE"/>
            <w:noWrap/>
          </w:tcPr>
          <w:p w14:paraId="49BEE08C" w14:textId="77777777" w:rsidR="00EE72D6" w:rsidRPr="00D26611" w:rsidRDefault="00EE72D6"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9</w:t>
            </w:r>
          </w:p>
        </w:tc>
        <w:tc>
          <w:tcPr>
            <w:tcW w:w="992" w:type="dxa"/>
            <w:tcBorders>
              <w:top w:val="single" w:sz="4" w:space="0" w:color="auto"/>
              <w:left w:val="nil"/>
              <w:bottom w:val="single" w:sz="4" w:space="0" w:color="auto"/>
              <w:right w:val="single" w:sz="4" w:space="0" w:color="auto"/>
            </w:tcBorders>
            <w:shd w:val="clear" w:color="auto" w:fill="C6EFCE"/>
            <w:noWrap/>
          </w:tcPr>
          <w:p w14:paraId="3AB937B2" w14:textId="13A6B599" w:rsidR="00EE72D6" w:rsidRPr="00D26611" w:rsidRDefault="00EE72D6"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T4</w:t>
            </w:r>
          </w:p>
        </w:tc>
        <w:tc>
          <w:tcPr>
            <w:tcW w:w="709" w:type="dxa"/>
            <w:tcBorders>
              <w:top w:val="single" w:sz="4" w:space="0" w:color="auto"/>
              <w:left w:val="nil"/>
              <w:bottom w:val="single" w:sz="4" w:space="0" w:color="auto"/>
              <w:right w:val="single" w:sz="4" w:space="0" w:color="auto"/>
            </w:tcBorders>
            <w:shd w:val="clear" w:color="auto" w:fill="C6EFCE"/>
            <w:noWrap/>
          </w:tcPr>
          <w:p w14:paraId="6E9A8386" w14:textId="77777777" w:rsidR="00EE72D6" w:rsidRPr="00D26611" w:rsidRDefault="00EE72D6"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2022</w:t>
            </w:r>
          </w:p>
        </w:tc>
        <w:tc>
          <w:tcPr>
            <w:tcW w:w="3741" w:type="dxa"/>
            <w:tcBorders>
              <w:top w:val="single" w:sz="4" w:space="0" w:color="auto"/>
              <w:left w:val="nil"/>
              <w:bottom w:val="single" w:sz="4" w:space="0" w:color="auto"/>
              <w:right w:val="single" w:sz="4" w:space="0" w:color="auto"/>
            </w:tcBorders>
            <w:shd w:val="clear" w:color="auto" w:fill="C6EFCE"/>
            <w:noWrap/>
          </w:tcPr>
          <w:p w14:paraId="620B6E7E" w14:textId="77777777" w:rsidR="009A2B7B" w:rsidRPr="00D26611" w:rsidRDefault="00EE72D6" w:rsidP="009A2B7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Подписване на договори с 9 научноизследователски учебни заведения въз основа на решение на Министерски съвет. </w:t>
            </w:r>
          </w:p>
          <w:p w14:paraId="046CA349" w14:textId="77777777" w:rsidR="00EE72D6" w:rsidRPr="008A0F8A" w:rsidRDefault="00EE72D6" w:rsidP="00066694">
            <w:pPr>
              <w:spacing w:after="0" w:line="240" w:lineRule="auto"/>
              <w:rPr>
                <w:rFonts w:ascii="Times New Roman" w:hAnsi="Times New Roman" w:cs="Times New Roman"/>
                <w:noProof/>
                <w:color w:val="006100"/>
                <w:sz w:val="20"/>
                <w:szCs w:val="20"/>
                <w:lang w:val="ru-RU"/>
              </w:rPr>
            </w:pPr>
          </w:p>
          <w:p w14:paraId="56C0E077" w14:textId="2AD12D75" w:rsidR="00EE72D6" w:rsidRPr="00D26611" w:rsidRDefault="00EE72D6"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За процедурата за подбор и последващия мониторинг на програмите за иновации ще се използват рецензенти, а самата процедура и мониторинг ще се извършват от комисия за мониторинг и оценка към Министерството на иновациите и растежа.</w:t>
            </w:r>
          </w:p>
          <w:p w14:paraId="407010DE" w14:textId="77777777" w:rsidR="00EE72D6" w:rsidRPr="008A0F8A" w:rsidRDefault="00EE72D6" w:rsidP="00066694">
            <w:pPr>
              <w:spacing w:after="0" w:line="240" w:lineRule="auto"/>
              <w:rPr>
                <w:rFonts w:ascii="Times New Roman" w:hAnsi="Times New Roman" w:cs="Times New Roman"/>
                <w:noProof/>
                <w:color w:val="006100"/>
                <w:sz w:val="20"/>
                <w:szCs w:val="20"/>
                <w:lang w:val="ru-RU"/>
              </w:rPr>
            </w:pPr>
          </w:p>
          <w:p w14:paraId="2643F41C" w14:textId="77777777" w:rsidR="00EE72D6" w:rsidRPr="00D26611" w:rsidRDefault="00EE72D6"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Във всеки договор ще се определят, въз основа на представените от висшите учебни заведения програми за иновации, условията за дейностите, които ще се извършват с предоставеното финансиране. В програмите ще се посочва, като се взимат предвид равенството между половете и въздействието на иновациите в областта на опазването на околната среда, конкретен план за научноизследователска и развойна дейност и за трансфер на технологии; в тях също така ще се очертава участието на деветте научноизследователски висши учебни заведения в мрежа между тях. </w:t>
            </w:r>
          </w:p>
          <w:p w14:paraId="17F89963" w14:textId="77777777" w:rsidR="00EE72D6" w:rsidRPr="008A0F8A" w:rsidRDefault="00EE72D6" w:rsidP="00066694">
            <w:pPr>
              <w:spacing w:after="0" w:line="240" w:lineRule="auto"/>
              <w:rPr>
                <w:rFonts w:ascii="Times New Roman" w:hAnsi="Times New Roman" w:cs="Times New Roman"/>
                <w:noProof/>
                <w:color w:val="006100"/>
                <w:sz w:val="20"/>
                <w:szCs w:val="20"/>
                <w:lang w:val="ru-RU"/>
              </w:rPr>
            </w:pPr>
          </w:p>
        </w:tc>
      </w:tr>
      <w:tr w:rsidR="0038384E" w:rsidRPr="005241FC" w14:paraId="43012405" w14:textId="77777777" w:rsidTr="2146F73B">
        <w:trPr>
          <w:trHeight w:val="309"/>
          <w:jc w:val="center"/>
        </w:trPr>
        <w:tc>
          <w:tcPr>
            <w:tcW w:w="673" w:type="dxa"/>
            <w:tcBorders>
              <w:top w:val="single" w:sz="4" w:space="0" w:color="auto"/>
              <w:left w:val="single" w:sz="4" w:space="0" w:color="auto"/>
              <w:bottom w:val="single" w:sz="4" w:space="0" w:color="auto"/>
              <w:right w:val="single" w:sz="4" w:space="0" w:color="auto"/>
            </w:tcBorders>
            <w:shd w:val="clear" w:color="auto" w:fill="C6EFCE"/>
            <w:noWrap/>
          </w:tcPr>
          <w:p w14:paraId="20E3EEF5" w14:textId="2478EE0D" w:rsidR="0038384E" w:rsidRDefault="08561806" w:rsidP="0038384E">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29a</w:t>
            </w:r>
          </w:p>
        </w:tc>
        <w:tc>
          <w:tcPr>
            <w:tcW w:w="1694" w:type="dxa"/>
            <w:tcBorders>
              <w:top w:val="single" w:sz="4" w:space="0" w:color="auto"/>
              <w:left w:val="nil"/>
              <w:bottom w:val="single" w:sz="4" w:space="0" w:color="auto"/>
              <w:right w:val="single" w:sz="4" w:space="0" w:color="auto"/>
            </w:tcBorders>
            <w:shd w:val="clear" w:color="auto" w:fill="C6EFCE"/>
            <w:noWrap/>
          </w:tcPr>
          <w:p w14:paraId="6353008C" w14:textId="77777777" w:rsidR="0038384E" w:rsidRDefault="0038384E">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К2.И1: Програма за ускоряване на икономическото възстановяване и трансформация чрез научни изследвания и иновации</w:t>
            </w:r>
          </w:p>
        </w:tc>
        <w:tc>
          <w:tcPr>
            <w:tcW w:w="1130" w:type="dxa"/>
            <w:tcBorders>
              <w:top w:val="single" w:sz="4" w:space="0" w:color="auto"/>
              <w:left w:val="nil"/>
              <w:bottom w:val="single" w:sz="4" w:space="0" w:color="auto"/>
              <w:right w:val="single" w:sz="4" w:space="0" w:color="auto"/>
            </w:tcBorders>
            <w:shd w:val="clear" w:color="auto" w:fill="C6EFCE"/>
            <w:noWrap/>
          </w:tcPr>
          <w:p w14:paraId="0248E902" w14:textId="77777777" w:rsidR="0038384E" w:rsidRDefault="2352E5CA">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Цел </w:t>
            </w:r>
          </w:p>
        </w:tc>
        <w:tc>
          <w:tcPr>
            <w:tcW w:w="1836" w:type="dxa"/>
            <w:tcBorders>
              <w:top w:val="single" w:sz="4" w:space="0" w:color="auto"/>
              <w:left w:val="nil"/>
              <w:bottom w:val="single" w:sz="4" w:space="0" w:color="auto"/>
              <w:right w:val="single" w:sz="4" w:space="0" w:color="auto"/>
            </w:tcBorders>
            <w:shd w:val="clear" w:color="auto" w:fill="C6EFCE"/>
            <w:noWrap/>
          </w:tcPr>
          <w:p w14:paraId="421FA5A7" w14:textId="5CD9F0F8" w:rsidR="0038384E" w:rsidRDefault="1CD47779" w:rsidP="008239F3">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Сключване на договори с научноизследователско висше учебно заведение</w:t>
            </w:r>
          </w:p>
        </w:tc>
        <w:tc>
          <w:tcPr>
            <w:tcW w:w="1977" w:type="dxa"/>
            <w:tcBorders>
              <w:top w:val="single" w:sz="4" w:space="0" w:color="auto"/>
              <w:left w:val="nil"/>
              <w:bottom w:val="single" w:sz="4" w:space="0" w:color="auto"/>
              <w:right w:val="single" w:sz="4" w:space="0" w:color="auto"/>
            </w:tcBorders>
            <w:shd w:val="clear" w:color="auto" w:fill="C6EFCE"/>
            <w:noWrap/>
          </w:tcPr>
          <w:p w14:paraId="5322CCCA" w14:textId="77777777" w:rsidR="0038384E" w:rsidRPr="008A0F8A" w:rsidRDefault="0038384E">
            <w:pPr>
              <w:spacing w:after="0" w:line="240" w:lineRule="auto"/>
              <w:rPr>
                <w:rFonts w:ascii="Times New Roman" w:hAnsi="Times New Roman" w:cs="Times New Roman"/>
                <w:noProof/>
                <w:color w:val="006100"/>
                <w:sz w:val="20"/>
                <w:szCs w:val="20"/>
                <w:lang w:val="ru-RU"/>
              </w:rPr>
            </w:pPr>
          </w:p>
        </w:tc>
        <w:tc>
          <w:tcPr>
            <w:tcW w:w="1130" w:type="dxa"/>
            <w:tcBorders>
              <w:top w:val="single" w:sz="4" w:space="0" w:color="auto"/>
              <w:left w:val="nil"/>
              <w:bottom w:val="single" w:sz="4" w:space="0" w:color="auto"/>
              <w:right w:val="single" w:sz="4" w:space="0" w:color="auto"/>
            </w:tcBorders>
            <w:shd w:val="clear" w:color="auto" w:fill="C6EFCE"/>
            <w:noWrap/>
          </w:tcPr>
          <w:p w14:paraId="7917390C" w14:textId="77777777" w:rsidR="0038384E" w:rsidRDefault="2352E5CA">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Брой</w:t>
            </w:r>
          </w:p>
        </w:tc>
        <w:tc>
          <w:tcPr>
            <w:tcW w:w="988" w:type="dxa"/>
            <w:tcBorders>
              <w:top w:val="single" w:sz="4" w:space="0" w:color="auto"/>
              <w:left w:val="nil"/>
              <w:bottom w:val="single" w:sz="4" w:space="0" w:color="auto"/>
              <w:right w:val="single" w:sz="4" w:space="0" w:color="auto"/>
            </w:tcBorders>
            <w:shd w:val="clear" w:color="auto" w:fill="C6EFCE"/>
            <w:noWrap/>
          </w:tcPr>
          <w:p w14:paraId="0AF46F22" w14:textId="70EDC3E5" w:rsidR="0038384E" w:rsidRDefault="2352E5CA">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9</w:t>
            </w:r>
          </w:p>
        </w:tc>
        <w:tc>
          <w:tcPr>
            <w:tcW w:w="745" w:type="dxa"/>
            <w:tcBorders>
              <w:top w:val="single" w:sz="4" w:space="0" w:color="auto"/>
              <w:left w:val="nil"/>
              <w:bottom w:val="single" w:sz="4" w:space="0" w:color="auto"/>
              <w:right w:val="single" w:sz="4" w:space="0" w:color="auto"/>
            </w:tcBorders>
            <w:shd w:val="clear" w:color="auto" w:fill="C6EFCE"/>
            <w:noWrap/>
          </w:tcPr>
          <w:p w14:paraId="5E5822DF" w14:textId="2434AA6E" w:rsidR="0038384E" w:rsidRDefault="2352E5CA">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10</w:t>
            </w:r>
          </w:p>
        </w:tc>
        <w:tc>
          <w:tcPr>
            <w:tcW w:w="992" w:type="dxa"/>
            <w:tcBorders>
              <w:top w:val="single" w:sz="4" w:space="0" w:color="auto"/>
              <w:left w:val="nil"/>
              <w:bottom w:val="single" w:sz="4" w:space="0" w:color="auto"/>
              <w:right w:val="single" w:sz="4" w:space="0" w:color="auto"/>
            </w:tcBorders>
            <w:shd w:val="clear" w:color="auto" w:fill="C6EFCE"/>
            <w:noWrap/>
          </w:tcPr>
          <w:p w14:paraId="763EB5B3" w14:textId="3A291EE4" w:rsidR="0038384E" w:rsidRDefault="2352E5CA" w:rsidP="007F048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T2</w:t>
            </w:r>
          </w:p>
        </w:tc>
        <w:tc>
          <w:tcPr>
            <w:tcW w:w="709" w:type="dxa"/>
            <w:tcBorders>
              <w:top w:val="single" w:sz="4" w:space="0" w:color="auto"/>
              <w:left w:val="nil"/>
              <w:bottom w:val="single" w:sz="4" w:space="0" w:color="auto"/>
              <w:right w:val="single" w:sz="4" w:space="0" w:color="auto"/>
            </w:tcBorders>
            <w:shd w:val="clear" w:color="auto" w:fill="C6EFCE"/>
            <w:noWrap/>
          </w:tcPr>
          <w:p w14:paraId="5ECD9B6C" w14:textId="63051674" w:rsidR="0038384E" w:rsidRDefault="2352E5CA">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2023</w:t>
            </w:r>
          </w:p>
        </w:tc>
        <w:tc>
          <w:tcPr>
            <w:tcW w:w="3741" w:type="dxa"/>
            <w:tcBorders>
              <w:top w:val="single" w:sz="4" w:space="0" w:color="auto"/>
              <w:left w:val="nil"/>
              <w:bottom w:val="single" w:sz="4" w:space="0" w:color="auto"/>
              <w:right w:val="single" w:sz="4" w:space="0" w:color="auto"/>
            </w:tcBorders>
            <w:shd w:val="clear" w:color="auto" w:fill="C6EFCE"/>
            <w:noWrap/>
          </w:tcPr>
          <w:p w14:paraId="10D060C5" w14:textId="5B3793E8" w:rsidR="0038384E" w:rsidRDefault="3FC39AB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Подписване на договори с един допълнителен университет въз основа на решение на Министерски съвет, като допълнение към списъка с 9 висши учебни заведения, включени в цел 29. </w:t>
            </w:r>
          </w:p>
          <w:p w14:paraId="251D1393" w14:textId="77777777" w:rsidR="0038384E" w:rsidRPr="008A0F8A" w:rsidRDefault="0038384E">
            <w:pPr>
              <w:spacing w:after="0" w:line="240" w:lineRule="auto"/>
              <w:rPr>
                <w:rFonts w:ascii="Times New Roman" w:hAnsi="Times New Roman" w:cs="Times New Roman"/>
                <w:noProof/>
                <w:color w:val="006100"/>
                <w:sz w:val="20"/>
                <w:szCs w:val="20"/>
                <w:lang w:val="ru-RU"/>
              </w:rPr>
            </w:pPr>
          </w:p>
          <w:p w14:paraId="6784B61B" w14:textId="60376415" w:rsidR="0038384E" w:rsidRDefault="2352E5CA">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За процедурата за подбор и последващия мониторинг на програмата за иновации ще се използват рецензенти, а самата процедура и мониторинг ще се извършват от комисия за мониторинг и оценка към Министерството на иновациите и растежа.</w:t>
            </w:r>
          </w:p>
          <w:p w14:paraId="694B237D" w14:textId="77777777" w:rsidR="0038384E" w:rsidRPr="008A0F8A" w:rsidRDefault="0038384E">
            <w:pPr>
              <w:spacing w:after="0" w:line="240" w:lineRule="auto"/>
              <w:rPr>
                <w:rFonts w:ascii="Times New Roman" w:hAnsi="Times New Roman" w:cs="Times New Roman"/>
                <w:noProof/>
                <w:color w:val="006100"/>
                <w:sz w:val="20"/>
                <w:szCs w:val="20"/>
                <w:lang w:val="ru-RU"/>
              </w:rPr>
            </w:pPr>
          </w:p>
          <w:p w14:paraId="029D7204" w14:textId="09598978" w:rsidR="0038384E" w:rsidRDefault="1CD47779">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Въз основа на представената от висшето учебно заведение програма за иновации, в договора ще се определят условията за дейностите, които ще се извършват с предоставеното финансиране. В програмата се определя, като се взимат предвид равенството между половете и въздействието на иновациите в областта на опазването на околната среда, конкретен план за научноизследователска и развойна дейност и за трансфер на технологии; в нея също така се очертава участието в мрежа на десетте научноизследователски висши учебни заведения, обхванати от цел 29 и цел 29а. </w:t>
            </w:r>
          </w:p>
          <w:p w14:paraId="6D2BC3BD" w14:textId="77777777" w:rsidR="0038384E" w:rsidRPr="008A0F8A" w:rsidRDefault="0038384E">
            <w:pPr>
              <w:spacing w:after="0" w:line="240" w:lineRule="auto"/>
              <w:rPr>
                <w:rFonts w:ascii="Times New Roman" w:hAnsi="Times New Roman" w:cs="Times New Roman"/>
                <w:noProof/>
                <w:color w:val="006100"/>
                <w:sz w:val="20"/>
                <w:szCs w:val="20"/>
                <w:lang w:val="ru-RU"/>
              </w:rPr>
            </w:pPr>
          </w:p>
        </w:tc>
      </w:tr>
      <w:tr w:rsidR="006B4967" w:rsidRPr="00D26611" w14:paraId="2B6516D9" w14:textId="77777777" w:rsidTr="2146F73B">
        <w:trPr>
          <w:trHeight w:val="309"/>
          <w:jc w:val="center"/>
        </w:trPr>
        <w:tc>
          <w:tcPr>
            <w:tcW w:w="673" w:type="dxa"/>
            <w:tcBorders>
              <w:top w:val="nil"/>
              <w:left w:val="single" w:sz="4" w:space="0" w:color="auto"/>
              <w:bottom w:val="single" w:sz="4" w:space="0" w:color="auto"/>
              <w:right w:val="single" w:sz="4" w:space="0" w:color="auto"/>
            </w:tcBorders>
            <w:shd w:val="clear" w:color="auto" w:fill="C6EFCE"/>
            <w:noWrap/>
            <w:hideMark/>
          </w:tcPr>
          <w:p w14:paraId="0C350B41" w14:textId="711E8B2F" w:rsidR="00EE72D6" w:rsidRPr="00D26611" w:rsidRDefault="00600A97"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30</w:t>
            </w:r>
          </w:p>
        </w:tc>
        <w:tc>
          <w:tcPr>
            <w:tcW w:w="1694" w:type="dxa"/>
            <w:tcBorders>
              <w:top w:val="nil"/>
              <w:left w:val="nil"/>
              <w:bottom w:val="single" w:sz="4" w:space="0" w:color="auto"/>
              <w:right w:val="single" w:sz="4" w:space="0" w:color="auto"/>
            </w:tcBorders>
            <w:shd w:val="clear" w:color="auto" w:fill="C6EFCE"/>
            <w:noWrap/>
            <w:hideMark/>
          </w:tcPr>
          <w:p w14:paraId="69FD666C" w14:textId="5EA5BBBA" w:rsidR="00EE72D6" w:rsidRPr="00D26611" w:rsidRDefault="005D1BB8"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К2.И1: Програма за ускоряване на икономическото възстановяване и трансформация чрез научни изследвания и иновации</w:t>
            </w:r>
          </w:p>
        </w:tc>
        <w:tc>
          <w:tcPr>
            <w:tcW w:w="1130" w:type="dxa"/>
            <w:tcBorders>
              <w:top w:val="nil"/>
              <w:left w:val="nil"/>
              <w:bottom w:val="single" w:sz="4" w:space="0" w:color="auto"/>
              <w:right w:val="single" w:sz="4" w:space="0" w:color="auto"/>
            </w:tcBorders>
            <w:shd w:val="clear" w:color="auto" w:fill="C6EFCE"/>
            <w:noWrap/>
            <w:hideMark/>
          </w:tcPr>
          <w:p w14:paraId="394F24B6" w14:textId="77777777" w:rsidR="00EE72D6" w:rsidRPr="00D26611" w:rsidRDefault="00EE72D6"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Цел</w:t>
            </w:r>
          </w:p>
        </w:tc>
        <w:tc>
          <w:tcPr>
            <w:tcW w:w="1836" w:type="dxa"/>
            <w:tcBorders>
              <w:top w:val="nil"/>
              <w:left w:val="nil"/>
              <w:bottom w:val="single" w:sz="4" w:space="0" w:color="auto"/>
              <w:right w:val="single" w:sz="4" w:space="0" w:color="auto"/>
            </w:tcBorders>
            <w:shd w:val="clear" w:color="auto" w:fill="C6EFCE"/>
            <w:noWrap/>
            <w:hideMark/>
          </w:tcPr>
          <w:p w14:paraId="2C402E0A" w14:textId="77777777" w:rsidR="00EE72D6" w:rsidRPr="00D26611" w:rsidRDefault="00EE72D6"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Доклади за изпълнението на програмите за иновации </w:t>
            </w:r>
          </w:p>
        </w:tc>
        <w:tc>
          <w:tcPr>
            <w:tcW w:w="1977" w:type="dxa"/>
            <w:tcBorders>
              <w:top w:val="nil"/>
              <w:left w:val="nil"/>
              <w:bottom w:val="single" w:sz="4" w:space="0" w:color="auto"/>
              <w:right w:val="single" w:sz="4" w:space="0" w:color="auto"/>
            </w:tcBorders>
            <w:shd w:val="clear" w:color="auto" w:fill="C6EFCE"/>
            <w:noWrap/>
            <w:hideMark/>
          </w:tcPr>
          <w:p w14:paraId="3532F9E5" w14:textId="77777777" w:rsidR="00EE72D6" w:rsidRPr="008A0F8A" w:rsidRDefault="00EE72D6" w:rsidP="00066694">
            <w:pPr>
              <w:spacing w:after="0" w:line="240" w:lineRule="auto"/>
              <w:rPr>
                <w:rFonts w:ascii="Times New Roman" w:hAnsi="Times New Roman" w:cs="Times New Roman"/>
                <w:noProof/>
                <w:color w:val="006100"/>
                <w:sz w:val="20"/>
                <w:szCs w:val="20"/>
                <w:lang w:val="ru-RU"/>
              </w:rPr>
            </w:pPr>
          </w:p>
        </w:tc>
        <w:tc>
          <w:tcPr>
            <w:tcW w:w="1130" w:type="dxa"/>
            <w:tcBorders>
              <w:top w:val="nil"/>
              <w:left w:val="nil"/>
              <w:bottom w:val="single" w:sz="4" w:space="0" w:color="auto"/>
              <w:right w:val="single" w:sz="4" w:space="0" w:color="auto"/>
            </w:tcBorders>
            <w:shd w:val="clear" w:color="auto" w:fill="C6EFCE"/>
            <w:noWrap/>
            <w:hideMark/>
          </w:tcPr>
          <w:p w14:paraId="7FA98BDF" w14:textId="77777777" w:rsidR="00EE72D6" w:rsidRPr="00D26611" w:rsidRDefault="00EE72D6"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Брой</w:t>
            </w:r>
          </w:p>
        </w:tc>
        <w:tc>
          <w:tcPr>
            <w:tcW w:w="988" w:type="dxa"/>
            <w:tcBorders>
              <w:top w:val="nil"/>
              <w:left w:val="nil"/>
              <w:bottom w:val="single" w:sz="4" w:space="0" w:color="auto"/>
              <w:right w:val="single" w:sz="4" w:space="0" w:color="auto"/>
            </w:tcBorders>
            <w:shd w:val="clear" w:color="auto" w:fill="C6EFCE"/>
            <w:noWrap/>
            <w:hideMark/>
          </w:tcPr>
          <w:p w14:paraId="2667E75E" w14:textId="77777777" w:rsidR="00EE72D6" w:rsidRPr="00D26611" w:rsidRDefault="00EE72D6"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0</w:t>
            </w:r>
          </w:p>
        </w:tc>
        <w:tc>
          <w:tcPr>
            <w:tcW w:w="745" w:type="dxa"/>
            <w:tcBorders>
              <w:top w:val="nil"/>
              <w:left w:val="nil"/>
              <w:bottom w:val="single" w:sz="4" w:space="0" w:color="auto"/>
              <w:right w:val="single" w:sz="4" w:space="0" w:color="auto"/>
            </w:tcBorders>
            <w:shd w:val="clear" w:color="auto" w:fill="C6EFCE"/>
            <w:noWrap/>
            <w:hideMark/>
          </w:tcPr>
          <w:p w14:paraId="7B23D6A3" w14:textId="0D862193" w:rsidR="00EE72D6" w:rsidRPr="00D26611" w:rsidRDefault="17C14DC7"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10</w:t>
            </w:r>
          </w:p>
        </w:tc>
        <w:tc>
          <w:tcPr>
            <w:tcW w:w="992" w:type="dxa"/>
            <w:tcBorders>
              <w:top w:val="nil"/>
              <w:left w:val="nil"/>
              <w:bottom w:val="single" w:sz="4" w:space="0" w:color="auto"/>
              <w:right w:val="single" w:sz="4" w:space="0" w:color="auto"/>
            </w:tcBorders>
            <w:shd w:val="clear" w:color="auto" w:fill="C6EFCE"/>
            <w:noWrap/>
            <w:hideMark/>
          </w:tcPr>
          <w:p w14:paraId="28EE3516" w14:textId="35C9A4A4" w:rsidR="00EE72D6" w:rsidRPr="00D26611" w:rsidRDefault="009A2B7B" w:rsidP="009A2B7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T4</w:t>
            </w:r>
          </w:p>
        </w:tc>
        <w:tc>
          <w:tcPr>
            <w:tcW w:w="709" w:type="dxa"/>
            <w:tcBorders>
              <w:top w:val="nil"/>
              <w:left w:val="nil"/>
              <w:bottom w:val="single" w:sz="4" w:space="0" w:color="auto"/>
              <w:right w:val="single" w:sz="4" w:space="0" w:color="auto"/>
            </w:tcBorders>
            <w:shd w:val="clear" w:color="auto" w:fill="C6EFCE"/>
            <w:noWrap/>
            <w:hideMark/>
          </w:tcPr>
          <w:p w14:paraId="557748DC" w14:textId="77777777" w:rsidR="00EE72D6" w:rsidRPr="00D26611" w:rsidRDefault="00EE72D6"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2024</w:t>
            </w:r>
          </w:p>
        </w:tc>
        <w:tc>
          <w:tcPr>
            <w:tcW w:w="3741" w:type="dxa"/>
            <w:tcBorders>
              <w:top w:val="nil"/>
              <w:left w:val="nil"/>
              <w:bottom w:val="single" w:sz="4" w:space="0" w:color="auto"/>
              <w:right w:val="single" w:sz="4" w:space="0" w:color="auto"/>
            </w:tcBorders>
            <w:shd w:val="clear" w:color="auto" w:fill="C6EFCE"/>
            <w:noWrap/>
            <w:hideMark/>
          </w:tcPr>
          <w:p w14:paraId="5C32FEC8" w14:textId="77777777" w:rsidR="00EE72D6" w:rsidRPr="00D26611" w:rsidRDefault="00EE72D6"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В докладите ще се представят резултатите, постигнати от всяко научноизследователско висше учебно заведение. Докладите ще съдържат информация за изпълнените дейности и постигнатите показатели за всяка подпрограма, включена в стратегическите иновационни планове на всяко висше учебно заведение. Докладите ще се одобряват от комисия за мониторинг и оценка. Членовете на комисията ще изготвят доклад за напредъка на всяко научноизследователско висше учебно заведение в изпълнението на своята програма за иновации и ще отправят препоръки за бъдещото изпълнение на тези програми. Докладите ще се публикуват.</w:t>
            </w:r>
          </w:p>
        </w:tc>
      </w:tr>
      <w:tr w:rsidR="006B4967" w:rsidRPr="005241FC" w14:paraId="77BB7C65" w14:textId="77777777" w:rsidTr="2146F73B">
        <w:trPr>
          <w:trHeight w:val="309"/>
          <w:jc w:val="center"/>
        </w:trPr>
        <w:tc>
          <w:tcPr>
            <w:tcW w:w="673" w:type="dxa"/>
            <w:tcBorders>
              <w:top w:val="single" w:sz="4" w:space="0" w:color="auto"/>
              <w:left w:val="single" w:sz="4" w:space="0" w:color="auto"/>
              <w:bottom w:val="single" w:sz="4" w:space="0" w:color="auto"/>
              <w:right w:val="single" w:sz="4" w:space="0" w:color="auto"/>
            </w:tcBorders>
            <w:shd w:val="clear" w:color="auto" w:fill="C6EFCE"/>
            <w:noWrap/>
          </w:tcPr>
          <w:p w14:paraId="602A54A7" w14:textId="65B2A593" w:rsidR="00EE72D6" w:rsidRPr="00D26611" w:rsidRDefault="00600A97"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31</w:t>
            </w:r>
          </w:p>
        </w:tc>
        <w:tc>
          <w:tcPr>
            <w:tcW w:w="1694" w:type="dxa"/>
            <w:tcBorders>
              <w:top w:val="single" w:sz="4" w:space="0" w:color="auto"/>
              <w:left w:val="nil"/>
              <w:bottom w:val="single" w:sz="4" w:space="0" w:color="auto"/>
              <w:right w:val="single" w:sz="4" w:space="0" w:color="auto"/>
            </w:tcBorders>
            <w:shd w:val="clear" w:color="auto" w:fill="C6EFCE"/>
            <w:noWrap/>
          </w:tcPr>
          <w:p w14:paraId="11B6C8B4" w14:textId="77777777" w:rsidR="00183158" w:rsidRPr="00D26611" w:rsidRDefault="005D1BB8" w:rsidP="005D1BB8">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К2.И2: </w:t>
            </w:r>
          </w:p>
          <w:p w14:paraId="52FE71FE" w14:textId="1AA04654" w:rsidR="00EE72D6" w:rsidRPr="00D26611" w:rsidRDefault="00EE72D6" w:rsidP="005D1BB8">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Повишаване на иновационния капацитет на Българската академия на науките</w:t>
            </w:r>
          </w:p>
        </w:tc>
        <w:tc>
          <w:tcPr>
            <w:tcW w:w="1130" w:type="dxa"/>
            <w:tcBorders>
              <w:top w:val="single" w:sz="4" w:space="0" w:color="auto"/>
              <w:left w:val="nil"/>
              <w:bottom w:val="single" w:sz="4" w:space="0" w:color="auto"/>
              <w:right w:val="single" w:sz="4" w:space="0" w:color="auto"/>
            </w:tcBorders>
            <w:shd w:val="clear" w:color="auto" w:fill="C6EFCE"/>
            <w:noWrap/>
          </w:tcPr>
          <w:p w14:paraId="066809A0" w14:textId="77777777" w:rsidR="00EE72D6" w:rsidRPr="00D26611" w:rsidRDefault="00EE72D6"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Ключов етап</w:t>
            </w:r>
          </w:p>
        </w:tc>
        <w:tc>
          <w:tcPr>
            <w:tcW w:w="1836" w:type="dxa"/>
            <w:tcBorders>
              <w:top w:val="single" w:sz="4" w:space="0" w:color="auto"/>
              <w:left w:val="nil"/>
              <w:bottom w:val="single" w:sz="4" w:space="0" w:color="auto"/>
              <w:right w:val="single" w:sz="4" w:space="0" w:color="auto"/>
            </w:tcBorders>
            <w:shd w:val="clear" w:color="auto" w:fill="C6EFCE"/>
            <w:noWrap/>
          </w:tcPr>
          <w:p w14:paraId="6045E543" w14:textId="77777777" w:rsidR="00EE72D6" w:rsidRPr="00D26611" w:rsidRDefault="00EE72D6"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Модернизиран съвместен изследователски център в Българската академия на науките</w:t>
            </w:r>
          </w:p>
        </w:tc>
        <w:tc>
          <w:tcPr>
            <w:tcW w:w="1977" w:type="dxa"/>
            <w:tcBorders>
              <w:top w:val="single" w:sz="4" w:space="0" w:color="auto"/>
              <w:left w:val="nil"/>
              <w:bottom w:val="single" w:sz="4" w:space="0" w:color="auto"/>
              <w:right w:val="single" w:sz="4" w:space="0" w:color="auto"/>
            </w:tcBorders>
            <w:shd w:val="clear" w:color="auto" w:fill="C6EFCE"/>
            <w:noWrap/>
          </w:tcPr>
          <w:p w14:paraId="747926A2" w14:textId="77777777" w:rsidR="00EE72D6" w:rsidRPr="00D26611" w:rsidRDefault="00EE72D6"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Функциониращ модернизиран съвместен изследователски център</w:t>
            </w:r>
          </w:p>
        </w:tc>
        <w:tc>
          <w:tcPr>
            <w:tcW w:w="1130" w:type="dxa"/>
            <w:tcBorders>
              <w:top w:val="single" w:sz="4" w:space="0" w:color="auto"/>
              <w:left w:val="nil"/>
              <w:bottom w:val="single" w:sz="4" w:space="0" w:color="auto"/>
              <w:right w:val="single" w:sz="4" w:space="0" w:color="auto"/>
            </w:tcBorders>
            <w:shd w:val="clear" w:color="auto" w:fill="C6EFCE"/>
            <w:noWrap/>
          </w:tcPr>
          <w:p w14:paraId="66CC193F" w14:textId="77777777" w:rsidR="00EE72D6" w:rsidRPr="008A0F8A" w:rsidRDefault="00EE72D6" w:rsidP="00066694">
            <w:pPr>
              <w:spacing w:after="0" w:line="240" w:lineRule="auto"/>
              <w:rPr>
                <w:rFonts w:ascii="Times New Roman" w:hAnsi="Times New Roman" w:cs="Times New Roman"/>
                <w:noProof/>
                <w:color w:val="006100"/>
                <w:sz w:val="20"/>
                <w:szCs w:val="20"/>
                <w:lang w:val="ru-RU"/>
              </w:rPr>
            </w:pPr>
          </w:p>
        </w:tc>
        <w:tc>
          <w:tcPr>
            <w:tcW w:w="988" w:type="dxa"/>
            <w:tcBorders>
              <w:top w:val="single" w:sz="4" w:space="0" w:color="auto"/>
              <w:left w:val="nil"/>
              <w:bottom w:val="single" w:sz="4" w:space="0" w:color="auto"/>
              <w:right w:val="single" w:sz="4" w:space="0" w:color="auto"/>
            </w:tcBorders>
            <w:shd w:val="clear" w:color="auto" w:fill="C6EFCE"/>
            <w:noWrap/>
          </w:tcPr>
          <w:p w14:paraId="3EF18497" w14:textId="77777777" w:rsidR="00EE72D6" w:rsidRPr="008A0F8A" w:rsidRDefault="00EE72D6" w:rsidP="00066694">
            <w:pPr>
              <w:spacing w:after="0" w:line="240" w:lineRule="auto"/>
              <w:rPr>
                <w:rFonts w:ascii="Times New Roman" w:hAnsi="Times New Roman" w:cs="Times New Roman"/>
                <w:noProof/>
                <w:color w:val="006100"/>
                <w:sz w:val="20"/>
                <w:szCs w:val="20"/>
                <w:lang w:val="ru-RU"/>
              </w:rPr>
            </w:pPr>
          </w:p>
        </w:tc>
        <w:tc>
          <w:tcPr>
            <w:tcW w:w="745" w:type="dxa"/>
            <w:tcBorders>
              <w:top w:val="single" w:sz="4" w:space="0" w:color="auto"/>
              <w:left w:val="nil"/>
              <w:bottom w:val="single" w:sz="4" w:space="0" w:color="auto"/>
              <w:right w:val="single" w:sz="4" w:space="0" w:color="auto"/>
            </w:tcBorders>
            <w:shd w:val="clear" w:color="auto" w:fill="C6EFCE"/>
            <w:noWrap/>
          </w:tcPr>
          <w:p w14:paraId="5278749D" w14:textId="77777777" w:rsidR="00EE72D6" w:rsidRPr="00D26611" w:rsidRDefault="00EE72D6"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w:t>
            </w:r>
          </w:p>
        </w:tc>
        <w:tc>
          <w:tcPr>
            <w:tcW w:w="992" w:type="dxa"/>
            <w:tcBorders>
              <w:top w:val="single" w:sz="4" w:space="0" w:color="auto"/>
              <w:left w:val="nil"/>
              <w:bottom w:val="single" w:sz="4" w:space="0" w:color="auto"/>
              <w:right w:val="single" w:sz="4" w:space="0" w:color="auto"/>
            </w:tcBorders>
            <w:shd w:val="clear" w:color="auto" w:fill="C6EFCE"/>
            <w:noWrap/>
          </w:tcPr>
          <w:p w14:paraId="721E8A1E" w14:textId="77777777" w:rsidR="00EE72D6" w:rsidRPr="00D26611" w:rsidRDefault="00EE72D6"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T1</w:t>
            </w:r>
          </w:p>
        </w:tc>
        <w:tc>
          <w:tcPr>
            <w:tcW w:w="709" w:type="dxa"/>
            <w:tcBorders>
              <w:top w:val="single" w:sz="4" w:space="0" w:color="auto"/>
              <w:left w:val="nil"/>
              <w:bottom w:val="single" w:sz="4" w:space="0" w:color="auto"/>
              <w:right w:val="single" w:sz="4" w:space="0" w:color="auto"/>
            </w:tcBorders>
            <w:shd w:val="clear" w:color="auto" w:fill="C6EFCE"/>
            <w:noWrap/>
          </w:tcPr>
          <w:p w14:paraId="18A58DFF" w14:textId="77777777" w:rsidR="00EE72D6" w:rsidRPr="00D26611" w:rsidRDefault="00EE72D6"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2023</w:t>
            </w:r>
          </w:p>
        </w:tc>
        <w:tc>
          <w:tcPr>
            <w:tcW w:w="3741" w:type="dxa"/>
            <w:tcBorders>
              <w:top w:val="single" w:sz="4" w:space="0" w:color="auto"/>
              <w:left w:val="nil"/>
              <w:bottom w:val="single" w:sz="4" w:space="0" w:color="auto"/>
              <w:right w:val="single" w:sz="4" w:space="0" w:color="auto"/>
            </w:tcBorders>
            <w:shd w:val="clear" w:color="auto" w:fill="C6EFCE"/>
            <w:noWrap/>
          </w:tcPr>
          <w:p w14:paraId="22453519" w14:textId="1A08D954" w:rsidR="00EE72D6" w:rsidRPr="00D26611" w:rsidRDefault="00EE72D6"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При модернизирането на центъра ще се следват препоръките на Съвместния изследователски център [„Стратегическа оценка на българските центрове за квалификация и за високи постижения и препоръки за по-нататъшното им развитие“, 2021 г.]. Центърът ще координира връзката на институтите на Българската академия на науките с представители на деловите среди.</w:t>
            </w:r>
          </w:p>
          <w:p w14:paraId="5412C22B" w14:textId="77777777" w:rsidR="00EE72D6" w:rsidRPr="00D26611" w:rsidRDefault="00EE72D6"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br/>
              <w:t>Модернизирането ще обхваща в основни линии следното:</w:t>
            </w:r>
          </w:p>
          <w:p w14:paraId="6EAFCD66" w14:textId="52D3974B" w:rsidR="00EE72D6" w:rsidRPr="00D26611" w:rsidRDefault="00EE72D6"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увеличаване на броя и на квалификацията на персонала: четирима специалисти, по един за всяка от следните области на компетентност: една област за трансфера на технологии с акцент върху технологиите във връзка са опазването на околната среда и цифровите технологии, и една – за информационните технологии; връзки с деловите среди и с научни колективи и центрове за високи постижения и за квалификация;</w:t>
            </w:r>
          </w:p>
          <w:p w14:paraId="6967C3D4" w14:textId="77777777" w:rsidR="00EE72D6" w:rsidRPr="00D26611" w:rsidRDefault="00EE72D6"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създаване на три съвета за наука и иновации, които да координират дейностите на центъра, като всеки от тях ще бъде с различна специализация и съставен от седем членове. Те ще отговарят за подбора на иновационни проекти и ще наблюдават тяхното изпълнение;</w:t>
            </w:r>
          </w:p>
          <w:p w14:paraId="4CD08CEF" w14:textId="77777777" w:rsidR="00EE72D6" w:rsidRPr="00D26611" w:rsidRDefault="00EE72D6"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 създаване на оперативен електронен портал за комуникация с деловите среди и заинтересованите страни. </w:t>
            </w:r>
          </w:p>
        </w:tc>
      </w:tr>
      <w:tr w:rsidR="006B4967" w:rsidRPr="005241FC" w14:paraId="5E310D11" w14:textId="77777777" w:rsidTr="2146F73B">
        <w:trPr>
          <w:trHeight w:val="309"/>
          <w:jc w:val="center"/>
        </w:trPr>
        <w:tc>
          <w:tcPr>
            <w:tcW w:w="673" w:type="dxa"/>
            <w:tcBorders>
              <w:top w:val="single" w:sz="4" w:space="0" w:color="auto"/>
              <w:left w:val="single" w:sz="4" w:space="0" w:color="auto"/>
              <w:bottom w:val="single" w:sz="4" w:space="0" w:color="auto"/>
              <w:right w:val="single" w:sz="4" w:space="0" w:color="auto"/>
            </w:tcBorders>
            <w:shd w:val="clear" w:color="auto" w:fill="C6EFCE"/>
            <w:noWrap/>
          </w:tcPr>
          <w:p w14:paraId="6EA02B25" w14:textId="504EDDDB" w:rsidR="00EE72D6" w:rsidRPr="00D26611" w:rsidRDefault="00600A97"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32</w:t>
            </w:r>
          </w:p>
        </w:tc>
        <w:tc>
          <w:tcPr>
            <w:tcW w:w="1694" w:type="dxa"/>
            <w:tcBorders>
              <w:top w:val="single" w:sz="4" w:space="0" w:color="auto"/>
              <w:left w:val="nil"/>
              <w:bottom w:val="single" w:sz="4" w:space="0" w:color="auto"/>
              <w:right w:val="single" w:sz="4" w:space="0" w:color="auto"/>
            </w:tcBorders>
            <w:shd w:val="clear" w:color="auto" w:fill="C6EFCE"/>
            <w:noWrap/>
          </w:tcPr>
          <w:p w14:paraId="1BFB9B38" w14:textId="77777777" w:rsidR="00183158" w:rsidRPr="00D26611" w:rsidRDefault="005D1BB8"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К2.И2: </w:t>
            </w:r>
          </w:p>
          <w:p w14:paraId="11A41F68" w14:textId="3104B0B3" w:rsidR="00EE72D6" w:rsidRPr="00D26611" w:rsidRDefault="00EE72D6"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Повишаване на иновационния капацитет на Българската академия на науките</w:t>
            </w:r>
          </w:p>
        </w:tc>
        <w:tc>
          <w:tcPr>
            <w:tcW w:w="1130" w:type="dxa"/>
            <w:tcBorders>
              <w:top w:val="single" w:sz="4" w:space="0" w:color="auto"/>
              <w:left w:val="nil"/>
              <w:bottom w:val="single" w:sz="4" w:space="0" w:color="auto"/>
              <w:right w:val="single" w:sz="4" w:space="0" w:color="auto"/>
            </w:tcBorders>
            <w:shd w:val="clear" w:color="auto" w:fill="C6EFCE"/>
            <w:noWrap/>
          </w:tcPr>
          <w:p w14:paraId="6055A116" w14:textId="77777777" w:rsidR="00EE72D6" w:rsidRPr="00D26611" w:rsidRDefault="00EE72D6"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Ключов етап</w:t>
            </w:r>
          </w:p>
        </w:tc>
        <w:tc>
          <w:tcPr>
            <w:tcW w:w="1836" w:type="dxa"/>
            <w:tcBorders>
              <w:top w:val="single" w:sz="4" w:space="0" w:color="auto"/>
              <w:left w:val="nil"/>
              <w:bottom w:val="single" w:sz="4" w:space="0" w:color="auto"/>
              <w:right w:val="single" w:sz="4" w:space="0" w:color="auto"/>
            </w:tcBorders>
            <w:shd w:val="clear" w:color="auto" w:fill="C6EFCE"/>
            <w:noWrap/>
          </w:tcPr>
          <w:p w14:paraId="5011ADB2" w14:textId="6ED3FC48" w:rsidR="00EE72D6" w:rsidRPr="00D26611" w:rsidRDefault="00EE72D6"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Разгръщане на инфраструктура за квантови комуникации </w:t>
            </w:r>
          </w:p>
        </w:tc>
        <w:tc>
          <w:tcPr>
            <w:tcW w:w="1977" w:type="dxa"/>
            <w:tcBorders>
              <w:top w:val="single" w:sz="4" w:space="0" w:color="auto"/>
              <w:left w:val="nil"/>
              <w:bottom w:val="single" w:sz="4" w:space="0" w:color="auto"/>
              <w:right w:val="single" w:sz="4" w:space="0" w:color="auto"/>
            </w:tcBorders>
            <w:shd w:val="clear" w:color="auto" w:fill="C6EFCE"/>
            <w:noWrap/>
          </w:tcPr>
          <w:p w14:paraId="5141644C" w14:textId="77777777" w:rsidR="00EE72D6" w:rsidRPr="00D26611" w:rsidRDefault="00EE72D6"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Функционираща квантова мрежа и оптичен път</w:t>
            </w:r>
          </w:p>
        </w:tc>
        <w:tc>
          <w:tcPr>
            <w:tcW w:w="1130" w:type="dxa"/>
            <w:tcBorders>
              <w:top w:val="single" w:sz="4" w:space="0" w:color="auto"/>
              <w:left w:val="nil"/>
              <w:bottom w:val="single" w:sz="4" w:space="0" w:color="auto"/>
              <w:right w:val="single" w:sz="4" w:space="0" w:color="auto"/>
            </w:tcBorders>
            <w:shd w:val="clear" w:color="auto" w:fill="C6EFCE"/>
            <w:noWrap/>
          </w:tcPr>
          <w:p w14:paraId="54B1A142" w14:textId="77777777" w:rsidR="00EE72D6" w:rsidRPr="008A0F8A" w:rsidRDefault="00EE72D6" w:rsidP="00066694">
            <w:pPr>
              <w:spacing w:after="0" w:line="240" w:lineRule="auto"/>
              <w:rPr>
                <w:rFonts w:ascii="Times New Roman" w:hAnsi="Times New Roman" w:cs="Times New Roman"/>
                <w:noProof/>
                <w:color w:val="006100"/>
                <w:sz w:val="20"/>
                <w:szCs w:val="20"/>
                <w:lang w:val="ru-RU"/>
              </w:rPr>
            </w:pPr>
          </w:p>
        </w:tc>
        <w:tc>
          <w:tcPr>
            <w:tcW w:w="988" w:type="dxa"/>
            <w:tcBorders>
              <w:top w:val="single" w:sz="4" w:space="0" w:color="auto"/>
              <w:left w:val="nil"/>
              <w:bottom w:val="single" w:sz="4" w:space="0" w:color="auto"/>
              <w:right w:val="single" w:sz="4" w:space="0" w:color="auto"/>
            </w:tcBorders>
            <w:shd w:val="clear" w:color="auto" w:fill="C6EFCE"/>
            <w:noWrap/>
          </w:tcPr>
          <w:p w14:paraId="3D843F29" w14:textId="77777777" w:rsidR="00EE72D6" w:rsidRPr="008A0F8A" w:rsidRDefault="00EE72D6" w:rsidP="00066694">
            <w:pPr>
              <w:spacing w:after="0" w:line="240" w:lineRule="auto"/>
              <w:rPr>
                <w:rFonts w:ascii="Times New Roman" w:hAnsi="Times New Roman" w:cs="Times New Roman"/>
                <w:noProof/>
                <w:color w:val="006100"/>
                <w:sz w:val="20"/>
                <w:szCs w:val="20"/>
                <w:lang w:val="ru-RU"/>
              </w:rPr>
            </w:pPr>
          </w:p>
        </w:tc>
        <w:tc>
          <w:tcPr>
            <w:tcW w:w="745" w:type="dxa"/>
            <w:tcBorders>
              <w:top w:val="single" w:sz="4" w:space="0" w:color="auto"/>
              <w:left w:val="nil"/>
              <w:bottom w:val="single" w:sz="4" w:space="0" w:color="auto"/>
              <w:right w:val="single" w:sz="4" w:space="0" w:color="auto"/>
            </w:tcBorders>
            <w:shd w:val="clear" w:color="auto" w:fill="C6EFCE"/>
            <w:noWrap/>
          </w:tcPr>
          <w:p w14:paraId="1577EE1A" w14:textId="77777777" w:rsidR="00EE72D6" w:rsidRPr="008A0F8A" w:rsidRDefault="00EE72D6" w:rsidP="00066694">
            <w:pPr>
              <w:spacing w:after="0" w:line="240" w:lineRule="auto"/>
              <w:rPr>
                <w:rFonts w:ascii="Times New Roman" w:hAnsi="Times New Roman" w:cs="Times New Roman"/>
                <w:noProof/>
                <w:color w:val="006100"/>
                <w:sz w:val="20"/>
                <w:szCs w:val="20"/>
                <w:lang w:val="ru-RU"/>
              </w:rPr>
            </w:pPr>
          </w:p>
        </w:tc>
        <w:tc>
          <w:tcPr>
            <w:tcW w:w="992" w:type="dxa"/>
            <w:tcBorders>
              <w:top w:val="single" w:sz="4" w:space="0" w:color="auto"/>
              <w:left w:val="nil"/>
              <w:bottom w:val="single" w:sz="4" w:space="0" w:color="auto"/>
              <w:right w:val="single" w:sz="4" w:space="0" w:color="auto"/>
            </w:tcBorders>
            <w:shd w:val="clear" w:color="auto" w:fill="C6EFCE"/>
            <w:noWrap/>
          </w:tcPr>
          <w:p w14:paraId="34F605A2" w14:textId="77777777" w:rsidR="00EE72D6" w:rsidRPr="00D26611" w:rsidRDefault="00EE72D6"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T2</w:t>
            </w:r>
          </w:p>
        </w:tc>
        <w:tc>
          <w:tcPr>
            <w:tcW w:w="709" w:type="dxa"/>
            <w:tcBorders>
              <w:top w:val="single" w:sz="4" w:space="0" w:color="auto"/>
              <w:left w:val="nil"/>
              <w:bottom w:val="single" w:sz="4" w:space="0" w:color="auto"/>
              <w:right w:val="single" w:sz="4" w:space="0" w:color="auto"/>
            </w:tcBorders>
            <w:shd w:val="clear" w:color="auto" w:fill="C6EFCE"/>
            <w:noWrap/>
          </w:tcPr>
          <w:p w14:paraId="5D42D571" w14:textId="77777777" w:rsidR="00EE72D6" w:rsidRPr="00D26611" w:rsidRDefault="00EE72D6"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2023</w:t>
            </w:r>
          </w:p>
        </w:tc>
        <w:tc>
          <w:tcPr>
            <w:tcW w:w="3741" w:type="dxa"/>
            <w:tcBorders>
              <w:top w:val="single" w:sz="4" w:space="0" w:color="auto"/>
              <w:left w:val="nil"/>
              <w:bottom w:val="single" w:sz="4" w:space="0" w:color="auto"/>
              <w:right w:val="single" w:sz="4" w:space="0" w:color="auto"/>
            </w:tcBorders>
            <w:shd w:val="clear" w:color="auto" w:fill="C6EFCE"/>
            <w:noWrap/>
          </w:tcPr>
          <w:p w14:paraId="680335BA" w14:textId="77777777" w:rsidR="00EE72D6" w:rsidRPr="00D26611" w:rsidRDefault="00EE72D6"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Разгръщането на европейската мрежа „квантова комуникационна инфраструктура“ (ККИ) ще обхваща завършването на работата по създаване и привеждане в действие на оптичния път на първата фаза на европейската ККИ. Разгръщането на квантовата мрежа ще се основава на плана за действие за европейска ККИ и на плана за национална ККИ.</w:t>
            </w:r>
          </w:p>
        </w:tc>
      </w:tr>
      <w:tr w:rsidR="006B4967" w:rsidRPr="005241FC" w14:paraId="1B6B4508" w14:textId="77777777" w:rsidTr="2146F73B">
        <w:trPr>
          <w:trHeight w:val="309"/>
          <w:jc w:val="center"/>
        </w:trPr>
        <w:tc>
          <w:tcPr>
            <w:tcW w:w="673" w:type="dxa"/>
            <w:tcBorders>
              <w:top w:val="single" w:sz="4" w:space="0" w:color="auto"/>
              <w:left w:val="single" w:sz="4" w:space="0" w:color="auto"/>
              <w:bottom w:val="single" w:sz="4" w:space="0" w:color="auto"/>
              <w:right w:val="single" w:sz="4" w:space="0" w:color="auto"/>
            </w:tcBorders>
            <w:shd w:val="clear" w:color="auto" w:fill="C6EFCE"/>
            <w:noWrap/>
          </w:tcPr>
          <w:p w14:paraId="1ACF1F9E" w14:textId="685EEA02" w:rsidR="00EE72D6" w:rsidRPr="00D26611" w:rsidRDefault="00600A97"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33</w:t>
            </w:r>
          </w:p>
        </w:tc>
        <w:tc>
          <w:tcPr>
            <w:tcW w:w="1694" w:type="dxa"/>
            <w:tcBorders>
              <w:top w:val="single" w:sz="4" w:space="0" w:color="auto"/>
              <w:left w:val="nil"/>
              <w:bottom w:val="single" w:sz="4" w:space="0" w:color="auto"/>
              <w:right w:val="single" w:sz="4" w:space="0" w:color="auto"/>
            </w:tcBorders>
            <w:shd w:val="clear" w:color="auto" w:fill="C6EFCE"/>
            <w:noWrap/>
          </w:tcPr>
          <w:p w14:paraId="26E4263C" w14:textId="77777777" w:rsidR="00183158" w:rsidRPr="00D26611" w:rsidRDefault="005D1BB8"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К2.И2: </w:t>
            </w:r>
          </w:p>
          <w:p w14:paraId="16FCAD18" w14:textId="7567B6FE" w:rsidR="00EE72D6" w:rsidRPr="00D26611" w:rsidRDefault="00EE72D6"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Повишаване на иновационния капацитет на Българската академия на науките</w:t>
            </w:r>
          </w:p>
        </w:tc>
        <w:tc>
          <w:tcPr>
            <w:tcW w:w="1130" w:type="dxa"/>
            <w:tcBorders>
              <w:top w:val="single" w:sz="4" w:space="0" w:color="auto"/>
              <w:left w:val="nil"/>
              <w:bottom w:val="single" w:sz="4" w:space="0" w:color="auto"/>
              <w:right w:val="single" w:sz="4" w:space="0" w:color="auto"/>
            </w:tcBorders>
            <w:shd w:val="clear" w:color="auto" w:fill="C6EFCE"/>
            <w:noWrap/>
          </w:tcPr>
          <w:p w14:paraId="76892A23" w14:textId="77777777" w:rsidR="00EE72D6" w:rsidRPr="00D26611" w:rsidRDefault="00EE72D6"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Ключов етап</w:t>
            </w:r>
          </w:p>
        </w:tc>
        <w:tc>
          <w:tcPr>
            <w:tcW w:w="1836" w:type="dxa"/>
            <w:tcBorders>
              <w:top w:val="single" w:sz="4" w:space="0" w:color="auto"/>
              <w:left w:val="nil"/>
              <w:bottom w:val="single" w:sz="4" w:space="0" w:color="auto"/>
              <w:right w:val="single" w:sz="4" w:space="0" w:color="auto"/>
            </w:tcBorders>
            <w:shd w:val="clear" w:color="auto" w:fill="C6EFCE"/>
            <w:noWrap/>
          </w:tcPr>
          <w:p w14:paraId="0722784E" w14:textId="77777777" w:rsidR="00EE72D6" w:rsidRPr="00D26611" w:rsidRDefault="00EE72D6"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Обновяване на научноизследователската инфраструктура на Българската академия на науките</w:t>
            </w:r>
          </w:p>
        </w:tc>
        <w:tc>
          <w:tcPr>
            <w:tcW w:w="1977" w:type="dxa"/>
            <w:tcBorders>
              <w:top w:val="single" w:sz="4" w:space="0" w:color="auto"/>
              <w:left w:val="nil"/>
              <w:bottom w:val="single" w:sz="4" w:space="0" w:color="auto"/>
              <w:right w:val="single" w:sz="4" w:space="0" w:color="auto"/>
            </w:tcBorders>
            <w:shd w:val="clear" w:color="auto" w:fill="C6EFCE"/>
            <w:noWrap/>
          </w:tcPr>
          <w:p w14:paraId="506DF7EA" w14:textId="77777777" w:rsidR="00EE72D6" w:rsidRPr="00D26611" w:rsidRDefault="00EE72D6"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Издадени разрешения за обновителни работи и лиценз за въвеждане в експлоатация и експлоатация</w:t>
            </w:r>
          </w:p>
        </w:tc>
        <w:tc>
          <w:tcPr>
            <w:tcW w:w="1130" w:type="dxa"/>
            <w:tcBorders>
              <w:top w:val="single" w:sz="4" w:space="0" w:color="auto"/>
              <w:left w:val="nil"/>
              <w:bottom w:val="single" w:sz="4" w:space="0" w:color="auto"/>
              <w:right w:val="single" w:sz="4" w:space="0" w:color="auto"/>
            </w:tcBorders>
            <w:shd w:val="clear" w:color="auto" w:fill="C6EFCE"/>
            <w:noWrap/>
          </w:tcPr>
          <w:p w14:paraId="25CCB2F6" w14:textId="77777777" w:rsidR="00EE72D6" w:rsidRPr="00D26611" w:rsidRDefault="00EE72D6"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w:t>
            </w:r>
          </w:p>
        </w:tc>
        <w:tc>
          <w:tcPr>
            <w:tcW w:w="988" w:type="dxa"/>
            <w:tcBorders>
              <w:top w:val="single" w:sz="4" w:space="0" w:color="auto"/>
              <w:left w:val="nil"/>
              <w:bottom w:val="single" w:sz="4" w:space="0" w:color="auto"/>
              <w:right w:val="single" w:sz="4" w:space="0" w:color="auto"/>
            </w:tcBorders>
            <w:shd w:val="clear" w:color="auto" w:fill="C6EFCE"/>
            <w:noWrap/>
          </w:tcPr>
          <w:p w14:paraId="38FA50DF" w14:textId="77777777" w:rsidR="00EE72D6" w:rsidRPr="00D26611" w:rsidRDefault="00EE72D6"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w:t>
            </w:r>
          </w:p>
        </w:tc>
        <w:tc>
          <w:tcPr>
            <w:tcW w:w="745" w:type="dxa"/>
            <w:tcBorders>
              <w:top w:val="single" w:sz="4" w:space="0" w:color="auto"/>
              <w:left w:val="nil"/>
              <w:bottom w:val="single" w:sz="4" w:space="0" w:color="auto"/>
              <w:right w:val="single" w:sz="4" w:space="0" w:color="auto"/>
            </w:tcBorders>
            <w:shd w:val="clear" w:color="auto" w:fill="C6EFCE"/>
            <w:noWrap/>
          </w:tcPr>
          <w:p w14:paraId="75FD5C1E" w14:textId="77777777" w:rsidR="00EE72D6" w:rsidRPr="00D26611" w:rsidRDefault="00EE72D6"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w:t>
            </w:r>
          </w:p>
        </w:tc>
        <w:tc>
          <w:tcPr>
            <w:tcW w:w="992" w:type="dxa"/>
            <w:tcBorders>
              <w:top w:val="single" w:sz="4" w:space="0" w:color="auto"/>
              <w:left w:val="nil"/>
              <w:bottom w:val="single" w:sz="4" w:space="0" w:color="auto"/>
              <w:right w:val="single" w:sz="4" w:space="0" w:color="auto"/>
            </w:tcBorders>
            <w:shd w:val="clear" w:color="auto" w:fill="C6EFCE"/>
            <w:noWrap/>
          </w:tcPr>
          <w:p w14:paraId="13C3D453" w14:textId="77777777" w:rsidR="00EE72D6" w:rsidRPr="00D26611" w:rsidRDefault="00EE72D6"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T3</w:t>
            </w:r>
          </w:p>
        </w:tc>
        <w:tc>
          <w:tcPr>
            <w:tcW w:w="709" w:type="dxa"/>
            <w:tcBorders>
              <w:top w:val="single" w:sz="4" w:space="0" w:color="auto"/>
              <w:left w:val="nil"/>
              <w:bottom w:val="single" w:sz="4" w:space="0" w:color="auto"/>
              <w:right w:val="single" w:sz="4" w:space="0" w:color="auto"/>
            </w:tcBorders>
            <w:shd w:val="clear" w:color="auto" w:fill="C6EFCE"/>
            <w:noWrap/>
          </w:tcPr>
          <w:p w14:paraId="5AB53D81" w14:textId="77777777" w:rsidR="00EE72D6" w:rsidRPr="00D26611" w:rsidRDefault="00EE72D6"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2025</w:t>
            </w:r>
          </w:p>
        </w:tc>
        <w:tc>
          <w:tcPr>
            <w:tcW w:w="3741" w:type="dxa"/>
            <w:tcBorders>
              <w:top w:val="single" w:sz="4" w:space="0" w:color="auto"/>
              <w:left w:val="nil"/>
              <w:bottom w:val="single" w:sz="4" w:space="0" w:color="auto"/>
              <w:right w:val="single" w:sz="4" w:space="0" w:color="auto"/>
            </w:tcBorders>
            <w:shd w:val="clear" w:color="auto" w:fill="C6EFCE"/>
            <w:noWrap/>
          </w:tcPr>
          <w:p w14:paraId="4AC24F5B" w14:textId="1B55EF84" w:rsidR="00EE72D6" w:rsidRPr="00D26611" w:rsidRDefault="00EE72D6" w:rsidP="00366085">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Обновяването ще се състои в следните обновителни работи: реконструкция и модернизиране на сградата за приложни изследвания (блок 12 на комплекса на БАН на Четвърти километър); обновяване на сградата на демонстрационния център (блок 29 на комплекса на БАН на Четвърти километър); закупуване на оборудване за научни изследвания, модернизиране на приблизително 4 000 m² изследователска площ, обхващаща 14 научноизследователски института; подобряване на капацитета, скоростта и сигурността на интернет връзките (високоскоростна оптична мрежа) и инсталиране на платформа за защита от атаки тип „отказ от обслужване“ (DDoS), за да се осигури бърз и сигурен пренос на големи количества данни в рамките на – и между – отделните институти на Българската академия на науките.</w:t>
            </w:r>
          </w:p>
        </w:tc>
      </w:tr>
      <w:tr w:rsidR="006B4967" w:rsidRPr="005241FC" w14:paraId="454C896B" w14:textId="77777777" w:rsidTr="2146F73B">
        <w:trPr>
          <w:trHeight w:val="309"/>
          <w:jc w:val="center"/>
        </w:trPr>
        <w:tc>
          <w:tcPr>
            <w:tcW w:w="673" w:type="dxa"/>
            <w:tcBorders>
              <w:top w:val="single" w:sz="4" w:space="0" w:color="auto"/>
              <w:left w:val="single" w:sz="4" w:space="0" w:color="auto"/>
              <w:bottom w:val="single" w:sz="4" w:space="0" w:color="auto"/>
              <w:right w:val="single" w:sz="4" w:space="0" w:color="auto"/>
            </w:tcBorders>
            <w:shd w:val="clear" w:color="auto" w:fill="C6EFCE"/>
            <w:noWrap/>
          </w:tcPr>
          <w:p w14:paraId="7D43F7C1" w14:textId="6F8A547C" w:rsidR="00EE72D6" w:rsidRPr="00D26611" w:rsidRDefault="00600A97"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34</w:t>
            </w:r>
          </w:p>
        </w:tc>
        <w:tc>
          <w:tcPr>
            <w:tcW w:w="1694" w:type="dxa"/>
            <w:tcBorders>
              <w:top w:val="single" w:sz="4" w:space="0" w:color="auto"/>
              <w:left w:val="nil"/>
              <w:bottom w:val="single" w:sz="4" w:space="0" w:color="auto"/>
              <w:right w:val="single" w:sz="4" w:space="0" w:color="auto"/>
            </w:tcBorders>
            <w:shd w:val="clear" w:color="auto" w:fill="C6EFCE"/>
            <w:noWrap/>
          </w:tcPr>
          <w:p w14:paraId="2639CD7C" w14:textId="77777777" w:rsidR="00183158" w:rsidRPr="00D26611" w:rsidRDefault="005D1BB8"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К2.И2: </w:t>
            </w:r>
          </w:p>
          <w:p w14:paraId="33849BA1" w14:textId="5EC427DA" w:rsidR="00EE72D6" w:rsidRPr="00D26611" w:rsidRDefault="00EE72D6"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Повишаване на иновационния капацитет на Българската академия на науките</w:t>
            </w:r>
          </w:p>
        </w:tc>
        <w:tc>
          <w:tcPr>
            <w:tcW w:w="1130" w:type="dxa"/>
            <w:tcBorders>
              <w:top w:val="single" w:sz="4" w:space="0" w:color="auto"/>
              <w:left w:val="nil"/>
              <w:bottom w:val="single" w:sz="4" w:space="0" w:color="auto"/>
              <w:right w:val="single" w:sz="4" w:space="0" w:color="auto"/>
            </w:tcBorders>
            <w:shd w:val="clear" w:color="auto" w:fill="C6EFCE"/>
            <w:noWrap/>
          </w:tcPr>
          <w:p w14:paraId="0153345A" w14:textId="77777777" w:rsidR="00EE72D6" w:rsidRPr="00D26611" w:rsidRDefault="00EE72D6"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Цел</w:t>
            </w:r>
          </w:p>
        </w:tc>
        <w:tc>
          <w:tcPr>
            <w:tcW w:w="1836" w:type="dxa"/>
            <w:tcBorders>
              <w:top w:val="single" w:sz="4" w:space="0" w:color="auto"/>
              <w:left w:val="nil"/>
              <w:bottom w:val="single" w:sz="4" w:space="0" w:color="auto"/>
              <w:right w:val="single" w:sz="4" w:space="0" w:color="auto"/>
            </w:tcBorders>
            <w:shd w:val="clear" w:color="auto" w:fill="C6EFCE"/>
            <w:noWrap/>
          </w:tcPr>
          <w:p w14:paraId="700C1165" w14:textId="77777777" w:rsidR="00EE72D6" w:rsidRPr="00D26611" w:rsidRDefault="00EE72D6"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Приключени научноизследователски проекти в областта на прехода към екосъобразно общество и цифровизация</w:t>
            </w:r>
          </w:p>
        </w:tc>
        <w:tc>
          <w:tcPr>
            <w:tcW w:w="1977" w:type="dxa"/>
            <w:tcBorders>
              <w:top w:val="single" w:sz="4" w:space="0" w:color="auto"/>
              <w:left w:val="nil"/>
              <w:bottom w:val="single" w:sz="4" w:space="0" w:color="auto"/>
              <w:right w:val="single" w:sz="4" w:space="0" w:color="auto"/>
            </w:tcBorders>
            <w:shd w:val="clear" w:color="auto" w:fill="C6EFCE"/>
            <w:noWrap/>
          </w:tcPr>
          <w:p w14:paraId="1A045272" w14:textId="4FAF0305" w:rsidR="00EE72D6" w:rsidRPr="008A0F8A" w:rsidRDefault="00EE72D6" w:rsidP="00066694">
            <w:pPr>
              <w:spacing w:after="0" w:line="240" w:lineRule="auto"/>
              <w:rPr>
                <w:rFonts w:ascii="Times New Roman" w:hAnsi="Times New Roman" w:cs="Times New Roman"/>
                <w:noProof/>
                <w:color w:val="006100"/>
                <w:sz w:val="20"/>
                <w:szCs w:val="20"/>
                <w:lang w:val="ru-RU"/>
              </w:rPr>
            </w:pPr>
          </w:p>
        </w:tc>
        <w:tc>
          <w:tcPr>
            <w:tcW w:w="1130" w:type="dxa"/>
            <w:tcBorders>
              <w:top w:val="single" w:sz="4" w:space="0" w:color="auto"/>
              <w:left w:val="nil"/>
              <w:bottom w:val="single" w:sz="4" w:space="0" w:color="auto"/>
              <w:right w:val="single" w:sz="4" w:space="0" w:color="auto"/>
            </w:tcBorders>
            <w:shd w:val="clear" w:color="auto" w:fill="C6EFCE"/>
            <w:noWrap/>
          </w:tcPr>
          <w:p w14:paraId="32DB9D15" w14:textId="77777777" w:rsidR="00EE72D6" w:rsidRPr="00D26611" w:rsidRDefault="00EE72D6"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Брой</w:t>
            </w:r>
          </w:p>
        </w:tc>
        <w:tc>
          <w:tcPr>
            <w:tcW w:w="988" w:type="dxa"/>
            <w:tcBorders>
              <w:top w:val="single" w:sz="4" w:space="0" w:color="auto"/>
              <w:left w:val="nil"/>
              <w:bottom w:val="single" w:sz="4" w:space="0" w:color="auto"/>
              <w:right w:val="single" w:sz="4" w:space="0" w:color="auto"/>
            </w:tcBorders>
            <w:shd w:val="clear" w:color="auto" w:fill="C6EFCE"/>
            <w:noWrap/>
          </w:tcPr>
          <w:p w14:paraId="2E25F4EA" w14:textId="77777777" w:rsidR="00EE72D6" w:rsidRPr="00D26611" w:rsidRDefault="00EE72D6"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0</w:t>
            </w:r>
          </w:p>
        </w:tc>
        <w:tc>
          <w:tcPr>
            <w:tcW w:w="745" w:type="dxa"/>
            <w:tcBorders>
              <w:top w:val="single" w:sz="4" w:space="0" w:color="auto"/>
              <w:left w:val="nil"/>
              <w:bottom w:val="single" w:sz="4" w:space="0" w:color="auto"/>
              <w:right w:val="single" w:sz="4" w:space="0" w:color="auto"/>
            </w:tcBorders>
            <w:shd w:val="clear" w:color="auto" w:fill="C6EFCE"/>
            <w:noWrap/>
          </w:tcPr>
          <w:p w14:paraId="01317706" w14:textId="77777777" w:rsidR="00EE72D6" w:rsidRPr="00D26611" w:rsidRDefault="00EE72D6"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38</w:t>
            </w:r>
          </w:p>
        </w:tc>
        <w:tc>
          <w:tcPr>
            <w:tcW w:w="992" w:type="dxa"/>
            <w:tcBorders>
              <w:top w:val="single" w:sz="4" w:space="0" w:color="auto"/>
              <w:left w:val="nil"/>
              <w:bottom w:val="single" w:sz="4" w:space="0" w:color="auto"/>
              <w:right w:val="single" w:sz="4" w:space="0" w:color="auto"/>
            </w:tcBorders>
            <w:shd w:val="clear" w:color="auto" w:fill="C6EFCE"/>
            <w:noWrap/>
          </w:tcPr>
          <w:p w14:paraId="61AFD5A1" w14:textId="77777777" w:rsidR="00EE72D6" w:rsidRPr="00D26611" w:rsidRDefault="00EE72D6"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T2</w:t>
            </w:r>
          </w:p>
        </w:tc>
        <w:tc>
          <w:tcPr>
            <w:tcW w:w="709" w:type="dxa"/>
            <w:tcBorders>
              <w:top w:val="single" w:sz="4" w:space="0" w:color="auto"/>
              <w:left w:val="nil"/>
              <w:bottom w:val="single" w:sz="4" w:space="0" w:color="auto"/>
              <w:right w:val="single" w:sz="4" w:space="0" w:color="auto"/>
            </w:tcBorders>
            <w:shd w:val="clear" w:color="auto" w:fill="C6EFCE"/>
            <w:noWrap/>
          </w:tcPr>
          <w:p w14:paraId="31A36106" w14:textId="77777777" w:rsidR="00EE72D6" w:rsidRPr="00D26611" w:rsidRDefault="00EE72D6"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2026</w:t>
            </w:r>
          </w:p>
        </w:tc>
        <w:tc>
          <w:tcPr>
            <w:tcW w:w="3741" w:type="dxa"/>
            <w:tcBorders>
              <w:top w:val="single" w:sz="4" w:space="0" w:color="auto"/>
              <w:left w:val="nil"/>
              <w:bottom w:val="single" w:sz="4" w:space="0" w:color="auto"/>
              <w:right w:val="single" w:sz="4" w:space="0" w:color="auto"/>
            </w:tcBorders>
            <w:shd w:val="clear" w:color="auto" w:fill="C6EFCE"/>
            <w:noWrap/>
          </w:tcPr>
          <w:p w14:paraId="63CDF8D2" w14:textId="77777777" w:rsidR="00EE72D6" w:rsidRPr="00D26611" w:rsidRDefault="00EE72D6"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Завършени научноизследователски проекти в областта на прехода към екосъобразно общество и цифровизация за постигане на седма степен на технологична готовност. Подборът на проекти ще е открит и конкурентен; той ще се извършва от създадените научни съвети и съвети за иновации с помощта на рецензенти. </w:t>
            </w:r>
            <w:r>
              <w:rPr>
                <w:rFonts w:ascii="Times New Roman" w:hAnsi="Times New Roman"/>
                <w:noProof/>
                <w:color w:val="006100"/>
                <w:sz w:val="20"/>
              </w:rPr>
              <w:br/>
            </w:r>
          </w:p>
          <w:p w14:paraId="6FCF81BA" w14:textId="7DAD20D5" w:rsidR="00EE72D6" w:rsidRPr="00D26611" w:rsidRDefault="00EE72D6"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Критериите за подбор ще осигурят, чрез посочен в описанието на мярката списък на изключените дейности/активи и изискване за спазване на съответното законодателство на ЕС и национално законодателство в областта на околната среда, съответствие с техническите насоки „Ненанасяне на значителни вреди“ (2021/C58/01).</w:t>
            </w:r>
          </w:p>
          <w:p w14:paraId="06B0BCED" w14:textId="77777777" w:rsidR="00EE72D6" w:rsidRPr="00D26611" w:rsidRDefault="00EE72D6" w:rsidP="0006669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br/>
              <w:t>Общото финансиране ще бъде 9,14 млн. евро, от които 80 % (7,31 млн. евро) – за проекти във връзка с прехода към екосъобразно общество, и 20 % (1,82 млн. евро) – за проекти във връзка с цифровизацията.</w:t>
            </w:r>
          </w:p>
        </w:tc>
      </w:tr>
    </w:tbl>
    <w:p w14:paraId="6042AFBD" w14:textId="77777777" w:rsidR="00446317" w:rsidRPr="008A0F8A" w:rsidRDefault="00446317" w:rsidP="00446317">
      <w:pPr>
        <w:spacing w:after="0" w:line="240" w:lineRule="auto"/>
        <w:rPr>
          <w:rFonts w:ascii="Times New Roman" w:eastAsia="Times New Roman" w:hAnsi="Times New Roman" w:cs="Times New Roman"/>
          <w:b/>
          <w:bCs/>
          <w:noProof/>
          <w:sz w:val="24"/>
          <w:szCs w:val="24"/>
          <w:lang w:val="ru-RU" w:eastAsia="en-GB"/>
        </w:rPr>
        <w:sectPr w:rsidR="00446317" w:rsidRPr="008A0F8A" w:rsidSect="00B60432">
          <w:headerReference w:type="even" r:id="rId36"/>
          <w:headerReference w:type="default" r:id="rId37"/>
          <w:footerReference w:type="even" r:id="rId38"/>
          <w:footerReference w:type="default" r:id="rId39"/>
          <w:headerReference w:type="first" r:id="rId40"/>
          <w:footerReference w:type="first" r:id="rId41"/>
          <w:pgSz w:w="16839" w:h="11907" w:orient="landscape"/>
          <w:pgMar w:top="1134" w:right="1134" w:bottom="1134" w:left="1134" w:header="567" w:footer="567" w:gutter="0"/>
          <w:cols w:space="720"/>
          <w:docGrid w:linePitch="360"/>
        </w:sectPr>
      </w:pPr>
    </w:p>
    <w:p w14:paraId="4A6743E4" w14:textId="77777777" w:rsidR="007D338F" w:rsidRPr="00562D16" w:rsidRDefault="007D338F" w:rsidP="007D338F">
      <w:pPr>
        <w:keepNext/>
        <w:tabs>
          <w:tab w:val="left" w:pos="850"/>
        </w:tabs>
        <w:spacing w:before="360" w:after="120" w:line="240" w:lineRule="auto"/>
        <w:ind w:left="850" w:hanging="850"/>
        <w:jc w:val="both"/>
        <w:outlineLvl w:val="0"/>
        <w:rPr>
          <w:rFonts w:ascii="Times New Roman" w:eastAsia="Calibri" w:hAnsi="Times New Roman" w:cs="Times New Roman"/>
          <w:b/>
          <w:bCs/>
          <w:smallCaps/>
          <w:noProof/>
          <w:sz w:val="24"/>
          <w:szCs w:val="24"/>
        </w:rPr>
      </w:pPr>
      <w:r>
        <w:rPr>
          <w:rFonts w:ascii="Times New Roman" w:hAnsi="Times New Roman"/>
          <w:b/>
          <w:smallCaps/>
          <w:noProof/>
          <w:sz w:val="24"/>
        </w:rPr>
        <w:tab/>
        <w:t>В. КОМПОНЕНТ 3: Интелигентна промишленост</w:t>
      </w:r>
    </w:p>
    <w:p w14:paraId="76A45FDC" w14:textId="681CB500" w:rsidR="007D338F" w:rsidRPr="00562D16" w:rsidRDefault="007D338F" w:rsidP="007D338F">
      <w:pPr>
        <w:spacing w:before="120" w:after="120" w:line="240" w:lineRule="auto"/>
        <w:ind w:left="850"/>
        <w:jc w:val="both"/>
        <w:rPr>
          <w:rFonts w:ascii="Times New Roman" w:eastAsia="Calibri" w:hAnsi="Times New Roman" w:cs="Times New Roman"/>
          <w:bCs/>
          <w:iCs/>
          <w:noProof/>
          <w:sz w:val="24"/>
        </w:rPr>
      </w:pPr>
      <w:r>
        <w:rPr>
          <w:rFonts w:ascii="Times New Roman" w:hAnsi="Times New Roman"/>
          <w:noProof/>
          <w:sz w:val="24"/>
        </w:rPr>
        <w:t xml:space="preserve">Компонентът „Интелигентна промишленост“ от плана за възстановяване и устойчивост на България има за цел създаване на благоприятни условия и на стимули за частните инвестиции в България. По-специално компонентът има за цел да привлече промишлени инвестиции, да развие промишлени екосистеми и да подкрепя малките и средните предприятия (МСП) и дружествата със средна пазарна капитализация в модернизирането на техните технологии и в прехода към екосъобразни, кръгови и с фокус върху цифровите технологии стопански практики. </w:t>
      </w:r>
    </w:p>
    <w:p w14:paraId="1AFE798E" w14:textId="119F133C" w:rsidR="007D338F" w:rsidRPr="00562D16" w:rsidRDefault="007D338F" w:rsidP="007D338F">
      <w:pPr>
        <w:spacing w:before="120" w:after="120" w:line="240" w:lineRule="auto"/>
        <w:ind w:left="850"/>
        <w:jc w:val="both"/>
        <w:rPr>
          <w:rFonts w:ascii="Times New Roman" w:eastAsia="Calibri" w:hAnsi="Times New Roman" w:cs="Times New Roman"/>
          <w:iCs/>
          <w:noProof/>
          <w:sz w:val="24"/>
        </w:rPr>
      </w:pPr>
      <w:r>
        <w:rPr>
          <w:rFonts w:ascii="Times New Roman" w:hAnsi="Times New Roman"/>
          <w:noProof/>
          <w:sz w:val="24"/>
        </w:rPr>
        <w:t xml:space="preserve">Мерките, включени в компонента, допринасят за изпълнението на специфичната за страната препоръка 3 от 2019 г. („Насочване на икономическата политика, свързана с инвестициите, към научните изследвания и иновациите […] и подобряване на деловата среда“) и специфичната за страната препоръка 3 от 2020 г. („Рационализиране и ускоряване на процедурите за предоставяне на ефективна подкрепа на малките и средните предприятия и самостоятелно заетите лица, както и осигуряване на непрекъснат достъп до финансиране и гъвкави условия за плащане“ […] Инвестиране в екосъобразна дейност и внедряване на цифровите технологии, по-специално в чисто и ефективно производство и използване на енергията и ресурсите). </w:t>
      </w:r>
    </w:p>
    <w:p w14:paraId="2F89EF2A" w14:textId="3058A508" w:rsidR="007D338F" w:rsidRPr="00562D16" w:rsidRDefault="007D338F" w:rsidP="007D338F">
      <w:pPr>
        <w:spacing w:before="120" w:after="120" w:line="240" w:lineRule="auto"/>
        <w:ind w:left="850"/>
        <w:jc w:val="both"/>
        <w:rPr>
          <w:rFonts w:ascii="Times New Roman" w:eastAsia="Calibri" w:hAnsi="Times New Roman" w:cs="Times New Roman"/>
          <w:noProof/>
          <w:sz w:val="24"/>
        </w:rPr>
      </w:pPr>
      <w:r>
        <w:rPr>
          <w:rFonts w:ascii="Times New Roman" w:hAnsi="Times New Roman"/>
          <w:noProof/>
          <w:sz w:val="24"/>
        </w:rPr>
        <w:t xml:space="preserve">Очаква се, че нито една мярка в този компонент не вреди в значителна степен на екологичните цели по смисъла на член 17 от Регламент (ЕС) 2020/852, като се вземат предвид описанието на мерките и стъпките за смекчаване на последиците, определени в плана за възстановяване и устойчивост в съответствие с Техническите насоки на принципа за ненанасяне на значителни вреди (ПНЗВ) (2021/C58/01). </w:t>
      </w:r>
    </w:p>
    <w:p w14:paraId="59A8E909" w14:textId="2688F1AF" w:rsidR="007D338F" w:rsidRPr="00562D16" w:rsidRDefault="00192C2E" w:rsidP="007D338F">
      <w:pPr>
        <w:spacing w:before="120" w:after="120" w:line="240" w:lineRule="auto"/>
        <w:ind w:left="850"/>
        <w:jc w:val="both"/>
        <w:rPr>
          <w:rFonts w:ascii="Times New Roman" w:eastAsia="Calibri" w:hAnsi="Times New Roman" w:cs="Times New Roman"/>
          <w:b/>
          <w:bCs/>
          <w:i/>
          <w:iCs/>
          <w:noProof/>
          <w:color w:val="4F81BD"/>
          <w:sz w:val="24"/>
          <w:szCs w:val="24"/>
        </w:rPr>
      </w:pPr>
      <w:r>
        <w:rPr>
          <w:rFonts w:ascii="Times New Roman" w:hAnsi="Times New Roman"/>
          <w:b/>
          <w:noProof/>
          <w:sz w:val="24"/>
          <w:u w:val="single"/>
        </w:rPr>
        <w:t>В</w:t>
      </w:r>
      <w:r w:rsidR="007D338F">
        <w:rPr>
          <w:rFonts w:ascii="Times New Roman" w:hAnsi="Times New Roman"/>
          <w:b/>
          <w:noProof/>
          <w:sz w:val="24"/>
          <w:u w:val="single"/>
        </w:rPr>
        <w:t xml:space="preserve">.1 </w:t>
      </w:r>
      <w:r w:rsidR="007D338F">
        <w:rPr>
          <w:rFonts w:ascii="Times New Roman" w:hAnsi="Times New Roman"/>
          <w:b/>
          <w:noProof/>
          <w:sz w:val="24"/>
          <w:u w:val="single"/>
        </w:rPr>
        <w:tab/>
        <w:t>Описание на реформите и инвестициите за безвъзмездна финансова подкрепа</w:t>
      </w:r>
    </w:p>
    <w:p w14:paraId="4000E2C0" w14:textId="77777777" w:rsidR="007D338F" w:rsidRPr="008A0F8A" w:rsidRDefault="007D338F" w:rsidP="007D338F">
      <w:pPr>
        <w:spacing w:before="120" w:after="120" w:line="240" w:lineRule="auto"/>
        <w:ind w:left="850"/>
        <w:jc w:val="both"/>
        <w:rPr>
          <w:rFonts w:ascii="Times New Roman" w:eastAsia="Calibri" w:hAnsi="Times New Roman" w:cs="Times New Roman"/>
          <w:iCs/>
          <w:noProof/>
          <w:color w:val="4F81BD"/>
          <w:sz w:val="24"/>
          <w:lang w:val="ru-RU"/>
        </w:rPr>
      </w:pPr>
    </w:p>
    <w:p w14:paraId="7D07A97A" w14:textId="685F1736" w:rsidR="007D338F" w:rsidRPr="00562D16" w:rsidRDefault="00495E01" w:rsidP="00A17CA8">
      <w:pPr>
        <w:pStyle w:val="ListParagraph"/>
        <w:numPr>
          <w:ilvl w:val="0"/>
          <w:numId w:val="65"/>
        </w:numPr>
        <w:spacing w:before="120" w:after="120" w:line="240" w:lineRule="auto"/>
        <w:jc w:val="both"/>
        <w:rPr>
          <w:rFonts w:ascii="Times New Roman" w:eastAsia="Calibri" w:hAnsi="Times New Roman" w:cs="Times New Roman"/>
          <w:noProof/>
          <w:sz w:val="24"/>
          <w:szCs w:val="24"/>
          <w:u w:val="single"/>
        </w:rPr>
      </w:pPr>
      <w:r>
        <w:rPr>
          <w:rFonts w:ascii="Times New Roman" w:hAnsi="Times New Roman"/>
          <w:noProof/>
          <w:sz w:val="24"/>
          <w:u w:val="single"/>
        </w:rPr>
        <w:t>Реформа 1 (К3.Р1): Нормативна уредба с оглед на привличането на промишлени инвестиции и развитието на промишлени екосистеми</w:t>
      </w:r>
    </w:p>
    <w:p w14:paraId="29FDA356" w14:textId="77777777" w:rsidR="007D338F" w:rsidRPr="00562D16" w:rsidRDefault="007D338F" w:rsidP="007D338F">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Целта на реформата е да се създадат благоприятни условия за предприемачите, инвеститорите и научноизследователските институции в индустриалните паркове чрез създаването на нормативна уредба с оглед на развитието на промишлени екосистеми.</w:t>
      </w:r>
    </w:p>
    <w:p w14:paraId="026FD105" w14:textId="77777777" w:rsidR="007D338F" w:rsidRPr="00562D16" w:rsidRDefault="007D338F" w:rsidP="007D338F">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 xml:space="preserve">Това ще се постигне с влизането в сила на Закона за индустриалните паркове, който ще регламентира евентуалната държавна подкрепа и стимули за привличане на инвестиции в индустриалните паркове; ще опрости процедурите за инвестиции в промишлеността; и ще предвиди минимални стандарти за инвестициите в индустриалните паркове, за да могат да бъдат подкрепяни от държавата. </w:t>
      </w:r>
    </w:p>
    <w:p w14:paraId="16B257D4" w14:textId="13BDF7D4" w:rsidR="007D338F" w:rsidRPr="00562D16" w:rsidRDefault="007D338F" w:rsidP="007D338F">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 xml:space="preserve">Изпълнението на реформата ще приключи до 31 март 2021 г. </w:t>
      </w:r>
    </w:p>
    <w:p w14:paraId="52E01D89" w14:textId="77777777" w:rsidR="007D338F" w:rsidRPr="008A0F8A" w:rsidRDefault="007D338F" w:rsidP="007D338F">
      <w:pPr>
        <w:spacing w:before="120" w:after="120" w:line="240" w:lineRule="auto"/>
        <w:ind w:left="850"/>
        <w:jc w:val="both"/>
        <w:rPr>
          <w:rFonts w:ascii="Times New Roman" w:eastAsia="Calibri" w:hAnsi="Times New Roman" w:cs="Times New Roman"/>
          <w:noProof/>
          <w:sz w:val="24"/>
          <w:szCs w:val="24"/>
          <w:lang w:val="ru-RU"/>
        </w:rPr>
      </w:pPr>
    </w:p>
    <w:p w14:paraId="7AD9E01E" w14:textId="6575E5EA" w:rsidR="007D338F" w:rsidRPr="00562D16" w:rsidRDefault="1B9B9D84" w:rsidP="44CC1959">
      <w:pPr>
        <w:pStyle w:val="ListParagraph"/>
        <w:numPr>
          <w:ilvl w:val="0"/>
          <w:numId w:val="65"/>
        </w:num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u w:val="single"/>
        </w:rPr>
        <w:t>Инвестиция 1 (К3.И1): Програма за публична подкрепа за развитието на индустриални райони, паркове и подобни територии и за привличане на инвестиции („AttractInvestBG“)</w:t>
      </w:r>
      <w:r>
        <w:rPr>
          <w:rFonts w:ascii="Times New Roman" w:hAnsi="Times New Roman"/>
          <w:noProof/>
          <w:sz w:val="24"/>
        </w:rPr>
        <w:t xml:space="preserve"> </w:t>
      </w:r>
    </w:p>
    <w:p w14:paraId="1377C674" w14:textId="53BFF5A7" w:rsidR="007D338F" w:rsidRPr="00562D16" w:rsidRDefault="007D338F" w:rsidP="007D338F">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Целта на тези инвестиции е да се стимулира икономическият растеж, да се създадат нови работни места и да се увеличи експортният капацитет на страната чрез създаване на благоприятни условия за инвеститорите в индустриалните паркове. Инвестицията се основава на реформа 1.</w:t>
      </w:r>
    </w:p>
    <w:p w14:paraId="750504D0" w14:textId="77777777" w:rsidR="007D338F" w:rsidRPr="00562D16" w:rsidRDefault="007D338F" w:rsidP="007D338F">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 xml:space="preserve">Инвестицията ще представлява схема за предоставяне на безвъзмездни средства за осигуряване на физическата, научноизследователската и цифровата инфраструктура в индустриалните паркове. </w:t>
      </w:r>
    </w:p>
    <w:p w14:paraId="5C969400" w14:textId="79D94818" w:rsidR="007D338F" w:rsidRPr="00562D16" w:rsidRDefault="007D338F" w:rsidP="007D338F">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 xml:space="preserve">Министерството на иновациите и растежа ще подбере минимум пет индустриални парка или зони (нови, в процес на изграждане или съществуващи) и техните оператори за подкрепа чрез предоставяне на безвъзмездни средства. Процедурата за подбор ще бъде публична, открита и конкурентна; подборът ще се основава на предварително установени ясни критерии. Сред основните критерии за подбор ще спада очакваното въздействие (след анализ) на всеки парк или зона върху икономиката и заетостта. </w:t>
      </w:r>
    </w:p>
    <w:p w14:paraId="17B8A855" w14:textId="121C3263" w:rsidR="007D338F" w:rsidRPr="00562D16" w:rsidRDefault="007D338F" w:rsidP="007D338F">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Потенциалните оператори, кандидатстващи за безвъзмездни средства, ще трябва да включат в заявлението си стратегия за развитие и бизнес план на индустриалния парк или зона, в т.ч. анализ на следните аспекти, включени сред критериите за подбор:</w:t>
      </w:r>
    </w:p>
    <w:p w14:paraId="221E80AD" w14:textId="77777777" w:rsidR="007D338F" w:rsidRPr="00562D16" w:rsidRDefault="007D338F" w:rsidP="007D338F">
      <w:pPr>
        <w:spacing w:before="120" w:after="120" w:line="240" w:lineRule="auto"/>
        <w:ind w:left="1405" w:hanging="555"/>
        <w:jc w:val="both"/>
        <w:rPr>
          <w:rFonts w:ascii="Times New Roman" w:eastAsia="Calibri" w:hAnsi="Times New Roman" w:cs="Times New Roman"/>
          <w:noProof/>
          <w:sz w:val="24"/>
          <w:szCs w:val="24"/>
        </w:rPr>
      </w:pPr>
      <w:r>
        <w:rPr>
          <w:rFonts w:ascii="Times New Roman" w:hAnsi="Times New Roman"/>
          <w:noProof/>
          <w:sz w:val="24"/>
        </w:rPr>
        <w:t>-</w:t>
      </w:r>
      <w:r>
        <w:rPr>
          <w:rFonts w:ascii="Times New Roman" w:hAnsi="Times New Roman"/>
          <w:noProof/>
          <w:sz w:val="24"/>
        </w:rPr>
        <w:tab/>
        <w:t>очакваното въздействие – в т.ч. пряко – на всеки парк или зона върху икономиката и заетостта в региона и в цялата страна;</w:t>
      </w:r>
    </w:p>
    <w:p w14:paraId="073B1E61" w14:textId="77777777" w:rsidR="007D338F" w:rsidRPr="00562D16" w:rsidRDefault="007D338F" w:rsidP="007D338F">
      <w:pPr>
        <w:spacing w:before="120" w:after="120" w:line="240" w:lineRule="auto"/>
        <w:ind w:left="1405" w:hanging="555"/>
        <w:jc w:val="both"/>
        <w:rPr>
          <w:rFonts w:ascii="Times New Roman" w:eastAsia="Calibri" w:hAnsi="Times New Roman" w:cs="Times New Roman"/>
          <w:noProof/>
          <w:sz w:val="24"/>
          <w:szCs w:val="24"/>
        </w:rPr>
      </w:pPr>
      <w:r>
        <w:rPr>
          <w:rFonts w:ascii="Times New Roman" w:hAnsi="Times New Roman"/>
          <w:noProof/>
          <w:sz w:val="24"/>
        </w:rPr>
        <w:t>-</w:t>
      </w:r>
      <w:r>
        <w:rPr>
          <w:rFonts w:ascii="Times New Roman" w:hAnsi="Times New Roman"/>
          <w:noProof/>
          <w:sz w:val="24"/>
        </w:rPr>
        <w:tab/>
        <w:t>вече установените или очакваните да се установят в парка или зоната предприятия – въз основа на ясен анализ;</w:t>
      </w:r>
    </w:p>
    <w:p w14:paraId="02092531" w14:textId="77777777" w:rsidR="007D338F" w:rsidRPr="00562D16" w:rsidRDefault="007D338F" w:rsidP="007D338F">
      <w:pPr>
        <w:spacing w:before="120" w:after="120" w:line="240" w:lineRule="auto"/>
        <w:ind w:left="1405" w:hanging="555"/>
        <w:jc w:val="both"/>
        <w:rPr>
          <w:rFonts w:ascii="Times New Roman" w:eastAsia="Calibri" w:hAnsi="Times New Roman" w:cs="Times New Roman"/>
          <w:noProof/>
          <w:sz w:val="24"/>
          <w:szCs w:val="24"/>
        </w:rPr>
      </w:pPr>
      <w:r>
        <w:rPr>
          <w:rFonts w:ascii="Times New Roman" w:hAnsi="Times New Roman"/>
          <w:noProof/>
          <w:sz w:val="24"/>
        </w:rPr>
        <w:t>-</w:t>
      </w:r>
      <w:r>
        <w:rPr>
          <w:rFonts w:ascii="Times New Roman" w:hAnsi="Times New Roman"/>
          <w:noProof/>
          <w:sz w:val="24"/>
        </w:rPr>
        <w:tab/>
        <w:t>предвидените за всеки парк или зона инфраструктурни работи – в самите тях и извън тях, както и прогнозен бюджет.</w:t>
      </w:r>
    </w:p>
    <w:p w14:paraId="33E473E3" w14:textId="7075A266" w:rsidR="007D338F" w:rsidRPr="00562D16" w:rsidRDefault="005F68B1" w:rsidP="007D338F">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При подготвянето на заявлението си потенциалните оператори се очаква да се допитат до компетентната власт за района на разполагане на парка или зоната (община, регион, друга).</w:t>
      </w:r>
    </w:p>
    <w:p w14:paraId="5E3E8FF3" w14:textId="77777777" w:rsidR="007D338F" w:rsidRPr="00562D16" w:rsidRDefault="007D338F" w:rsidP="007D338F">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Безвъзмездното финансиране ще подпомага изграждането, в полза на всички наематели в парка или зоната, на инфраструктура: техническа инфраструктура (пътища, вода и канализация) и екологична и иновативна инфраструктура (зарядни станции на слънчеви батерии или сгради за лаборатории, които наемателите на парка или зоната ще обновяват).</w:t>
      </w:r>
    </w:p>
    <w:p w14:paraId="4EEDC7EE" w14:textId="0462F39B" w:rsidR="005F3DCF" w:rsidRPr="005F3DCF" w:rsidDel="00451548" w:rsidRDefault="005F3DCF" w:rsidP="005F3DCF">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Критериите за допустимост ще изискват от операторите, извършващи строителството, да се погрижат най-малко 70 % (в тегло) от неопасните отпадъци от строителните и разрушителните работи на дадения обект (с изключение на естествено срещаните материали, определени в категория 17 05 04 от Европейския списък на отпадъците, установен с Решение 2000/532/ЕО на Комисията) да бъдат подготвени за повторна употреба, рециклиране и друго съществено оползотворяване, в т.ч. насипни дейности, при които се използват отпадъци вместо други материали, в съответствие с йерархията на отпадъците и Протокола на ЕС за управление на отпадъците от строителство и разрушаване. Потенциалният оператор ще трябва да ограничава образуването на отпадъци по време на строителството, в съответствие с Протокола на ЕС за управление на отпадъците от строителство и разрушаване и предвид най-добрите налични техники, както и да улеснява повторната употреба и висококачественото рециклиране чрез селективно отстраняване на материалите, като използва наличните системи за подбор на строителните отпадъци.</w:t>
      </w:r>
    </w:p>
    <w:p w14:paraId="0C64FEB4" w14:textId="63282965" w:rsidR="002C2872" w:rsidRDefault="005F3DCF" w:rsidP="002C2872">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 xml:space="preserve"> С оглед на съответствието на мярката с техническите насоки „Ненанасяне на значителни вреди“ (2021/C58/01), критериите за допустимост в техническите спецификации на предстоящите покани за представяне на проекти: </w:t>
      </w:r>
    </w:p>
    <w:p w14:paraId="198BE83B" w14:textId="6F92463F" w:rsidR="002C2872" w:rsidRDefault="002C2872" w:rsidP="00366085">
      <w:pPr>
        <w:pStyle w:val="ListParagraph"/>
        <w:numPr>
          <w:ilvl w:val="0"/>
          <w:numId w:val="19"/>
        </w:numPr>
        <w:spacing w:before="120" w:after="120" w:line="240" w:lineRule="auto"/>
        <w:ind w:left="1210"/>
        <w:jc w:val="both"/>
        <w:rPr>
          <w:rFonts w:ascii="Times New Roman" w:eastAsia="Calibri" w:hAnsi="Times New Roman" w:cs="Times New Roman"/>
          <w:noProof/>
          <w:sz w:val="24"/>
          <w:szCs w:val="24"/>
        </w:rPr>
      </w:pPr>
      <w:r>
        <w:rPr>
          <w:rFonts w:ascii="Times New Roman" w:hAnsi="Times New Roman"/>
          <w:noProof/>
          <w:sz w:val="24"/>
        </w:rPr>
        <w:t>ще изключат следния списък от дейности и активи: i) дейностите и активите, свързани с изкопаеми горива, включително използване надолу по веригата</w:t>
      </w:r>
      <w:r w:rsidRPr="00562D16">
        <w:rPr>
          <w:rStyle w:val="FootnoteReference"/>
          <w:rFonts w:ascii="Times New Roman" w:eastAsia="Calibri" w:hAnsi="Times New Roman" w:cs="Times New Roman"/>
          <w:noProof/>
          <w:sz w:val="24"/>
          <w:szCs w:val="24"/>
          <w:lang w:val="en-US"/>
        </w:rPr>
        <w:footnoteReference w:id="12"/>
      </w:r>
      <w:r>
        <w:rPr>
          <w:rFonts w:ascii="Times New Roman" w:hAnsi="Times New Roman"/>
          <w:noProof/>
          <w:sz w:val="24"/>
        </w:rPr>
        <w:t>; ii) дейностите и активите по схемата на ЕС за търговия с емисии (СТЕ), с които се постигат прогнозните емисии на парникови газове, които не са по-ниски от съответните референтни стойности</w:t>
      </w:r>
      <w:r w:rsidRPr="00562D16">
        <w:rPr>
          <w:rStyle w:val="FootnoteReference"/>
          <w:rFonts w:ascii="Times New Roman" w:eastAsia="Calibri" w:hAnsi="Times New Roman" w:cs="Times New Roman"/>
          <w:noProof/>
          <w:sz w:val="24"/>
          <w:szCs w:val="24"/>
          <w:lang w:val="en-US"/>
        </w:rPr>
        <w:footnoteReference w:id="13"/>
      </w:r>
      <w:r>
        <w:rPr>
          <w:rFonts w:ascii="Times New Roman" w:hAnsi="Times New Roman"/>
          <w:noProof/>
          <w:sz w:val="24"/>
        </w:rPr>
        <w:t>; iii) дейностите и активите, свързани с депата за отпадъци, инсталациите за изгаряне на отпадъци</w:t>
      </w:r>
      <w:r w:rsidRPr="00562D16">
        <w:rPr>
          <w:rStyle w:val="FootnoteReference"/>
          <w:rFonts w:ascii="Times New Roman" w:eastAsia="Calibri" w:hAnsi="Times New Roman" w:cs="Times New Roman"/>
          <w:noProof/>
          <w:sz w:val="24"/>
          <w:szCs w:val="24"/>
          <w:lang w:val="en-US"/>
        </w:rPr>
        <w:footnoteReference w:id="14"/>
      </w:r>
      <w:r>
        <w:rPr>
          <w:rFonts w:ascii="Times New Roman" w:hAnsi="Times New Roman"/>
          <w:noProof/>
          <w:sz w:val="24"/>
        </w:rPr>
        <w:t xml:space="preserve"> и заводите за механично-биологично третиране</w:t>
      </w:r>
      <w:r w:rsidRPr="00562D16">
        <w:rPr>
          <w:rStyle w:val="FootnoteReference"/>
          <w:rFonts w:ascii="Times New Roman" w:eastAsia="Calibri" w:hAnsi="Times New Roman" w:cs="Times New Roman"/>
          <w:noProof/>
          <w:sz w:val="24"/>
          <w:szCs w:val="24"/>
          <w:lang w:val="en-US"/>
        </w:rPr>
        <w:footnoteReference w:id="15"/>
      </w:r>
      <w:r>
        <w:rPr>
          <w:rFonts w:ascii="Times New Roman" w:hAnsi="Times New Roman"/>
          <w:noProof/>
          <w:sz w:val="24"/>
        </w:rPr>
        <w:t>; и iv) дейностите и активите, при които дългосрочното обезвреждане на отпадъци може да причини вреда на околната среда; както и</w:t>
      </w:r>
    </w:p>
    <w:p w14:paraId="21254EDF" w14:textId="3B227B45" w:rsidR="007D338F" w:rsidRPr="00562D16" w:rsidRDefault="002C2872" w:rsidP="00366085">
      <w:pPr>
        <w:pStyle w:val="ListParagraph"/>
        <w:numPr>
          <w:ilvl w:val="0"/>
          <w:numId w:val="19"/>
        </w:numPr>
        <w:spacing w:before="120" w:after="120" w:line="240" w:lineRule="auto"/>
        <w:ind w:left="1210"/>
        <w:jc w:val="both"/>
        <w:rPr>
          <w:rFonts w:ascii="Times New Roman" w:eastAsia="Calibri" w:hAnsi="Times New Roman" w:cs="Times New Roman"/>
          <w:noProof/>
          <w:sz w:val="24"/>
          <w:szCs w:val="24"/>
        </w:rPr>
      </w:pPr>
      <w:r>
        <w:rPr>
          <w:rFonts w:ascii="Times New Roman" w:hAnsi="Times New Roman"/>
          <w:noProof/>
          <w:sz w:val="24"/>
        </w:rPr>
        <w:t>ще изискат да могат да бъдат избирани само дейности, които съблюдават съответното законодателство на ЕС и национално законодателство в областта на околната среда.</w:t>
      </w:r>
    </w:p>
    <w:p w14:paraId="2F4F8293" w14:textId="0A2CCEEF" w:rsidR="007D338F" w:rsidRPr="00562D16" w:rsidRDefault="007D338F" w:rsidP="007D338F">
      <w:pPr>
        <w:spacing w:before="120" w:after="120" w:line="240" w:lineRule="auto"/>
        <w:ind w:left="850"/>
        <w:jc w:val="both"/>
        <w:rPr>
          <w:rFonts w:ascii="Times New Roman" w:eastAsia="Calibri" w:hAnsi="Times New Roman" w:cs="Times New Roman"/>
          <w:iCs/>
          <w:noProof/>
          <w:sz w:val="24"/>
          <w:szCs w:val="24"/>
        </w:rPr>
      </w:pPr>
      <w:r>
        <w:rPr>
          <w:rFonts w:ascii="Times New Roman" w:hAnsi="Times New Roman"/>
          <w:noProof/>
          <w:sz w:val="24"/>
        </w:rPr>
        <w:t>Изпълнението на инвестицията ще приключи до 30 юни 2026 г.</w:t>
      </w:r>
    </w:p>
    <w:p w14:paraId="185118C5" w14:textId="77777777" w:rsidR="007D338F" w:rsidRPr="008A0F8A" w:rsidRDefault="007D338F" w:rsidP="007D338F">
      <w:pPr>
        <w:spacing w:before="120" w:after="120" w:line="240" w:lineRule="auto"/>
        <w:ind w:left="850"/>
        <w:jc w:val="both"/>
        <w:rPr>
          <w:rFonts w:ascii="Times New Roman" w:eastAsia="Calibri" w:hAnsi="Times New Roman" w:cs="Times New Roman"/>
          <w:noProof/>
          <w:sz w:val="24"/>
          <w:szCs w:val="24"/>
          <w:lang w:val="ru-RU"/>
        </w:rPr>
      </w:pPr>
    </w:p>
    <w:p w14:paraId="7A300F76" w14:textId="3E2215F7" w:rsidR="007D338F" w:rsidRPr="00562D16" w:rsidRDefault="007D338F" w:rsidP="007D338F">
      <w:pPr>
        <w:pStyle w:val="ListParagraph"/>
        <w:spacing w:before="120" w:after="120" w:line="240" w:lineRule="auto"/>
        <w:ind w:left="1570"/>
        <w:jc w:val="both"/>
        <w:rPr>
          <w:rFonts w:ascii="Times New Roman" w:eastAsia="Calibri" w:hAnsi="Times New Roman" w:cs="Times New Roman"/>
          <w:noProof/>
          <w:sz w:val="24"/>
          <w:szCs w:val="24"/>
          <w:u w:val="single"/>
        </w:rPr>
      </w:pPr>
      <w:r>
        <w:rPr>
          <w:rFonts w:ascii="Times New Roman" w:hAnsi="Times New Roman"/>
          <w:noProof/>
          <w:sz w:val="24"/>
          <w:u w:val="single"/>
        </w:rPr>
        <w:t xml:space="preserve">Инвестиция 2 (C3.I2): Програма за икономическа трансформация </w:t>
      </w:r>
    </w:p>
    <w:p w14:paraId="20CE102A" w14:textId="77777777" w:rsidR="007D338F" w:rsidRPr="00562D16" w:rsidRDefault="007D338F" w:rsidP="007D338F">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 xml:space="preserve">Целта на програмата за икономическа трансформация е да се подкрепят иновациите и растежът на българските предприятия, по-специално чрез насърчаване на техния преход към екосъобразна дейност и внедряване на цифровите технологии. </w:t>
      </w:r>
    </w:p>
    <w:p w14:paraId="1C4EDD1F" w14:textId="77777777" w:rsidR="007D338F" w:rsidRPr="00562D16" w:rsidRDefault="007D338F" w:rsidP="007D338F">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 xml:space="preserve">С програмата ще се подпомагат българските малки и средни предприятия и дружества със средна пазарна капитализация чрез финансови инструменти и безвъзмездни средства. Програмата ще се състои от три фонда: </w:t>
      </w:r>
    </w:p>
    <w:p w14:paraId="1885BB24" w14:textId="77777777" w:rsidR="007D338F" w:rsidRPr="00562D16" w:rsidRDefault="007D338F" w:rsidP="007D338F">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 xml:space="preserve">Фонд 1 — Растеж и иновации; </w:t>
      </w:r>
    </w:p>
    <w:p w14:paraId="5D69157D" w14:textId="77777777" w:rsidR="007D338F" w:rsidRPr="00562D16" w:rsidRDefault="007D338F" w:rsidP="007D338F">
      <w:pPr>
        <w:spacing w:before="120" w:after="120" w:line="240" w:lineRule="auto"/>
        <w:ind w:left="850"/>
        <w:jc w:val="both"/>
        <w:rPr>
          <w:rFonts w:ascii="Times New Roman" w:eastAsia="Calibri" w:hAnsi="Times New Roman" w:cs="Times New Roman"/>
          <w:iCs/>
          <w:noProof/>
          <w:sz w:val="24"/>
          <w:szCs w:val="24"/>
        </w:rPr>
      </w:pPr>
      <w:r>
        <w:rPr>
          <w:rFonts w:ascii="Times New Roman" w:hAnsi="Times New Roman"/>
          <w:noProof/>
          <w:sz w:val="24"/>
        </w:rPr>
        <w:t>Фонд 2 — Преход към екосъобразност и кръгова икономика;</w:t>
      </w:r>
    </w:p>
    <w:p w14:paraId="236A4C35" w14:textId="77777777" w:rsidR="007D338F" w:rsidRPr="00562D16" w:rsidRDefault="007D338F" w:rsidP="007D338F">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Фонд 3 — Неутралност по отношение на климата и цифрова трансформация.</w:t>
      </w:r>
    </w:p>
    <w:p w14:paraId="3FFA4108" w14:textId="77777777" w:rsidR="007D338F" w:rsidRPr="008A0F8A" w:rsidRDefault="007D338F" w:rsidP="007D338F">
      <w:pPr>
        <w:spacing w:before="120" w:after="120" w:line="240" w:lineRule="auto"/>
        <w:ind w:left="850"/>
        <w:jc w:val="both"/>
        <w:rPr>
          <w:rFonts w:ascii="Times New Roman" w:eastAsia="Calibri" w:hAnsi="Times New Roman" w:cs="Times New Roman"/>
          <w:b/>
          <w:noProof/>
          <w:sz w:val="24"/>
          <w:szCs w:val="24"/>
          <w:lang w:val="ru-RU"/>
        </w:rPr>
      </w:pPr>
    </w:p>
    <w:p w14:paraId="7E9D9716" w14:textId="77777777" w:rsidR="007D338F" w:rsidRPr="00562D16" w:rsidRDefault="007D338F" w:rsidP="007D338F">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Фонд 1 ще се състои от следните инструменти:</w:t>
      </w:r>
    </w:p>
    <w:p w14:paraId="7EBA1642" w14:textId="77777777" w:rsidR="007D338F" w:rsidRPr="00562D16" w:rsidRDefault="007D338F" w:rsidP="00A17CA8">
      <w:pPr>
        <w:pStyle w:val="ListParagraph"/>
        <w:numPr>
          <w:ilvl w:val="0"/>
          <w:numId w:val="65"/>
        </w:numPr>
        <w:spacing w:before="120" w:after="120" w:line="240" w:lineRule="auto"/>
        <w:jc w:val="both"/>
        <w:rPr>
          <w:rFonts w:ascii="Times New Roman" w:eastAsia="Calibri" w:hAnsi="Times New Roman" w:cs="Times New Roman"/>
          <w:noProof/>
          <w:sz w:val="24"/>
          <w:szCs w:val="24"/>
          <w:u w:val="single"/>
        </w:rPr>
      </w:pPr>
      <w:r>
        <w:rPr>
          <w:rFonts w:ascii="Times New Roman" w:hAnsi="Times New Roman"/>
          <w:noProof/>
          <w:sz w:val="24"/>
          <w:u w:val="single"/>
        </w:rPr>
        <w:t xml:space="preserve">Инвестиция 2.1.а — Гаранционен инструмент за растеж </w:t>
      </w:r>
    </w:p>
    <w:p w14:paraId="43F4D823" w14:textId="740B5820" w:rsidR="007D338F" w:rsidRPr="00562D16" w:rsidRDefault="007D338F" w:rsidP="007D338F">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Гаранционният инструмент ще се прилага като вноска за InvestEU от Европейския инвестиционен фонд (ЕИФ) като партньор по прилагането. Чрез предоставянето на портфейлна гаранция инструментът има за цел да намали трудностите, пред които са изправени дружествата при получаването на кредитно финансиране, за да се възстановят бързо от предизвиканата от COVID-19 криза и да могат да разрастват дейността си, постигайки растеж и устойчиво развитие. Гаранционният инструмент ще е предназначен за МСП и малките дружества със средна пазарна капитализация и ще обхваща разни финансови продукти: оборотен капитал, в т.ч. револвиращи кредитни линии, инвестиционни заеми и лизинг.</w:t>
      </w:r>
    </w:p>
    <w:p w14:paraId="2619916C" w14:textId="7240B164" w:rsidR="00466B9D" w:rsidRDefault="007D338F" w:rsidP="007D338F">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 xml:space="preserve">С оглед на спазването от инвестицията на техническите насоки „Ненанасяне на значителни вреди“ (2021/C58/01), споразумението за финансово участие между Европейската комисия и българското правителство: </w:t>
      </w:r>
    </w:p>
    <w:p w14:paraId="2F75AAC5" w14:textId="5CB88F42" w:rsidR="00466B9D" w:rsidRDefault="00466B9D" w:rsidP="00366085">
      <w:pPr>
        <w:pStyle w:val="ListParagraph"/>
        <w:numPr>
          <w:ilvl w:val="0"/>
          <w:numId w:val="19"/>
        </w:numPr>
        <w:spacing w:before="120" w:after="120" w:line="240" w:lineRule="auto"/>
        <w:ind w:left="1267"/>
        <w:jc w:val="both"/>
        <w:rPr>
          <w:rFonts w:ascii="Times New Roman" w:eastAsia="Calibri" w:hAnsi="Times New Roman" w:cs="Times New Roman"/>
          <w:noProof/>
          <w:sz w:val="24"/>
          <w:szCs w:val="24"/>
        </w:rPr>
      </w:pPr>
      <w:r>
        <w:rPr>
          <w:rFonts w:ascii="Times New Roman" w:hAnsi="Times New Roman"/>
          <w:noProof/>
          <w:sz w:val="24"/>
        </w:rPr>
        <w:t xml:space="preserve">ще изиска прилагане на техническите насоки на Комисията относно проверката на устойчивостта на фонд InvestEU; както и </w:t>
      </w:r>
    </w:p>
    <w:p w14:paraId="35F3BB9A" w14:textId="4C9A1DB1" w:rsidR="00466B9D" w:rsidRDefault="00466B9D" w:rsidP="00366085">
      <w:pPr>
        <w:pStyle w:val="ListParagraph"/>
        <w:numPr>
          <w:ilvl w:val="0"/>
          <w:numId w:val="19"/>
        </w:numPr>
        <w:spacing w:before="120" w:after="120" w:line="240" w:lineRule="auto"/>
        <w:ind w:left="1267"/>
        <w:jc w:val="both"/>
        <w:rPr>
          <w:rFonts w:ascii="Times New Roman" w:eastAsia="Calibri" w:hAnsi="Times New Roman" w:cs="Times New Roman"/>
          <w:noProof/>
          <w:sz w:val="24"/>
          <w:szCs w:val="24"/>
        </w:rPr>
      </w:pPr>
      <w:r>
        <w:rPr>
          <w:rFonts w:ascii="Times New Roman" w:hAnsi="Times New Roman"/>
          <w:noProof/>
          <w:sz w:val="24"/>
        </w:rPr>
        <w:t>ще изключи от допустимостта следния списък с дейности и активи: i) дейностите и активите, свързани с изкопаеми горива, включително използване надолу по веригата</w:t>
      </w:r>
      <w:r w:rsidRPr="00562D16">
        <w:rPr>
          <w:rStyle w:val="FootnoteReference"/>
          <w:rFonts w:ascii="Times New Roman" w:eastAsia="Calibri" w:hAnsi="Times New Roman" w:cs="Times New Roman"/>
          <w:noProof/>
          <w:sz w:val="24"/>
          <w:szCs w:val="24"/>
          <w:lang w:val="en-US"/>
        </w:rPr>
        <w:footnoteReference w:id="16"/>
      </w:r>
      <w:r>
        <w:rPr>
          <w:rFonts w:ascii="Times New Roman" w:hAnsi="Times New Roman"/>
          <w:noProof/>
          <w:sz w:val="24"/>
        </w:rPr>
        <w:t>; ii) дейностите и активите по схемата на ЕС за търговия с емисии (СТЕ), с които се постигат прогнозните емисии на парникови газове, които не са по-ниски от съответните референтни стойности</w:t>
      </w:r>
      <w:r w:rsidRPr="00562D16">
        <w:rPr>
          <w:rStyle w:val="FootnoteReference"/>
          <w:rFonts w:ascii="Times New Roman" w:eastAsia="Calibri" w:hAnsi="Times New Roman" w:cs="Times New Roman"/>
          <w:noProof/>
          <w:sz w:val="24"/>
          <w:szCs w:val="24"/>
          <w:lang w:val="en-US"/>
        </w:rPr>
        <w:footnoteReference w:id="17"/>
      </w:r>
      <w:r>
        <w:rPr>
          <w:rFonts w:ascii="Times New Roman" w:hAnsi="Times New Roman"/>
          <w:noProof/>
          <w:sz w:val="24"/>
        </w:rPr>
        <w:t xml:space="preserve">. </w:t>
      </w:r>
    </w:p>
    <w:p w14:paraId="698F8B83" w14:textId="425DAF4F" w:rsidR="007D338F" w:rsidRPr="00562D16" w:rsidRDefault="007D338F" w:rsidP="007D338F">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Изпълнението на инвестицията ще приключи до 31 декември 2024 г., когато инвестиционният комитет на InvestEU ще одобри финансовите или инвестиционните операции в размер на 100 % от общия размер на одобреното целево финансиране или инвестиция.</w:t>
      </w:r>
    </w:p>
    <w:p w14:paraId="42E80538" w14:textId="77777777" w:rsidR="007D338F" w:rsidRPr="00562D16" w:rsidRDefault="007D338F" w:rsidP="00A17CA8">
      <w:pPr>
        <w:pStyle w:val="ListParagraph"/>
        <w:numPr>
          <w:ilvl w:val="0"/>
          <w:numId w:val="65"/>
        </w:numPr>
        <w:spacing w:before="120" w:after="120" w:line="240" w:lineRule="auto"/>
        <w:jc w:val="both"/>
        <w:rPr>
          <w:rFonts w:ascii="Times New Roman" w:eastAsia="Calibri" w:hAnsi="Times New Roman" w:cs="Times New Roman"/>
          <w:noProof/>
          <w:sz w:val="24"/>
          <w:szCs w:val="24"/>
          <w:u w:val="single"/>
        </w:rPr>
      </w:pPr>
      <w:r>
        <w:rPr>
          <w:rFonts w:ascii="Times New Roman" w:hAnsi="Times New Roman"/>
          <w:noProof/>
          <w:sz w:val="24"/>
          <w:u w:val="single"/>
        </w:rPr>
        <w:t xml:space="preserve">Инвестиция 2.1.б — Капиталови инструменти за растеж </w:t>
      </w:r>
    </w:p>
    <w:p w14:paraId="5A1D0D02" w14:textId="77777777" w:rsidR="007D338F" w:rsidRPr="00562D16" w:rsidRDefault="007D338F" w:rsidP="007D338F">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Целта на тази мярка е да се облекчи дългосрочното икономическо отрицателно въздействие на кризата с COVID-19 върху българските дружества. Капиталовите инструменти за растеж, в т.ч. фондовете за рисков капитал, фондовете за растеж, фондовете тип „мецанин“, фондовете за обратно изкупуване и фондовете за частен дълг, ще бъдат предоставяни на МСП и дружествата със средна пазарна капитализация.</w:t>
      </w:r>
    </w:p>
    <w:p w14:paraId="2788F380" w14:textId="72F262B3" w:rsidR="007D338F" w:rsidRDefault="007D338F" w:rsidP="007D338F">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 xml:space="preserve">Капиталовите инструменти ще се прилагат от ЕИФ като финансов партньор (партньор по прилагането) чрез пряко предоставяне на ЕИФ по силата на специално споразумение за финансиране по МВУ между Република България и ЕИФ за управление на поддържаните по МВУ капиталови операции. </w:t>
      </w:r>
    </w:p>
    <w:p w14:paraId="5CDBF614" w14:textId="77777777" w:rsidR="00624B78" w:rsidRPr="00624B78" w:rsidRDefault="00624B78" w:rsidP="00624B78">
      <w:pPr>
        <w:spacing w:before="120" w:after="120" w:line="240" w:lineRule="auto"/>
        <w:ind w:left="850"/>
        <w:jc w:val="both"/>
        <w:rPr>
          <w:rFonts w:ascii="Times New Roman" w:eastAsia="Calibri" w:hAnsi="Times New Roman" w:cs="Times New Roman"/>
          <w:iCs/>
          <w:noProof/>
          <w:sz w:val="24"/>
          <w:szCs w:val="24"/>
        </w:rPr>
      </w:pPr>
      <w:r>
        <w:rPr>
          <w:rFonts w:ascii="Times New Roman" w:hAnsi="Times New Roman"/>
          <w:noProof/>
          <w:sz w:val="24"/>
        </w:rPr>
        <w:t>За финансовите инструменти за дружествата, предназначени да покриват общите им потребности, инвестиционната политика:</w:t>
      </w:r>
    </w:p>
    <w:p w14:paraId="7D7C499C" w14:textId="05F4EA84" w:rsidR="00624B78" w:rsidRPr="00037B93" w:rsidRDefault="00366085" w:rsidP="00366085">
      <w:pPr>
        <w:pStyle w:val="ListParagraph"/>
        <w:numPr>
          <w:ilvl w:val="0"/>
          <w:numId w:val="19"/>
        </w:numPr>
        <w:spacing w:before="120" w:after="120" w:line="240" w:lineRule="auto"/>
        <w:ind w:left="1267"/>
        <w:jc w:val="both"/>
        <w:rPr>
          <w:rFonts w:ascii="Times New Roman" w:eastAsia="Calibri" w:hAnsi="Times New Roman" w:cs="Times New Roman"/>
          <w:iCs/>
          <w:noProof/>
          <w:sz w:val="24"/>
          <w:szCs w:val="24"/>
        </w:rPr>
      </w:pPr>
      <w:r>
        <w:rPr>
          <w:rFonts w:ascii="Times New Roman" w:hAnsi="Times New Roman"/>
          <w:noProof/>
          <w:sz w:val="24"/>
        </w:rPr>
        <w:t>ще се приема от управителните органи на финансовия инструмент;</w:t>
      </w:r>
    </w:p>
    <w:p w14:paraId="6DCF0F0A" w14:textId="72B2CAF5" w:rsidR="00037B93" w:rsidRPr="00037B93" w:rsidRDefault="00037B93" w:rsidP="00366085">
      <w:pPr>
        <w:pStyle w:val="ListParagraph"/>
        <w:numPr>
          <w:ilvl w:val="0"/>
          <w:numId w:val="19"/>
        </w:numPr>
        <w:spacing w:before="120" w:after="120" w:line="240" w:lineRule="auto"/>
        <w:ind w:left="1267"/>
        <w:jc w:val="both"/>
        <w:rPr>
          <w:rFonts w:ascii="Times New Roman" w:eastAsia="Calibri" w:hAnsi="Times New Roman" w:cs="Times New Roman"/>
          <w:iCs/>
          <w:noProof/>
          <w:sz w:val="24"/>
          <w:szCs w:val="24"/>
        </w:rPr>
      </w:pPr>
      <w:r>
        <w:rPr>
          <w:rFonts w:ascii="Times New Roman" w:hAnsi="Times New Roman"/>
          <w:noProof/>
          <w:sz w:val="24"/>
        </w:rPr>
        <w:t>ще спазва указанията на Комисията от 22 януари 2021 г. относно финансовите инструменти (SWD(2021) 12 final);</w:t>
      </w:r>
    </w:p>
    <w:p w14:paraId="176C561C" w14:textId="6BAA812F" w:rsidR="00C932CD" w:rsidRPr="00DF56F8" w:rsidRDefault="00366085" w:rsidP="00366085">
      <w:pPr>
        <w:pStyle w:val="ListParagraph"/>
        <w:numPr>
          <w:ilvl w:val="0"/>
          <w:numId w:val="19"/>
        </w:numPr>
        <w:spacing w:before="120" w:after="120" w:line="240" w:lineRule="auto"/>
        <w:ind w:left="1267"/>
        <w:jc w:val="both"/>
        <w:rPr>
          <w:rFonts w:ascii="Times New Roman" w:eastAsia="Calibri" w:hAnsi="Times New Roman" w:cs="Times New Roman"/>
          <w:iCs/>
          <w:noProof/>
          <w:sz w:val="24"/>
          <w:szCs w:val="24"/>
        </w:rPr>
      </w:pPr>
      <w:r>
        <w:rPr>
          <w:rFonts w:ascii="Times New Roman" w:hAnsi="Times New Roman"/>
          <w:noProof/>
          <w:sz w:val="24"/>
        </w:rPr>
        <w:t>ще включи критерии за подбор с оглед на спазването на техническите насоки „Ненанасяне на значителни вреди“ (2021/C58/01) на подпомаганите операции по тази мярка</w:t>
      </w:r>
    </w:p>
    <w:p w14:paraId="46B7976C" w14:textId="000C96F6" w:rsidR="00624B78" w:rsidRPr="00037B93" w:rsidRDefault="00C932CD" w:rsidP="00366085">
      <w:pPr>
        <w:pStyle w:val="ListParagraph"/>
        <w:numPr>
          <w:ilvl w:val="1"/>
          <w:numId w:val="19"/>
        </w:numPr>
        <w:spacing w:before="120" w:after="120" w:line="240" w:lineRule="auto"/>
        <w:ind w:left="1607"/>
        <w:jc w:val="both"/>
        <w:rPr>
          <w:rFonts w:ascii="Times New Roman" w:eastAsia="Calibri" w:hAnsi="Times New Roman" w:cs="Times New Roman"/>
          <w:iCs/>
          <w:noProof/>
          <w:sz w:val="24"/>
          <w:szCs w:val="24"/>
        </w:rPr>
      </w:pPr>
      <w:r>
        <w:rPr>
          <w:rFonts w:ascii="Times New Roman" w:hAnsi="Times New Roman"/>
          <w:noProof/>
          <w:sz w:val="24"/>
        </w:rPr>
        <w:t xml:space="preserve">чрез проверка на устойчивостта; </w:t>
      </w:r>
    </w:p>
    <w:p w14:paraId="7A7FD9B9" w14:textId="50DF1227" w:rsidR="005648FB" w:rsidRDefault="00C932CD" w:rsidP="00366085">
      <w:pPr>
        <w:pStyle w:val="ListParagraph"/>
        <w:numPr>
          <w:ilvl w:val="1"/>
          <w:numId w:val="19"/>
        </w:numPr>
        <w:spacing w:before="120" w:after="120" w:line="240" w:lineRule="auto"/>
        <w:ind w:left="1607"/>
        <w:jc w:val="both"/>
        <w:rPr>
          <w:rFonts w:ascii="Times New Roman" w:eastAsia="Calibri" w:hAnsi="Times New Roman" w:cs="Times New Roman"/>
          <w:iCs/>
          <w:noProof/>
          <w:sz w:val="24"/>
          <w:szCs w:val="24"/>
        </w:rPr>
      </w:pPr>
      <w:r>
        <w:rPr>
          <w:rFonts w:ascii="Times New Roman" w:hAnsi="Times New Roman"/>
          <w:noProof/>
          <w:sz w:val="24"/>
        </w:rPr>
        <w:t>ще изиска от бенефициерите, които през предходната финансова година са реализирали над 50 % от преките си приходи от дейности или активи, включени в списъка по-долу, да приемат и публикуват планове за преход към екосъобразна дейност: i) дейностите, свързани с изкопаеми горива, включително използване надолу по веригата</w:t>
      </w:r>
      <w:r w:rsidR="00624B78" w:rsidRPr="00037B93">
        <w:rPr>
          <w:rFonts w:ascii="Times New Roman" w:eastAsia="Calibri" w:hAnsi="Times New Roman" w:cs="Times New Roman"/>
          <w:iCs/>
          <w:noProof/>
          <w:sz w:val="24"/>
          <w:szCs w:val="24"/>
          <w:vertAlign w:val="superscript"/>
          <w:lang w:val="en-GB"/>
        </w:rPr>
        <w:footnoteReference w:id="18"/>
      </w:r>
      <w:r>
        <w:rPr>
          <w:rFonts w:ascii="Times New Roman" w:hAnsi="Times New Roman"/>
          <w:noProof/>
          <w:sz w:val="24"/>
        </w:rPr>
        <w:t>; ii) дейностите по схемата на ЕС за търговия с емисии (СТЕ), с които се постигат прогнозираните емисии на парникови газове, които не са по-ниски от съответните референтни стойности</w:t>
      </w:r>
      <w:r w:rsidR="00624B78" w:rsidRPr="00037B93">
        <w:rPr>
          <w:rFonts w:ascii="Times New Roman" w:eastAsia="Calibri" w:hAnsi="Times New Roman" w:cs="Times New Roman"/>
          <w:iCs/>
          <w:noProof/>
          <w:sz w:val="24"/>
          <w:szCs w:val="24"/>
          <w:vertAlign w:val="superscript"/>
          <w:lang w:val="en-GB"/>
        </w:rPr>
        <w:footnoteReference w:id="19"/>
      </w:r>
      <w:r>
        <w:rPr>
          <w:rFonts w:ascii="Times New Roman" w:hAnsi="Times New Roman"/>
          <w:noProof/>
          <w:sz w:val="24"/>
        </w:rPr>
        <w:t>; iii) дейностите, свързани с депата за отпадъци, инсталациите за изгаряне на отпадъци</w:t>
      </w:r>
      <w:r w:rsidR="00624B78" w:rsidRPr="00037B93">
        <w:rPr>
          <w:rFonts w:ascii="Times New Roman" w:eastAsia="Calibri" w:hAnsi="Times New Roman" w:cs="Times New Roman"/>
          <w:iCs/>
          <w:noProof/>
          <w:sz w:val="24"/>
          <w:szCs w:val="24"/>
          <w:vertAlign w:val="superscript"/>
          <w:lang w:val="en-GB"/>
        </w:rPr>
        <w:footnoteReference w:id="20"/>
      </w:r>
      <w:r>
        <w:rPr>
          <w:rFonts w:ascii="Times New Roman" w:hAnsi="Times New Roman"/>
          <w:noProof/>
          <w:sz w:val="24"/>
        </w:rPr>
        <w:t xml:space="preserve"> и заводите за механично-биологично третиране</w:t>
      </w:r>
      <w:r w:rsidR="00624B78" w:rsidRPr="00037B93">
        <w:rPr>
          <w:rFonts w:ascii="Times New Roman" w:eastAsia="Calibri" w:hAnsi="Times New Roman" w:cs="Times New Roman"/>
          <w:iCs/>
          <w:noProof/>
          <w:sz w:val="24"/>
          <w:szCs w:val="24"/>
          <w:vertAlign w:val="superscript"/>
          <w:lang w:val="en-GB"/>
        </w:rPr>
        <w:footnoteReference w:id="21"/>
      </w:r>
      <w:r>
        <w:rPr>
          <w:rFonts w:ascii="Times New Roman" w:hAnsi="Times New Roman"/>
          <w:noProof/>
          <w:sz w:val="24"/>
        </w:rPr>
        <w:t>; и iv) дейностите, при които дългосрочното обезвреждане на отпадъци може да причини вреда на околната среда. Това изискване може да се приложи, като например се вземат предвид новите подложени на ограничения сектори, в които оперира ЕИФ (капиталови участия извън инфраструктурни проекти – нормативна уредба за съобразяване с Парижкото споразумение), като могат да се добавят допълнителни ограничения за секторите, обхванати от схемата за търговия с емисии, и за някои транспортни дейности; както и</w:t>
      </w:r>
    </w:p>
    <w:p w14:paraId="328CA915" w14:textId="314803EF" w:rsidR="00624B78" w:rsidRPr="00037B93" w:rsidRDefault="00C932CD" w:rsidP="00366085">
      <w:pPr>
        <w:pStyle w:val="ListParagraph"/>
        <w:numPr>
          <w:ilvl w:val="1"/>
          <w:numId w:val="19"/>
        </w:numPr>
        <w:spacing w:before="120" w:after="120" w:line="240" w:lineRule="auto"/>
        <w:ind w:left="1607"/>
        <w:jc w:val="both"/>
        <w:rPr>
          <w:rFonts w:ascii="Times New Roman" w:eastAsia="Calibri" w:hAnsi="Times New Roman" w:cs="Times New Roman"/>
          <w:iCs/>
          <w:noProof/>
          <w:sz w:val="24"/>
          <w:szCs w:val="24"/>
        </w:rPr>
      </w:pPr>
      <w:r>
        <w:rPr>
          <w:rFonts w:ascii="Times New Roman" w:hAnsi="Times New Roman"/>
          <w:noProof/>
          <w:sz w:val="24"/>
        </w:rPr>
        <w:t>ще изиска проверка от ЕИФ за всички операции на бенефициера, в т.ч. освободените от проверка на устойчивостта, на правното съблюдаване на съответното законодателство на ЕС и национално законодателство в областта на околната среда.</w:t>
      </w:r>
    </w:p>
    <w:p w14:paraId="54F1F0EB" w14:textId="52A3C2D7" w:rsidR="007D338F" w:rsidRPr="00562D16" w:rsidRDefault="007D338F" w:rsidP="007D338F">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Изпълнението на инвестицията ще приключи до 30 юни 2026 г. (одобрение, от компетентния инвестиционен комитет, на операциите в размер на 100 % от общото заделено финансиране за капиталовите инструменти за растеж).</w:t>
      </w:r>
    </w:p>
    <w:p w14:paraId="60B45CB5" w14:textId="77777777" w:rsidR="007D338F" w:rsidRPr="008A0F8A" w:rsidRDefault="007D338F" w:rsidP="007D338F">
      <w:pPr>
        <w:spacing w:before="120" w:after="120" w:line="240" w:lineRule="auto"/>
        <w:ind w:left="850"/>
        <w:jc w:val="both"/>
        <w:rPr>
          <w:rFonts w:ascii="Times New Roman" w:eastAsia="Calibri" w:hAnsi="Times New Roman" w:cs="Times New Roman"/>
          <w:noProof/>
          <w:sz w:val="24"/>
          <w:szCs w:val="24"/>
          <w:lang w:val="ru-RU"/>
        </w:rPr>
      </w:pPr>
    </w:p>
    <w:p w14:paraId="025576D5" w14:textId="77777777" w:rsidR="007D338F" w:rsidRPr="00562D16" w:rsidRDefault="007D338F" w:rsidP="00A17CA8">
      <w:pPr>
        <w:pStyle w:val="ListParagraph"/>
        <w:numPr>
          <w:ilvl w:val="0"/>
          <w:numId w:val="65"/>
        </w:numPr>
        <w:spacing w:before="120" w:after="120" w:line="240" w:lineRule="auto"/>
        <w:jc w:val="both"/>
        <w:rPr>
          <w:rFonts w:ascii="Times New Roman" w:eastAsia="Calibri" w:hAnsi="Times New Roman" w:cs="Times New Roman"/>
          <w:noProof/>
          <w:sz w:val="24"/>
          <w:szCs w:val="24"/>
          <w:u w:val="single"/>
        </w:rPr>
      </w:pPr>
      <w:r>
        <w:rPr>
          <w:rFonts w:ascii="Times New Roman" w:hAnsi="Times New Roman"/>
          <w:noProof/>
          <w:sz w:val="24"/>
          <w:u w:val="single"/>
        </w:rPr>
        <w:t>Инвестиция 2.1.в — Схема за отпускане на безвъзмездни средства за технологична модернизация</w:t>
      </w:r>
    </w:p>
    <w:p w14:paraId="23BC6C26" w14:textId="77777777" w:rsidR="007D338F" w:rsidRPr="00562D16" w:rsidRDefault="007D338F" w:rsidP="007D338F">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Целта на тази мярка е да се повиши ефективността на производствените процеси, да се постигне по-висока производителност, да се намалят производствените разходи и да се оптимизира производствената верига чрез предоставяне на безвъзмездни средства на МСП.</w:t>
      </w:r>
    </w:p>
    <w:p w14:paraId="0E8DAC13" w14:textId="77777777" w:rsidR="007D338F" w:rsidRPr="00562D16" w:rsidRDefault="007D338F" w:rsidP="007D338F">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 xml:space="preserve">Министерството на иновациите и растежа ще следи за въвеждането от администратора на ефективна система за управление и контрол и ще може при необходимост да предприема корективни мерки, включително извадкови проверки на дадените дружества, а администраторът ще наблюдава и редовно ще докладва за напредъка на изпълнението на проекта съобразно всички съответни условия. </w:t>
      </w:r>
    </w:p>
    <w:p w14:paraId="434AEF57" w14:textId="77777777" w:rsidR="00A71DD8" w:rsidRDefault="007D338F" w:rsidP="007D338F">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 xml:space="preserve">С оглед на съответствието на мярката с техническите насоки „Ненанасяне на значителни вреди“ (2021/C58/01), критериите за допустимост в техническите спецификации на предстоящите покани за представяне на проекти: </w:t>
      </w:r>
    </w:p>
    <w:p w14:paraId="7C35AB37" w14:textId="09B60016" w:rsidR="00A71DD8" w:rsidRDefault="00A71DD8" w:rsidP="00F13929">
      <w:pPr>
        <w:pStyle w:val="ListParagraph"/>
        <w:numPr>
          <w:ilvl w:val="0"/>
          <w:numId w:val="19"/>
        </w:numPr>
        <w:spacing w:before="120" w:after="120" w:line="240" w:lineRule="auto"/>
        <w:ind w:left="1267"/>
        <w:jc w:val="both"/>
        <w:rPr>
          <w:rFonts w:ascii="Times New Roman" w:eastAsia="Calibri" w:hAnsi="Times New Roman" w:cs="Times New Roman"/>
          <w:noProof/>
          <w:sz w:val="24"/>
          <w:szCs w:val="24"/>
        </w:rPr>
      </w:pPr>
      <w:r>
        <w:rPr>
          <w:rFonts w:ascii="Times New Roman" w:hAnsi="Times New Roman"/>
          <w:noProof/>
          <w:sz w:val="24"/>
        </w:rPr>
        <w:t>ще изключат следния списък от дейности и активи: i) дейностите и активите, свързани с изкопаеми горива, включително използване надолу по веригата</w:t>
      </w:r>
      <w:r w:rsidRPr="00562D16">
        <w:rPr>
          <w:rStyle w:val="FootnoteReference"/>
          <w:rFonts w:ascii="Times New Roman" w:eastAsia="Calibri" w:hAnsi="Times New Roman" w:cs="Times New Roman"/>
          <w:noProof/>
          <w:sz w:val="24"/>
          <w:szCs w:val="24"/>
          <w:lang w:val="en-US"/>
        </w:rPr>
        <w:footnoteReference w:id="22"/>
      </w:r>
      <w:r>
        <w:rPr>
          <w:rFonts w:ascii="Times New Roman" w:hAnsi="Times New Roman"/>
          <w:noProof/>
          <w:sz w:val="24"/>
        </w:rPr>
        <w:t>; ii) дейностите и активите по схемата на ЕС за търговия с емисии (СТЕ), с които се постигат прогнозните емисии на парникови газове, които не са по-ниски от съответните референтни стойности</w:t>
      </w:r>
      <w:r w:rsidRPr="00562D16">
        <w:rPr>
          <w:rStyle w:val="FootnoteReference"/>
          <w:rFonts w:ascii="Times New Roman" w:eastAsia="Calibri" w:hAnsi="Times New Roman" w:cs="Times New Roman"/>
          <w:noProof/>
          <w:sz w:val="24"/>
          <w:szCs w:val="24"/>
          <w:lang w:val="en-US"/>
        </w:rPr>
        <w:footnoteReference w:id="23"/>
      </w:r>
      <w:r>
        <w:rPr>
          <w:rFonts w:ascii="Times New Roman" w:hAnsi="Times New Roman"/>
          <w:noProof/>
          <w:sz w:val="24"/>
        </w:rPr>
        <w:t>; iii) дейностите и активите, свързани с депата за отпадъци, инсталациите за изгаряне на отпадъци</w:t>
      </w:r>
      <w:r w:rsidRPr="00562D16">
        <w:rPr>
          <w:rStyle w:val="FootnoteReference"/>
          <w:rFonts w:ascii="Times New Roman" w:eastAsia="Calibri" w:hAnsi="Times New Roman" w:cs="Times New Roman"/>
          <w:noProof/>
          <w:sz w:val="24"/>
          <w:szCs w:val="24"/>
          <w:lang w:val="en-US"/>
        </w:rPr>
        <w:footnoteReference w:id="24"/>
      </w:r>
      <w:r>
        <w:rPr>
          <w:rFonts w:ascii="Times New Roman" w:hAnsi="Times New Roman"/>
          <w:noProof/>
          <w:sz w:val="24"/>
        </w:rPr>
        <w:t xml:space="preserve"> и заводите за механично-биологично третиране</w:t>
      </w:r>
      <w:r w:rsidRPr="00562D16">
        <w:rPr>
          <w:rStyle w:val="FootnoteReference"/>
          <w:rFonts w:ascii="Times New Roman" w:eastAsia="Calibri" w:hAnsi="Times New Roman" w:cs="Times New Roman"/>
          <w:noProof/>
          <w:sz w:val="24"/>
          <w:szCs w:val="24"/>
          <w:lang w:val="en-US"/>
        </w:rPr>
        <w:footnoteReference w:id="25"/>
      </w:r>
      <w:r>
        <w:rPr>
          <w:rFonts w:ascii="Times New Roman" w:hAnsi="Times New Roman"/>
          <w:noProof/>
          <w:sz w:val="24"/>
        </w:rPr>
        <w:t>; и iv) дейностите и активите, при които дългосрочното обезвреждане на отпадъци може да причини вреда на околната среда; както и</w:t>
      </w:r>
    </w:p>
    <w:p w14:paraId="31F65D69" w14:textId="08FA5C3D" w:rsidR="00A71DD8" w:rsidRPr="00562D16" w:rsidRDefault="00A71DD8" w:rsidP="00F13929">
      <w:pPr>
        <w:pStyle w:val="ListParagraph"/>
        <w:numPr>
          <w:ilvl w:val="0"/>
          <w:numId w:val="19"/>
        </w:numPr>
        <w:spacing w:before="120" w:after="120" w:line="240" w:lineRule="auto"/>
        <w:ind w:left="1267"/>
        <w:jc w:val="both"/>
        <w:rPr>
          <w:rFonts w:ascii="Times New Roman" w:eastAsia="Calibri" w:hAnsi="Times New Roman" w:cs="Times New Roman"/>
          <w:noProof/>
          <w:sz w:val="24"/>
          <w:szCs w:val="24"/>
        </w:rPr>
      </w:pPr>
      <w:r>
        <w:rPr>
          <w:rFonts w:ascii="Times New Roman" w:hAnsi="Times New Roman"/>
          <w:noProof/>
          <w:sz w:val="24"/>
        </w:rPr>
        <w:t xml:space="preserve"> ще изискат да могат да бъдат избирани само дейности, които съблюдават съответното законодателство на ЕС и национално законодателство в областта на околната среда.</w:t>
      </w:r>
    </w:p>
    <w:p w14:paraId="1AE05EF6" w14:textId="05201B37" w:rsidR="007D338F" w:rsidRDefault="007D338F" w:rsidP="007D338F">
      <w:pPr>
        <w:spacing w:before="120" w:after="120" w:line="240" w:lineRule="auto"/>
        <w:ind w:left="850"/>
        <w:jc w:val="both"/>
        <w:rPr>
          <w:rFonts w:ascii="Times New Roman" w:eastAsia="Calibri" w:hAnsi="Times New Roman" w:cs="Times New Roman"/>
          <w:iCs/>
          <w:noProof/>
          <w:sz w:val="24"/>
          <w:szCs w:val="24"/>
        </w:rPr>
      </w:pPr>
      <w:r>
        <w:rPr>
          <w:rFonts w:ascii="Times New Roman" w:hAnsi="Times New Roman"/>
          <w:noProof/>
          <w:sz w:val="24"/>
        </w:rPr>
        <w:t>Изпълнението на инвестицията ще приключи до 30 септември 2024 г.</w:t>
      </w:r>
    </w:p>
    <w:p w14:paraId="3BC0C733" w14:textId="77777777" w:rsidR="002A665D" w:rsidRPr="008A0F8A" w:rsidRDefault="002A665D" w:rsidP="007D338F">
      <w:pPr>
        <w:spacing w:before="120" w:after="120" w:line="240" w:lineRule="auto"/>
        <w:ind w:left="850"/>
        <w:jc w:val="both"/>
        <w:rPr>
          <w:rFonts w:ascii="Times New Roman" w:eastAsia="Calibri" w:hAnsi="Times New Roman" w:cs="Times New Roman"/>
          <w:noProof/>
          <w:sz w:val="24"/>
          <w:szCs w:val="24"/>
          <w:lang w:val="ru-RU"/>
        </w:rPr>
      </w:pPr>
    </w:p>
    <w:p w14:paraId="2CA7BBA4" w14:textId="77777777" w:rsidR="007D338F" w:rsidRPr="00562D16" w:rsidRDefault="007D338F" w:rsidP="00A17CA8">
      <w:pPr>
        <w:pStyle w:val="ListParagraph"/>
        <w:numPr>
          <w:ilvl w:val="0"/>
          <w:numId w:val="65"/>
        </w:numPr>
        <w:spacing w:before="120" w:after="120" w:line="240" w:lineRule="auto"/>
        <w:jc w:val="both"/>
        <w:rPr>
          <w:rFonts w:ascii="Times New Roman" w:eastAsia="Calibri" w:hAnsi="Times New Roman" w:cs="Times New Roman"/>
          <w:noProof/>
          <w:sz w:val="24"/>
          <w:szCs w:val="24"/>
          <w:u w:val="single"/>
        </w:rPr>
      </w:pPr>
      <w:r>
        <w:rPr>
          <w:rFonts w:ascii="Times New Roman" w:hAnsi="Times New Roman"/>
          <w:noProof/>
          <w:sz w:val="24"/>
          <w:u w:val="single"/>
        </w:rPr>
        <w:t>Инвестиция 2.1.г — Схема за безвъзмездни средства за решения в областта на информационните и комуникационните технологии и киберсигурността в малките и средните предприятия</w:t>
      </w:r>
    </w:p>
    <w:p w14:paraId="39D645DD" w14:textId="77777777" w:rsidR="007D338F" w:rsidRPr="00562D16" w:rsidRDefault="007D338F" w:rsidP="007D338F">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 xml:space="preserve">Инвестицията представлява схема за отпускане на безвъзмездни средства за подпомагане внедряването на цифровите технологии в МСП, като се достигне първо ниво на „компютъризация“ и второ ниво на „свързаност“ на цифровите технологии, така че да се удовлетворят основните изисквания, в т.ч. относно мерките за киберсигурност, за разгръщането на „Индустрия 4.0“ и прехода към по-високи степени на цифровизация. </w:t>
      </w:r>
    </w:p>
    <w:p w14:paraId="6C430D78" w14:textId="77777777" w:rsidR="007D338F" w:rsidRPr="00562D16" w:rsidRDefault="007D338F" w:rsidP="007D338F">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 xml:space="preserve">Министерството на иновациите и растежа ще следи за въвеждането от администратора на ефективна система за управление и контрол и ще може при необходимост да предприема корективни мерки, включително извадкови проверки на дадените МСП, а администраторът ще наблюдава и редовно ще докладва за напредъка на изпълнението на проекта съобразно всички съответни условия. </w:t>
      </w:r>
    </w:p>
    <w:p w14:paraId="080978EA" w14:textId="77777777" w:rsidR="00AF2E54" w:rsidRPr="00562D16" w:rsidRDefault="00AF2E54" w:rsidP="00AF2E54">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С оглед на съответствието на мярката с техническите насоки „Ненанасяне на значителни вреди“ (2021/C58/01), критериите за допустимост в техническите спецификации на предстоящите покани за представяне на проекти:</w:t>
      </w:r>
    </w:p>
    <w:p w14:paraId="6E705AAF" w14:textId="3BA8176A" w:rsidR="00AF2E54" w:rsidRDefault="00AF2E54" w:rsidP="00F13929">
      <w:pPr>
        <w:pStyle w:val="ListParagraph"/>
        <w:numPr>
          <w:ilvl w:val="0"/>
          <w:numId w:val="19"/>
        </w:numPr>
        <w:spacing w:before="120" w:after="120" w:line="240" w:lineRule="auto"/>
        <w:ind w:left="1267"/>
        <w:jc w:val="both"/>
        <w:rPr>
          <w:rFonts w:ascii="Times New Roman" w:eastAsia="Calibri" w:hAnsi="Times New Roman" w:cs="Times New Roman"/>
          <w:noProof/>
          <w:sz w:val="24"/>
          <w:szCs w:val="24"/>
        </w:rPr>
      </w:pPr>
      <w:r>
        <w:rPr>
          <w:rFonts w:ascii="Times New Roman" w:hAnsi="Times New Roman"/>
          <w:noProof/>
          <w:sz w:val="24"/>
        </w:rPr>
        <w:t>ще изключат следния списък от дейности и активи: дейностите и активите, свързани с изкопаеми горива, включително използване надолу по веригата</w:t>
      </w:r>
      <w:r w:rsidRPr="00562D16">
        <w:rPr>
          <w:rStyle w:val="FootnoteReference"/>
          <w:rFonts w:ascii="Times New Roman" w:eastAsia="Calibri" w:hAnsi="Times New Roman" w:cs="Times New Roman"/>
          <w:noProof/>
          <w:sz w:val="24"/>
          <w:szCs w:val="24"/>
          <w:lang w:val="en-US"/>
        </w:rPr>
        <w:footnoteReference w:id="26"/>
      </w:r>
      <w:r>
        <w:rPr>
          <w:rFonts w:ascii="Times New Roman" w:hAnsi="Times New Roman"/>
          <w:noProof/>
          <w:sz w:val="24"/>
        </w:rPr>
        <w:t>; ii) дейностите и активите по схемата на ЕС за търговия с емисии (СТЕ), с които се постигат прогнозните емисии на парникови газове, които не са по-ниски от съответните референтни стойности</w:t>
      </w:r>
      <w:r w:rsidRPr="00562D16">
        <w:rPr>
          <w:rStyle w:val="FootnoteReference"/>
          <w:rFonts w:ascii="Times New Roman" w:eastAsia="Calibri" w:hAnsi="Times New Roman" w:cs="Times New Roman"/>
          <w:noProof/>
          <w:sz w:val="24"/>
          <w:szCs w:val="24"/>
          <w:lang w:val="en-US"/>
        </w:rPr>
        <w:footnoteReference w:id="27"/>
      </w:r>
      <w:r>
        <w:rPr>
          <w:rFonts w:ascii="Times New Roman" w:hAnsi="Times New Roman"/>
          <w:noProof/>
          <w:sz w:val="24"/>
        </w:rPr>
        <w:t>; iii) дейностите и активите, свързани с депата за отпадъци, инсталациите за изгаряне на отпадъци</w:t>
      </w:r>
      <w:r w:rsidRPr="00562D16">
        <w:rPr>
          <w:rStyle w:val="FootnoteReference"/>
          <w:rFonts w:ascii="Times New Roman" w:eastAsia="Calibri" w:hAnsi="Times New Roman" w:cs="Times New Roman"/>
          <w:noProof/>
          <w:sz w:val="24"/>
          <w:szCs w:val="24"/>
          <w:lang w:val="en-US"/>
        </w:rPr>
        <w:footnoteReference w:id="28"/>
      </w:r>
      <w:r>
        <w:rPr>
          <w:rFonts w:ascii="Times New Roman" w:hAnsi="Times New Roman"/>
          <w:noProof/>
          <w:sz w:val="24"/>
        </w:rPr>
        <w:t xml:space="preserve"> и заводите за механично-биологично третиране</w:t>
      </w:r>
      <w:r w:rsidRPr="00562D16">
        <w:rPr>
          <w:rStyle w:val="FootnoteReference"/>
          <w:rFonts w:ascii="Times New Roman" w:eastAsia="Calibri" w:hAnsi="Times New Roman" w:cs="Times New Roman"/>
          <w:noProof/>
          <w:sz w:val="24"/>
          <w:szCs w:val="24"/>
          <w:lang w:val="en-US"/>
        </w:rPr>
        <w:footnoteReference w:id="29"/>
      </w:r>
      <w:r>
        <w:rPr>
          <w:rFonts w:ascii="Times New Roman" w:hAnsi="Times New Roman"/>
          <w:noProof/>
          <w:sz w:val="24"/>
        </w:rPr>
        <w:t xml:space="preserve">; и iv) дейностите и активите, при които дългосрочното обезвреждане на отпадъци може да причини вреда на околната среда; както и </w:t>
      </w:r>
    </w:p>
    <w:p w14:paraId="6753D5D2" w14:textId="2340EB3B" w:rsidR="00AF2E54" w:rsidRPr="003C063E" w:rsidRDefault="00AF2E54" w:rsidP="00F13929">
      <w:pPr>
        <w:pStyle w:val="ListParagraph"/>
        <w:numPr>
          <w:ilvl w:val="0"/>
          <w:numId w:val="19"/>
        </w:numPr>
        <w:spacing w:before="120" w:after="120" w:line="240" w:lineRule="auto"/>
        <w:ind w:left="1267"/>
        <w:jc w:val="both"/>
        <w:rPr>
          <w:rFonts w:ascii="Times New Roman" w:eastAsia="Calibri" w:hAnsi="Times New Roman" w:cs="Times New Roman"/>
          <w:noProof/>
          <w:sz w:val="24"/>
          <w:szCs w:val="24"/>
        </w:rPr>
      </w:pPr>
      <w:r>
        <w:rPr>
          <w:rFonts w:ascii="Times New Roman" w:hAnsi="Times New Roman"/>
          <w:noProof/>
          <w:sz w:val="24"/>
        </w:rPr>
        <w:t xml:space="preserve"> ще изискат да могат да бъдат избирани само дейности, които съблюдават съответното законодателство на ЕС и национално законодателство в областта на околната среда.</w:t>
      </w:r>
    </w:p>
    <w:p w14:paraId="3F0754A8" w14:textId="4500FA52" w:rsidR="007D338F" w:rsidRPr="00562D16" w:rsidRDefault="007D338F" w:rsidP="007D338F">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Изпълнението на инвестицията ще приключи до 31 декември 2024 г.</w:t>
      </w:r>
    </w:p>
    <w:p w14:paraId="302B6D3A" w14:textId="77777777" w:rsidR="007D338F" w:rsidRPr="008A0F8A" w:rsidRDefault="007D338F" w:rsidP="007D338F">
      <w:pPr>
        <w:spacing w:before="120" w:after="120" w:line="240" w:lineRule="auto"/>
        <w:ind w:left="850"/>
        <w:jc w:val="both"/>
        <w:rPr>
          <w:rFonts w:ascii="Times New Roman" w:eastAsia="Calibri" w:hAnsi="Times New Roman" w:cs="Times New Roman"/>
          <w:noProof/>
          <w:sz w:val="24"/>
          <w:szCs w:val="24"/>
          <w:lang w:val="ru-RU"/>
        </w:rPr>
      </w:pPr>
    </w:p>
    <w:p w14:paraId="0D0A1035" w14:textId="77777777" w:rsidR="007D338F" w:rsidRPr="00562D16" w:rsidRDefault="007D338F" w:rsidP="00A17CA8">
      <w:pPr>
        <w:pStyle w:val="ListParagraph"/>
        <w:numPr>
          <w:ilvl w:val="0"/>
          <w:numId w:val="65"/>
        </w:numPr>
        <w:spacing w:before="120" w:after="120" w:line="240" w:lineRule="auto"/>
        <w:jc w:val="both"/>
        <w:rPr>
          <w:rFonts w:ascii="Times New Roman" w:eastAsia="Calibri" w:hAnsi="Times New Roman" w:cs="Times New Roman"/>
          <w:noProof/>
          <w:sz w:val="24"/>
          <w:szCs w:val="24"/>
          <w:u w:val="single"/>
        </w:rPr>
      </w:pPr>
      <w:r>
        <w:rPr>
          <w:rFonts w:ascii="Times New Roman" w:hAnsi="Times New Roman"/>
          <w:noProof/>
          <w:sz w:val="24"/>
          <w:u w:val="single"/>
        </w:rPr>
        <w:t xml:space="preserve">Инвестиция 2.1.д — Иновационен фонд (капиталов инструмент за иновации) </w:t>
      </w:r>
    </w:p>
    <w:p w14:paraId="561C7554" w14:textId="77777777" w:rsidR="007D338F" w:rsidRPr="00562D16" w:rsidRDefault="007D338F" w:rsidP="007D338F">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Инвестицията представлява създаване на фонд за прилагане на капиталовите инструменти за иновации с цел да се увеличи иновационният капацитет на дружествата, да се ускори повишаването на тяхната производителност и преходът към икономика, основана на знанието. Капиталовите инструменти ще включват фондове за рисков капитал, фондове за трансфер на технологии, фондове за първоначален капитал и фондове със социално въздействие.</w:t>
      </w:r>
    </w:p>
    <w:p w14:paraId="1CCDFA93" w14:textId="3A971E51" w:rsidR="007D338F" w:rsidRPr="00562D16" w:rsidRDefault="007D338F" w:rsidP="007D338F">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 xml:space="preserve">Капиталовите инструменти ще се прилагат от ЕИФ като финансов партньор (партньор по прилагането) чрез пряко предоставяне на ЕИФ по силата на специално споразумение за финансиране по МВУ между Република България и ЕИФ за управление на поддържаните по МВУ капиталови операции. </w:t>
      </w:r>
    </w:p>
    <w:p w14:paraId="75FEB819" w14:textId="77777777" w:rsidR="008B6DC8" w:rsidRDefault="008B6DC8" w:rsidP="008B6DC8">
      <w:pPr>
        <w:spacing w:before="120" w:after="120" w:line="240" w:lineRule="auto"/>
        <w:ind w:left="850"/>
        <w:jc w:val="both"/>
        <w:rPr>
          <w:rFonts w:ascii="Times New Roman" w:eastAsia="Calibri" w:hAnsi="Times New Roman" w:cs="Times New Roman"/>
          <w:iCs/>
          <w:noProof/>
          <w:sz w:val="24"/>
          <w:szCs w:val="24"/>
        </w:rPr>
      </w:pPr>
      <w:r>
        <w:rPr>
          <w:rFonts w:ascii="Times New Roman" w:hAnsi="Times New Roman"/>
          <w:noProof/>
          <w:sz w:val="24"/>
        </w:rPr>
        <w:t>За финансовите инструменти за дружествата, предназначени да покриват общите им потребности, инвестиционната политика:</w:t>
      </w:r>
    </w:p>
    <w:p w14:paraId="47E97E7C" w14:textId="77777777" w:rsidR="008B6DC8" w:rsidRPr="003C063E" w:rsidRDefault="008B6DC8" w:rsidP="00F13929">
      <w:pPr>
        <w:pStyle w:val="ListParagraph"/>
        <w:numPr>
          <w:ilvl w:val="0"/>
          <w:numId w:val="19"/>
        </w:numPr>
        <w:spacing w:before="120" w:after="120" w:line="240" w:lineRule="auto"/>
        <w:ind w:left="1210"/>
        <w:jc w:val="both"/>
        <w:rPr>
          <w:rFonts w:ascii="Times New Roman" w:eastAsia="Calibri" w:hAnsi="Times New Roman" w:cs="Times New Roman"/>
          <w:iCs/>
          <w:noProof/>
          <w:sz w:val="24"/>
          <w:szCs w:val="24"/>
        </w:rPr>
      </w:pPr>
      <w:r>
        <w:rPr>
          <w:rFonts w:ascii="Times New Roman" w:hAnsi="Times New Roman"/>
          <w:noProof/>
          <w:sz w:val="24"/>
        </w:rPr>
        <w:t>ще се приема от управителните органи на финансовия инструмент;</w:t>
      </w:r>
    </w:p>
    <w:p w14:paraId="63A627FF" w14:textId="77777777" w:rsidR="008B6DC8" w:rsidRPr="003C063E" w:rsidRDefault="008B6DC8" w:rsidP="00F13929">
      <w:pPr>
        <w:pStyle w:val="ListParagraph"/>
        <w:numPr>
          <w:ilvl w:val="0"/>
          <w:numId w:val="19"/>
        </w:numPr>
        <w:spacing w:before="120" w:after="120" w:line="240" w:lineRule="auto"/>
        <w:ind w:left="1210"/>
        <w:rPr>
          <w:rFonts w:ascii="Times New Roman" w:eastAsia="Calibri" w:hAnsi="Times New Roman" w:cs="Times New Roman"/>
          <w:iCs/>
          <w:noProof/>
          <w:sz w:val="24"/>
          <w:szCs w:val="24"/>
        </w:rPr>
      </w:pPr>
      <w:r>
        <w:rPr>
          <w:rFonts w:ascii="Times New Roman" w:hAnsi="Times New Roman"/>
          <w:noProof/>
          <w:sz w:val="24"/>
        </w:rPr>
        <w:t>ще спазва указанията на Комисията от 22 януари 2021 г. относно финансовите инструменти (SWD(2021) 12 final);</w:t>
      </w:r>
    </w:p>
    <w:p w14:paraId="5FBF9A1E" w14:textId="5272D6FA" w:rsidR="00CA036F" w:rsidRPr="00DF56F8" w:rsidRDefault="00294DB1" w:rsidP="00F13929">
      <w:pPr>
        <w:pStyle w:val="ListParagraph"/>
        <w:numPr>
          <w:ilvl w:val="0"/>
          <w:numId w:val="19"/>
        </w:numPr>
        <w:spacing w:before="120" w:after="120" w:line="240" w:lineRule="auto"/>
        <w:ind w:left="1210"/>
        <w:rPr>
          <w:rFonts w:ascii="Times New Roman" w:eastAsia="Calibri" w:hAnsi="Times New Roman" w:cs="Times New Roman"/>
          <w:iCs/>
          <w:noProof/>
          <w:sz w:val="24"/>
          <w:szCs w:val="24"/>
        </w:rPr>
      </w:pPr>
      <w:r>
        <w:rPr>
          <w:rFonts w:ascii="Times New Roman" w:hAnsi="Times New Roman"/>
          <w:noProof/>
          <w:sz w:val="24"/>
        </w:rPr>
        <w:t>ще включи критерии за подбор с оглед на спазването на техническите насоки „Ненанасяне на значителни вреди“ (2021/C58/01) на подпомаганите операции по тази мярка: </w:t>
      </w:r>
    </w:p>
    <w:p w14:paraId="78595061" w14:textId="00732CCF" w:rsidR="008B6DC8" w:rsidRPr="003C063E" w:rsidRDefault="008B6DC8" w:rsidP="00F13929">
      <w:pPr>
        <w:pStyle w:val="ListParagraph"/>
        <w:numPr>
          <w:ilvl w:val="1"/>
          <w:numId w:val="19"/>
        </w:numPr>
        <w:spacing w:before="120" w:after="120" w:line="240" w:lineRule="auto"/>
        <w:ind w:left="1607"/>
        <w:jc w:val="both"/>
        <w:rPr>
          <w:rFonts w:ascii="Times New Roman" w:eastAsia="Calibri" w:hAnsi="Times New Roman" w:cs="Times New Roman"/>
          <w:iCs/>
          <w:noProof/>
          <w:sz w:val="24"/>
          <w:szCs w:val="24"/>
        </w:rPr>
      </w:pPr>
      <w:r>
        <w:rPr>
          <w:rFonts w:ascii="Times New Roman" w:hAnsi="Times New Roman"/>
          <w:noProof/>
          <w:sz w:val="24"/>
        </w:rPr>
        <w:t xml:space="preserve">чрез проверка на устойчивостта; </w:t>
      </w:r>
    </w:p>
    <w:p w14:paraId="005BB471" w14:textId="2C760BB4" w:rsidR="00013031" w:rsidRPr="00DF56F8" w:rsidRDefault="00CA036F" w:rsidP="00F13929">
      <w:pPr>
        <w:pStyle w:val="ListParagraph"/>
        <w:numPr>
          <w:ilvl w:val="1"/>
          <w:numId w:val="19"/>
        </w:numPr>
        <w:spacing w:before="120" w:after="120" w:line="240" w:lineRule="auto"/>
        <w:ind w:left="1607"/>
        <w:jc w:val="both"/>
        <w:rPr>
          <w:rFonts w:ascii="Times New Roman" w:eastAsia="Calibri" w:hAnsi="Times New Roman" w:cs="Times New Roman"/>
          <w:iCs/>
          <w:noProof/>
          <w:sz w:val="24"/>
          <w:szCs w:val="24"/>
        </w:rPr>
      </w:pPr>
      <w:r>
        <w:rPr>
          <w:rFonts w:ascii="Times New Roman" w:hAnsi="Times New Roman"/>
          <w:noProof/>
          <w:sz w:val="24"/>
        </w:rPr>
        <w:t>ще изиска от бенефициерите, които през предходната финансова година са реализирали над 50 % от преките си приходи от дейности или активи, включени в списъка по-долу, да приемат и публикуват планове за преход към екосъобразна дейност: i) дейностите, свързани с изкопаеми горива, включително използване надолу по веригата</w:t>
      </w:r>
      <w:r w:rsidR="008B6DC8" w:rsidRPr="00562D16">
        <w:rPr>
          <w:rStyle w:val="FootnoteReference"/>
          <w:rFonts w:ascii="Times New Roman" w:eastAsia="Calibri" w:hAnsi="Times New Roman" w:cs="Times New Roman"/>
          <w:noProof/>
          <w:sz w:val="24"/>
          <w:szCs w:val="24"/>
          <w:lang w:val="en-US"/>
        </w:rPr>
        <w:footnoteReference w:id="30"/>
      </w:r>
      <w:r>
        <w:rPr>
          <w:rFonts w:ascii="Times New Roman" w:hAnsi="Times New Roman"/>
          <w:noProof/>
          <w:sz w:val="24"/>
        </w:rPr>
        <w:t>; ii) дейностите по схемата на ЕС за търговия с емисии (СТЕ), с които се постигат прогнозираните емисии на парникови газове, които не са по-ниски от съответните референтни стойности</w:t>
      </w:r>
      <w:r w:rsidR="008B6DC8" w:rsidRPr="00562D16">
        <w:rPr>
          <w:rStyle w:val="FootnoteReference"/>
          <w:rFonts w:ascii="Times New Roman" w:eastAsia="Calibri" w:hAnsi="Times New Roman" w:cs="Times New Roman"/>
          <w:noProof/>
          <w:sz w:val="24"/>
          <w:szCs w:val="24"/>
          <w:lang w:val="en-US"/>
        </w:rPr>
        <w:footnoteReference w:id="31"/>
      </w:r>
      <w:r>
        <w:rPr>
          <w:rFonts w:ascii="Times New Roman" w:hAnsi="Times New Roman"/>
          <w:noProof/>
          <w:sz w:val="24"/>
        </w:rPr>
        <w:t>; iii) дейностите, свързани с депата за отпадъци, инсталациите за изгаряне на отпадъци</w:t>
      </w:r>
      <w:r w:rsidR="008B6DC8" w:rsidRPr="00562D16">
        <w:rPr>
          <w:rStyle w:val="FootnoteReference"/>
          <w:rFonts w:ascii="Times New Roman" w:eastAsia="Calibri" w:hAnsi="Times New Roman" w:cs="Times New Roman"/>
          <w:noProof/>
          <w:sz w:val="24"/>
          <w:szCs w:val="24"/>
          <w:lang w:val="en-US"/>
        </w:rPr>
        <w:footnoteReference w:id="32"/>
      </w:r>
      <w:r>
        <w:rPr>
          <w:rFonts w:ascii="Times New Roman" w:hAnsi="Times New Roman"/>
          <w:noProof/>
          <w:sz w:val="24"/>
        </w:rPr>
        <w:t xml:space="preserve"> и заводите за механично-биологично третиране</w:t>
      </w:r>
      <w:r w:rsidR="008B6DC8" w:rsidRPr="00562D16">
        <w:rPr>
          <w:rStyle w:val="FootnoteReference"/>
          <w:rFonts w:ascii="Times New Roman" w:eastAsia="Calibri" w:hAnsi="Times New Roman" w:cs="Times New Roman"/>
          <w:noProof/>
          <w:sz w:val="24"/>
          <w:szCs w:val="24"/>
          <w:lang w:val="en-US"/>
        </w:rPr>
        <w:footnoteReference w:id="33"/>
      </w:r>
      <w:r>
        <w:rPr>
          <w:rFonts w:ascii="Times New Roman" w:hAnsi="Times New Roman"/>
          <w:noProof/>
          <w:sz w:val="24"/>
        </w:rPr>
        <w:t xml:space="preserve">; и iv) дейностите, при които дългосрочното обезвреждане на отпадъци може да причини вреда на околната среда. Това изискване може да се приложи, като например се вземат предвид новите подложени на ограничения сектори, в които оперира ЕИФ (капиталови участия извън инфраструктурни проекти – нормативна уредба за съобразяване с Парижкото споразумение), като могат да се добавят допълнителни ограничения за секторите, обхванати от схемата за търговия с емисии, и за някои транспортни дейности; както и </w:t>
      </w:r>
    </w:p>
    <w:p w14:paraId="156D84EA" w14:textId="47ABCEEF" w:rsidR="008B6DC8" w:rsidRPr="003C063E" w:rsidRDefault="00CA036F" w:rsidP="00F13929">
      <w:pPr>
        <w:pStyle w:val="ListParagraph"/>
        <w:numPr>
          <w:ilvl w:val="1"/>
          <w:numId w:val="19"/>
        </w:numPr>
        <w:spacing w:before="120" w:after="120" w:line="240" w:lineRule="auto"/>
        <w:ind w:left="1607"/>
        <w:jc w:val="both"/>
        <w:rPr>
          <w:rFonts w:ascii="Times New Roman" w:eastAsia="Calibri" w:hAnsi="Times New Roman" w:cs="Times New Roman"/>
          <w:iCs/>
          <w:noProof/>
          <w:sz w:val="24"/>
          <w:szCs w:val="24"/>
        </w:rPr>
      </w:pPr>
      <w:r>
        <w:rPr>
          <w:rFonts w:ascii="Times New Roman" w:hAnsi="Times New Roman"/>
          <w:noProof/>
          <w:sz w:val="24"/>
        </w:rPr>
        <w:t>ще изиска проверка от ЕИФ за всички операции на бенефициера, в т.ч. освободените от проверка на устойчивостта, на правното съблюдаване на съответното законодателство на ЕС и национално законодателство в областта на околната среда.</w:t>
      </w:r>
    </w:p>
    <w:p w14:paraId="5B48DD21" w14:textId="18FC5518" w:rsidR="007D338F" w:rsidRPr="009F6CB2" w:rsidRDefault="007D338F" w:rsidP="007D338F">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Изпълнението на инвестицията ще приключи до 30 юни 2026 г. (одобрение, от компетентния инвестиционен комитет, на операциите в размер на 100 % от общото заделено финансиране за капиталовите инструменти за иновации).</w:t>
      </w:r>
    </w:p>
    <w:p w14:paraId="682AA370" w14:textId="77777777" w:rsidR="00835452" w:rsidRPr="008A0F8A" w:rsidRDefault="00835452" w:rsidP="007D338F">
      <w:pPr>
        <w:spacing w:before="120" w:after="120" w:line="240" w:lineRule="auto"/>
        <w:ind w:left="142" w:firstLine="708"/>
        <w:jc w:val="both"/>
        <w:rPr>
          <w:rFonts w:ascii="Times New Roman" w:eastAsia="Calibri" w:hAnsi="Times New Roman" w:cs="Times New Roman"/>
          <w:b/>
          <w:noProof/>
          <w:sz w:val="24"/>
          <w:szCs w:val="24"/>
          <w:lang w:val="ru-RU"/>
        </w:rPr>
      </w:pPr>
    </w:p>
    <w:p w14:paraId="7179BFC9" w14:textId="77777777" w:rsidR="007D338F" w:rsidRPr="00562D16" w:rsidRDefault="007D338F" w:rsidP="007D338F">
      <w:pPr>
        <w:spacing w:before="120" w:after="120" w:line="240" w:lineRule="auto"/>
        <w:ind w:left="142" w:firstLine="708"/>
        <w:jc w:val="both"/>
        <w:rPr>
          <w:rFonts w:ascii="Times New Roman" w:eastAsia="Calibri" w:hAnsi="Times New Roman" w:cs="Times New Roman"/>
          <w:noProof/>
          <w:sz w:val="24"/>
          <w:szCs w:val="24"/>
        </w:rPr>
      </w:pPr>
      <w:r>
        <w:rPr>
          <w:rFonts w:ascii="Times New Roman" w:hAnsi="Times New Roman"/>
          <w:b/>
          <w:noProof/>
          <w:sz w:val="24"/>
        </w:rPr>
        <w:t>Фонд 2</w:t>
      </w:r>
      <w:r>
        <w:rPr>
          <w:rFonts w:ascii="Times New Roman" w:hAnsi="Times New Roman"/>
          <w:noProof/>
          <w:sz w:val="24"/>
        </w:rPr>
        <w:t xml:space="preserve"> се състои от следните инструменти:</w:t>
      </w:r>
    </w:p>
    <w:p w14:paraId="66BF7495" w14:textId="77777777" w:rsidR="007D338F" w:rsidRPr="00562D16" w:rsidRDefault="007D338F" w:rsidP="00A17CA8">
      <w:pPr>
        <w:pStyle w:val="ListParagraph"/>
        <w:numPr>
          <w:ilvl w:val="0"/>
          <w:numId w:val="65"/>
        </w:numPr>
        <w:spacing w:before="120" w:after="120" w:line="240" w:lineRule="auto"/>
        <w:jc w:val="both"/>
        <w:rPr>
          <w:rFonts w:ascii="Times New Roman" w:eastAsia="Calibri" w:hAnsi="Times New Roman" w:cs="Times New Roman"/>
          <w:noProof/>
          <w:sz w:val="24"/>
          <w:szCs w:val="24"/>
          <w:u w:val="single"/>
        </w:rPr>
      </w:pPr>
      <w:r>
        <w:rPr>
          <w:rFonts w:ascii="Times New Roman" w:hAnsi="Times New Roman"/>
          <w:noProof/>
          <w:sz w:val="24"/>
          <w:u w:val="single"/>
        </w:rPr>
        <w:t xml:space="preserve">Инвестиция 2.2.a. — Схема за безвъзмездна помощ за инвестиции във възобновяеми енергийни източници за собствено потребление с местни съоръжения за съхранение </w:t>
      </w:r>
    </w:p>
    <w:p w14:paraId="59E86DFD" w14:textId="77777777" w:rsidR="007D338F" w:rsidRPr="00562D16" w:rsidRDefault="007D338F" w:rsidP="007D338F">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Тази схема има за цел да насърчи прехода на частния сектор към екосъобразна дейност. Схемата предоставя безвъзмездни средства за инвестиции за съчетаване на възобновяеми източници на електроенергия за собствено потребление и местни съоръжения за съхранение. Проектите ще са в съответствие с област на интервенция 033 от приложение VII към Регламента за МВУ. Най-малко 50 % от стойността на проекта ще се съфинансира от бенефициера.</w:t>
      </w:r>
    </w:p>
    <w:p w14:paraId="44D07866" w14:textId="77777777" w:rsidR="007D338F" w:rsidRPr="00562D16" w:rsidRDefault="007D338F" w:rsidP="007D338F">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 xml:space="preserve">Министерството на иновациите и растежа ще следи за въвеждането от администратора на ефективна система за управление и контрол и ще може при необходимост да предприема корективни мерки, включително извадкови проверки на дадените дружества, а администраторът ще наблюдава и редовно ще докладва за напредъка на изпълнението на проекта съобразно всички съответни условия. </w:t>
      </w:r>
    </w:p>
    <w:p w14:paraId="61A9A12C" w14:textId="77777777" w:rsidR="002057F2" w:rsidRPr="00562D16" w:rsidRDefault="002057F2" w:rsidP="002057F2">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С оглед на съответствието на мярката с техническите насоки „Ненанасяне на значителни вреди“ (2021/C58/01), критериите за допустимост в техническите спецификации на предстоящите покани за представяне на проекти:</w:t>
      </w:r>
    </w:p>
    <w:p w14:paraId="43991231" w14:textId="252E78CC" w:rsidR="002057F2" w:rsidRDefault="002057F2" w:rsidP="00F13929">
      <w:pPr>
        <w:pStyle w:val="ListParagraph"/>
        <w:numPr>
          <w:ilvl w:val="0"/>
          <w:numId w:val="19"/>
        </w:numPr>
        <w:spacing w:before="120" w:after="120" w:line="240" w:lineRule="auto"/>
        <w:ind w:left="1267"/>
        <w:jc w:val="both"/>
        <w:rPr>
          <w:rFonts w:ascii="Times New Roman" w:eastAsia="Calibri" w:hAnsi="Times New Roman" w:cs="Times New Roman"/>
          <w:noProof/>
          <w:sz w:val="24"/>
          <w:szCs w:val="24"/>
        </w:rPr>
      </w:pPr>
      <w:r>
        <w:rPr>
          <w:rFonts w:ascii="Times New Roman" w:hAnsi="Times New Roman"/>
          <w:noProof/>
          <w:sz w:val="24"/>
        </w:rPr>
        <w:t>ще изключат следния списък от дейности и активи: дейностите и активите, свързани с изкопаеми горива, включително използване надолу по веригата</w:t>
      </w:r>
      <w:r w:rsidRPr="00562D16">
        <w:rPr>
          <w:rStyle w:val="FootnoteReference"/>
          <w:rFonts w:ascii="Times New Roman" w:eastAsia="Calibri" w:hAnsi="Times New Roman" w:cs="Times New Roman"/>
          <w:noProof/>
          <w:sz w:val="24"/>
          <w:szCs w:val="24"/>
          <w:lang w:val="en-US"/>
        </w:rPr>
        <w:footnoteReference w:id="34"/>
      </w:r>
      <w:r>
        <w:rPr>
          <w:rFonts w:ascii="Times New Roman" w:hAnsi="Times New Roman"/>
          <w:noProof/>
          <w:sz w:val="24"/>
        </w:rPr>
        <w:t>; ii) дейностите и активите по схемата на ЕС за търговия с емисии (СТЕ), с които се постигат прогнозните емисии на парникови газове, които не са по-ниски от съответните референтни стойности</w:t>
      </w:r>
      <w:r w:rsidRPr="00562D16">
        <w:rPr>
          <w:rStyle w:val="FootnoteReference"/>
          <w:rFonts w:ascii="Times New Roman" w:eastAsia="Calibri" w:hAnsi="Times New Roman" w:cs="Times New Roman"/>
          <w:noProof/>
          <w:sz w:val="24"/>
          <w:szCs w:val="24"/>
          <w:lang w:val="en-US"/>
        </w:rPr>
        <w:footnoteReference w:id="35"/>
      </w:r>
      <w:r>
        <w:rPr>
          <w:rFonts w:ascii="Times New Roman" w:hAnsi="Times New Roman"/>
          <w:noProof/>
          <w:sz w:val="24"/>
        </w:rPr>
        <w:t>; iii) дейностите и активите, свързани с депата за отпадъци, инсталациите за изгаряне на отпадъци</w:t>
      </w:r>
      <w:r w:rsidRPr="00562D16">
        <w:rPr>
          <w:rStyle w:val="FootnoteReference"/>
          <w:rFonts w:ascii="Times New Roman" w:eastAsia="Calibri" w:hAnsi="Times New Roman" w:cs="Times New Roman"/>
          <w:noProof/>
          <w:sz w:val="24"/>
          <w:szCs w:val="24"/>
          <w:lang w:val="en-US"/>
        </w:rPr>
        <w:footnoteReference w:id="36"/>
      </w:r>
      <w:r>
        <w:rPr>
          <w:rFonts w:ascii="Times New Roman" w:hAnsi="Times New Roman"/>
          <w:noProof/>
          <w:sz w:val="24"/>
        </w:rPr>
        <w:t xml:space="preserve"> и заводите за механично-биологично третиране</w:t>
      </w:r>
      <w:r w:rsidRPr="00562D16">
        <w:rPr>
          <w:rStyle w:val="FootnoteReference"/>
          <w:rFonts w:ascii="Times New Roman" w:eastAsia="Calibri" w:hAnsi="Times New Roman" w:cs="Times New Roman"/>
          <w:noProof/>
          <w:sz w:val="24"/>
          <w:szCs w:val="24"/>
          <w:lang w:val="en-US"/>
        </w:rPr>
        <w:footnoteReference w:id="37"/>
      </w:r>
      <w:r>
        <w:rPr>
          <w:rFonts w:ascii="Times New Roman" w:hAnsi="Times New Roman"/>
          <w:noProof/>
          <w:sz w:val="24"/>
        </w:rPr>
        <w:t xml:space="preserve">; и iv) дейностите и активите, при които дългосрочното обезвреждане на отпадъци може да причини вреда на околната среда; както и </w:t>
      </w:r>
    </w:p>
    <w:p w14:paraId="625BA948" w14:textId="54194EBB" w:rsidR="002057F2" w:rsidRPr="003C063E" w:rsidRDefault="002057F2" w:rsidP="00F13929">
      <w:pPr>
        <w:pStyle w:val="ListParagraph"/>
        <w:numPr>
          <w:ilvl w:val="0"/>
          <w:numId w:val="19"/>
        </w:numPr>
        <w:spacing w:before="120" w:after="120" w:line="240" w:lineRule="auto"/>
        <w:ind w:left="1267"/>
        <w:jc w:val="both"/>
        <w:rPr>
          <w:rFonts w:ascii="Times New Roman" w:eastAsia="Calibri" w:hAnsi="Times New Roman" w:cs="Times New Roman"/>
          <w:noProof/>
          <w:sz w:val="24"/>
          <w:szCs w:val="24"/>
        </w:rPr>
      </w:pPr>
      <w:r>
        <w:rPr>
          <w:rFonts w:ascii="Times New Roman" w:hAnsi="Times New Roman"/>
          <w:noProof/>
          <w:sz w:val="24"/>
        </w:rPr>
        <w:t xml:space="preserve"> ще изискат да могат да бъдат избирани само дейности, които съблюдават съответното законодателство на ЕС и национално законодателство в областта на околната среда.</w:t>
      </w:r>
    </w:p>
    <w:p w14:paraId="18A5C148" w14:textId="7B546B51" w:rsidR="007D338F" w:rsidRDefault="007D338F" w:rsidP="007D338F">
      <w:pPr>
        <w:spacing w:before="120" w:after="120" w:line="240" w:lineRule="auto"/>
        <w:ind w:left="850"/>
        <w:jc w:val="both"/>
        <w:rPr>
          <w:rFonts w:ascii="Times New Roman" w:eastAsia="Calibri" w:hAnsi="Times New Roman" w:cs="Times New Roman"/>
          <w:iCs/>
          <w:noProof/>
          <w:sz w:val="24"/>
          <w:szCs w:val="24"/>
        </w:rPr>
      </w:pPr>
      <w:r>
        <w:rPr>
          <w:rFonts w:ascii="Times New Roman" w:hAnsi="Times New Roman"/>
          <w:noProof/>
          <w:sz w:val="24"/>
        </w:rPr>
        <w:t>Изпълнението на инвестицията ще приключи до 30 март 2026 г.</w:t>
      </w:r>
    </w:p>
    <w:p w14:paraId="70A5E9D3" w14:textId="77777777" w:rsidR="00835452" w:rsidRPr="008A0F8A" w:rsidRDefault="00835452" w:rsidP="007D338F">
      <w:pPr>
        <w:spacing w:before="120" w:after="120" w:line="240" w:lineRule="auto"/>
        <w:ind w:left="850"/>
        <w:jc w:val="both"/>
        <w:rPr>
          <w:rFonts w:ascii="Times New Roman" w:eastAsia="Calibri" w:hAnsi="Times New Roman" w:cs="Times New Roman"/>
          <w:noProof/>
          <w:sz w:val="24"/>
          <w:szCs w:val="24"/>
          <w:lang w:val="ru-RU"/>
        </w:rPr>
      </w:pPr>
    </w:p>
    <w:p w14:paraId="29F4A62C" w14:textId="1BB71BDA" w:rsidR="007D338F" w:rsidRPr="00562D16" w:rsidRDefault="007D338F" w:rsidP="00A17CA8">
      <w:pPr>
        <w:pStyle w:val="ListParagraph"/>
        <w:numPr>
          <w:ilvl w:val="0"/>
          <w:numId w:val="65"/>
        </w:numPr>
        <w:spacing w:before="120" w:after="120" w:line="240" w:lineRule="auto"/>
        <w:jc w:val="both"/>
        <w:rPr>
          <w:rFonts w:ascii="Times New Roman" w:eastAsia="Calibri" w:hAnsi="Times New Roman" w:cs="Times New Roman"/>
          <w:noProof/>
          <w:sz w:val="24"/>
          <w:szCs w:val="24"/>
          <w:u w:val="single"/>
        </w:rPr>
      </w:pPr>
      <w:r>
        <w:rPr>
          <w:rFonts w:ascii="Times New Roman" w:hAnsi="Times New Roman"/>
          <w:noProof/>
          <w:sz w:val="24"/>
          <w:u w:val="single"/>
        </w:rPr>
        <w:t>Инвестиция 2.2.</w:t>
      </w:r>
      <w:r w:rsidR="00192C2E">
        <w:rPr>
          <w:rFonts w:ascii="Times New Roman" w:hAnsi="Times New Roman"/>
          <w:noProof/>
          <w:sz w:val="24"/>
          <w:u w:val="single"/>
        </w:rPr>
        <w:t>б</w:t>
      </w:r>
      <w:r>
        <w:rPr>
          <w:rFonts w:ascii="Times New Roman" w:hAnsi="Times New Roman"/>
          <w:noProof/>
          <w:sz w:val="24"/>
          <w:u w:val="single"/>
        </w:rPr>
        <w:t>. — Гаранционен инструмент за енергийна ефективност и възобновяема енергия</w:t>
      </w:r>
    </w:p>
    <w:p w14:paraId="2997B69C" w14:textId="7A8D852B" w:rsidR="007D338F" w:rsidRPr="00562D16" w:rsidRDefault="007D338F" w:rsidP="007D338F">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Гаранционният инструмент ще се прилага като вноска за InvestEU от ЕИФ като партньор по прилагането. С инструмента ще се отговори на предизвикателствата пред България при подкрепата на инвестиции в енергийната ефективност и енергията от възобновяеми източници. Гаранционният инструмент е предназначен за МСП, малките дружества със средна пазарна капитализация и физическите лица. Ролята му е да обхване широка гама от финансови продукти (напр. оборотни средства, в т.ч. револвиращи кредитни линии, инвестиционни заеми, лизинг). Подпомаганите сектори ще бъдат определени след подробна оценка на пазара и при съблюдаване на Регламент (ЕС) 2021/241 и критериите за допустимост на InvestEU.</w:t>
      </w:r>
    </w:p>
    <w:p w14:paraId="6EBF71D8" w14:textId="77777777" w:rsidR="002057F2" w:rsidRDefault="007D338F" w:rsidP="007D338F">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 xml:space="preserve">С оглед на спазването от подинвестицията на техническите насоки „Ненанасяне на значителни вреди“ (2021/C58/01), споразумението за финансово участие между Европейската комисия и българското правителство </w:t>
      </w:r>
    </w:p>
    <w:p w14:paraId="7A977DD4" w14:textId="51B1A7D9" w:rsidR="002057F2" w:rsidRDefault="002057F2" w:rsidP="00F13929">
      <w:pPr>
        <w:pStyle w:val="ListParagraph"/>
        <w:numPr>
          <w:ilvl w:val="0"/>
          <w:numId w:val="19"/>
        </w:numPr>
        <w:spacing w:before="120" w:after="120" w:line="240" w:lineRule="auto"/>
        <w:ind w:left="1267"/>
        <w:jc w:val="both"/>
        <w:rPr>
          <w:rFonts w:ascii="Times New Roman" w:eastAsia="Calibri" w:hAnsi="Times New Roman" w:cs="Times New Roman"/>
          <w:noProof/>
          <w:sz w:val="24"/>
          <w:szCs w:val="24"/>
        </w:rPr>
      </w:pPr>
      <w:r>
        <w:rPr>
          <w:rFonts w:ascii="Times New Roman" w:hAnsi="Times New Roman"/>
          <w:noProof/>
          <w:sz w:val="24"/>
        </w:rPr>
        <w:t xml:space="preserve">ще изиска прилагане на техническите насоки на Комисията относно проверката на устойчивостта на фонд InvestEU; както и </w:t>
      </w:r>
    </w:p>
    <w:p w14:paraId="7B552623" w14:textId="7A77FAFD" w:rsidR="002057F2" w:rsidRPr="004D4BBC" w:rsidRDefault="002057F2" w:rsidP="00F13929">
      <w:pPr>
        <w:pStyle w:val="ListParagraph"/>
        <w:numPr>
          <w:ilvl w:val="0"/>
          <w:numId w:val="19"/>
        </w:numPr>
        <w:spacing w:before="120" w:after="120" w:line="240" w:lineRule="auto"/>
        <w:ind w:left="1267"/>
        <w:jc w:val="both"/>
        <w:rPr>
          <w:rFonts w:ascii="Times New Roman" w:eastAsia="Calibri" w:hAnsi="Times New Roman" w:cs="Times New Roman"/>
          <w:noProof/>
          <w:sz w:val="24"/>
          <w:szCs w:val="24"/>
        </w:rPr>
      </w:pPr>
      <w:r>
        <w:rPr>
          <w:rFonts w:ascii="Times New Roman" w:hAnsi="Times New Roman"/>
          <w:noProof/>
          <w:sz w:val="24"/>
        </w:rPr>
        <w:t>ще изключи от допустимостта следния списък с дейности и активи: i) дейностите и активите, свързани с изкопаеми горива, включително използване надолу по веригата</w:t>
      </w:r>
      <w:r w:rsidRPr="00562D16">
        <w:rPr>
          <w:rStyle w:val="FootnoteReference"/>
          <w:rFonts w:ascii="Times New Roman" w:eastAsia="Calibri" w:hAnsi="Times New Roman" w:cs="Times New Roman"/>
          <w:noProof/>
          <w:sz w:val="24"/>
          <w:szCs w:val="24"/>
          <w:lang w:val="en-US"/>
        </w:rPr>
        <w:footnoteReference w:id="38"/>
      </w:r>
      <w:r>
        <w:rPr>
          <w:rFonts w:ascii="Times New Roman" w:hAnsi="Times New Roman"/>
          <w:noProof/>
          <w:sz w:val="24"/>
        </w:rPr>
        <w:t>; ii) дейностите и активите по схемата на ЕС за търговия с емисии (СТЕ), с които се постигат прогнозните емисии на парникови газове, които не са по-ниски от съответните референтни стойности</w:t>
      </w:r>
      <w:r w:rsidRPr="00562D16">
        <w:rPr>
          <w:rStyle w:val="FootnoteReference"/>
          <w:rFonts w:ascii="Times New Roman" w:eastAsia="Calibri" w:hAnsi="Times New Roman" w:cs="Times New Roman"/>
          <w:noProof/>
          <w:sz w:val="24"/>
          <w:szCs w:val="24"/>
          <w:lang w:val="en-US"/>
        </w:rPr>
        <w:footnoteReference w:id="39"/>
      </w:r>
      <w:r>
        <w:rPr>
          <w:rFonts w:ascii="Times New Roman" w:hAnsi="Times New Roman"/>
          <w:noProof/>
          <w:sz w:val="24"/>
        </w:rPr>
        <w:t>.</w:t>
      </w:r>
    </w:p>
    <w:p w14:paraId="1D3F49C9" w14:textId="251D2552" w:rsidR="007D338F" w:rsidRPr="00562D16" w:rsidRDefault="002057F2" w:rsidP="007D338F">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 xml:space="preserve">Изпълнението на инвестицията ще приключи до 30 юни 2024 г., когато инвестиционният комитет на InvestEU ще одобри финансовите или инвестиционните операции в размер на 100 % от общия размер на одобреното целево финансиране или инвестиция. </w:t>
      </w:r>
    </w:p>
    <w:p w14:paraId="1FFE5493" w14:textId="77777777" w:rsidR="007D338F" w:rsidRPr="00562D16" w:rsidRDefault="007D338F" w:rsidP="00A17CA8">
      <w:pPr>
        <w:pStyle w:val="ListParagraph"/>
        <w:numPr>
          <w:ilvl w:val="0"/>
          <w:numId w:val="65"/>
        </w:numPr>
        <w:spacing w:before="120" w:after="120" w:line="240" w:lineRule="auto"/>
        <w:jc w:val="both"/>
        <w:rPr>
          <w:rFonts w:ascii="Times New Roman" w:eastAsia="Calibri" w:hAnsi="Times New Roman" w:cs="Times New Roman"/>
          <w:noProof/>
          <w:sz w:val="24"/>
          <w:szCs w:val="24"/>
          <w:u w:val="single"/>
        </w:rPr>
      </w:pPr>
      <w:r>
        <w:rPr>
          <w:rFonts w:ascii="Times New Roman" w:hAnsi="Times New Roman"/>
          <w:noProof/>
          <w:sz w:val="24"/>
          <w:u w:val="single"/>
        </w:rPr>
        <w:t>Инвестиция 2.2.в — Схема за безвъзмездни средства за подпомагане на предприятията в прехода към кръгова икономика</w:t>
      </w:r>
    </w:p>
    <w:p w14:paraId="7AFF59D9" w14:textId="77777777" w:rsidR="007D338F" w:rsidRPr="00562D16" w:rsidRDefault="007D338F" w:rsidP="007D338F">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 xml:space="preserve">Основната цел на тази схема е да се подкрепят производствените предприятия в прехода към кръгова икономика чрез въвеждането на кръгови модели на производство и потребление, екостандартизация и насърчаване на технологиите за рециклиране и повторна употреба на отпадъците, поправка и използване на продуктите на биологична основа. </w:t>
      </w:r>
    </w:p>
    <w:p w14:paraId="3126E0DB" w14:textId="67E4B764" w:rsidR="007D338F" w:rsidRPr="00562D16" w:rsidRDefault="007D338F" w:rsidP="007D338F">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Проектите ще са в съответствие с област на интервенция 047 и 047а от приложение VII към Регламент (ЕС) 2021/241. Най-малко 50 % от стойността на проекта ще се съфинансира от бенефициера.</w:t>
      </w:r>
    </w:p>
    <w:p w14:paraId="3B8CF153" w14:textId="0E54AF19" w:rsidR="007D338F" w:rsidRDefault="007D338F" w:rsidP="007D338F">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 xml:space="preserve">Министерството на иновациите и растежа ще следи за въвеждането от администратора на ефективна система за управление и контрол и ще може при необходимост да предприема корективни мерки, включително извадкови проверки на дадените дружества, а администраторът ще наблюдава и редовно ще докладва за напредъка на изпълнението на проекта съобразно всички съответни условия. </w:t>
      </w:r>
    </w:p>
    <w:p w14:paraId="5C003783" w14:textId="77777777" w:rsidR="006D44BA" w:rsidRPr="00562D16" w:rsidRDefault="006D44BA" w:rsidP="006D44BA">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С оглед на съответствието на мярката с техническите насоки „Ненанасяне на значителни вреди“ (2021/C58/01), критериите за допустимост в техническите спецификации на предстоящите покани за представяне на проекти:</w:t>
      </w:r>
    </w:p>
    <w:p w14:paraId="0F5E8EB5" w14:textId="4C5C5E5B" w:rsidR="006D44BA" w:rsidRDefault="006D44BA" w:rsidP="00F13929">
      <w:pPr>
        <w:pStyle w:val="ListParagraph"/>
        <w:numPr>
          <w:ilvl w:val="0"/>
          <w:numId w:val="19"/>
        </w:numPr>
        <w:spacing w:before="120" w:after="120" w:line="240" w:lineRule="auto"/>
        <w:ind w:left="1267"/>
        <w:jc w:val="both"/>
        <w:rPr>
          <w:rFonts w:ascii="Times New Roman" w:eastAsia="Calibri" w:hAnsi="Times New Roman" w:cs="Times New Roman"/>
          <w:noProof/>
          <w:sz w:val="24"/>
          <w:szCs w:val="24"/>
        </w:rPr>
      </w:pPr>
      <w:r>
        <w:rPr>
          <w:rFonts w:ascii="Times New Roman" w:hAnsi="Times New Roman"/>
          <w:noProof/>
          <w:sz w:val="24"/>
        </w:rPr>
        <w:t>ще изключат следния списък от дейности и активи: дейностите и активите, свързани с изкопаеми горива, включително използване надолу по веригата</w:t>
      </w:r>
      <w:r w:rsidRPr="00562D16">
        <w:rPr>
          <w:rStyle w:val="FootnoteReference"/>
          <w:rFonts w:ascii="Times New Roman" w:eastAsia="Calibri" w:hAnsi="Times New Roman" w:cs="Times New Roman"/>
          <w:noProof/>
          <w:sz w:val="24"/>
          <w:szCs w:val="24"/>
          <w:lang w:val="en-US"/>
        </w:rPr>
        <w:footnoteReference w:id="40"/>
      </w:r>
      <w:r>
        <w:rPr>
          <w:rFonts w:ascii="Times New Roman" w:hAnsi="Times New Roman"/>
          <w:noProof/>
          <w:sz w:val="24"/>
        </w:rPr>
        <w:t>; ii) дейностите и активите по схемата на ЕС за търговия с емисии (СТЕ), с които се постигат прогнозните емисии на парникови газове, които не са по-ниски от съответните референтни стойности</w:t>
      </w:r>
      <w:r w:rsidRPr="00562D16">
        <w:rPr>
          <w:rStyle w:val="FootnoteReference"/>
          <w:rFonts w:ascii="Times New Roman" w:eastAsia="Calibri" w:hAnsi="Times New Roman" w:cs="Times New Roman"/>
          <w:noProof/>
          <w:sz w:val="24"/>
          <w:szCs w:val="24"/>
          <w:lang w:val="en-US"/>
        </w:rPr>
        <w:footnoteReference w:id="41"/>
      </w:r>
      <w:r>
        <w:rPr>
          <w:rFonts w:ascii="Times New Roman" w:hAnsi="Times New Roman"/>
          <w:noProof/>
          <w:sz w:val="24"/>
        </w:rPr>
        <w:t>; iii) дейностите и активите, свързани с депата за отпадъци, инсталациите за изгаряне на отпадъци</w:t>
      </w:r>
      <w:r w:rsidRPr="00562D16">
        <w:rPr>
          <w:rStyle w:val="FootnoteReference"/>
          <w:rFonts w:ascii="Times New Roman" w:eastAsia="Calibri" w:hAnsi="Times New Roman" w:cs="Times New Roman"/>
          <w:noProof/>
          <w:sz w:val="24"/>
          <w:szCs w:val="24"/>
          <w:lang w:val="en-US"/>
        </w:rPr>
        <w:footnoteReference w:id="42"/>
      </w:r>
      <w:r>
        <w:rPr>
          <w:rFonts w:ascii="Times New Roman" w:hAnsi="Times New Roman"/>
          <w:noProof/>
          <w:sz w:val="24"/>
        </w:rPr>
        <w:t xml:space="preserve"> и заводите за механично-биологично третиране</w:t>
      </w:r>
      <w:r w:rsidRPr="00562D16">
        <w:rPr>
          <w:rStyle w:val="FootnoteReference"/>
          <w:rFonts w:ascii="Times New Roman" w:eastAsia="Calibri" w:hAnsi="Times New Roman" w:cs="Times New Roman"/>
          <w:noProof/>
          <w:sz w:val="24"/>
          <w:szCs w:val="24"/>
          <w:lang w:val="en-US"/>
        </w:rPr>
        <w:footnoteReference w:id="43"/>
      </w:r>
      <w:r>
        <w:rPr>
          <w:rFonts w:ascii="Times New Roman" w:hAnsi="Times New Roman"/>
          <w:noProof/>
          <w:sz w:val="24"/>
        </w:rPr>
        <w:t xml:space="preserve">; и iv) дейностите и активите, при които дългосрочното обезвреждане на отпадъци може да причини вреда на околната среда; както и </w:t>
      </w:r>
    </w:p>
    <w:p w14:paraId="399581BB" w14:textId="1BCCF039" w:rsidR="006D44BA" w:rsidRPr="003C063E" w:rsidRDefault="006D44BA" w:rsidP="00F13929">
      <w:pPr>
        <w:pStyle w:val="ListParagraph"/>
        <w:numPr>
          <w:ilvl w:val="0"/>
          <w:numId w:val="19"/>
        </w:numPr>
        <w:spacing w:before="120" w:after="120" w:line="240" w:lineRule="auto"/>
        <w:ind w:left="1267"/>
        <w:jc w:val="both"/>
        <w:rPr>
          <w:rFonts w:ascii="Times New Roman" w:eastAsia="Calibri" w:hAnsi="Times New Roman" w:cs="Times New Roman"/>
          <w:noProof/>
          <w:sz w:val="24"/>
          <w:szCs w:val="24"/>
        </w:rPr>
      </w:pPr>
      <w:r>
        <w:rPr>
          <w:rFonts w:ascii="Times New Roman" w:hAnsi="Times New Roman"/>
          <w:noProof/>
          <w:sz w:val="24"/>
        </w:rPr>
        <w:t xml:space="preserve"> ще изискат да могат да бъдат избирани само дейности, които съблюдават съответното законодателство на ЕС и национално законодателство в областта на околната среда.</w:t>
      </w:r>
    </w:p>
    <w:p w14:paraId="505EDC02" w14:textId="54F82E2F" w:rsidR="007D338F" w:rsidRPr="00562D16" w:rsidRDefault="007D338F" w:rsidP="007D338F">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Изпълнението на инвестицията ще приключи до 31 декември 2025 г.</w:t>
      </w:r>
    </w:p>
    <w:p w14:paraId="7674CC7C" w14:textId="77777777" w:rsidR="009F6CB2" w:rsidRPr="008A0F8A" w:rsidRDefault="009F6CB2" w:rsidP="007D338F">
      <w:pPr>
        <w:spacing w:before="120" w:after="120" w:line="240" w:lineRule="auto"/>
        <w:ind w:left="850"/>
        <w:jc w:val="both"/>
        <w:rPr>
          <w:rFonts w:ascii="Times New Roman" w:eastAsia="Calibri" w:hAnsi="Times New Roman" w:cs="Times New Roman"/>
          <w:b/>
          <w:noProof/>
          <w:sz w:val="24"/>
          <w:szCs w:val="24"/>
          <w:lang w:val="ru-RU"/>
        </w:rPr>
      </w:pPr>
    </w:p>
    <w:p w14:paraId="3F5A0AF5" w14:textId="77777777" w:rsidR="005B3CB3" w:rsidRPr="008A0F8A" w:rsidRDefault="005B3CB3" w:rsidP="007D338F">
      <w:pPr>
        <w:spacing w:before="120" w:after="120" w:line="240" w:lineRule="auto"/>
        <w:ind w:left="850"/>
        <w:jc w:val="both"/>
        <w:rPr>
          <w:rFonts w:ascii="Times New Roman" w:eastAsia="Calibri" w:hAnsi="Times New Roman" w:cs="Times New Roman"/>
          <w:b/>
          <w:noProof/>
          <w:sz w:val="24"/>
          <w:szCs w:val="24"/>
          <w:lang w:val="ru-RU"/>
        </w:rPr>
      </w:pPr>
    </w:p>
    <w:p w14:paraId="2B2BE290" w14:textId="617E24E3" w:rsidR="007D338F" w:rsidRPr="00562D16" w:rsidRDefault="007D338F" w:rsidP="007D338F">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b/>
          <w:noProof/>
          <w:sz w:val="24"/>
        </w:rPr>
        <w:t>Фонд 3</w:t>
      </w:r>
      <w:r>
        <w:rPr>
          <w:rFonts w:ascii="Times New Roman" w:hAnsi="Times New Roman"/>
          <w:noProof/>
          <w:sz w:val="24"/>
        </w:rPr>
        <w:t xml:space="preserve"> се състои от следните инструменти:</w:t>
      </w:r>
    </w:p>
    <w:p w14:paraId="4D9F76FE" w14:textId="77777777" w:rsidR="007D338F" w:rsidRPr="00562D16" w:rsidRDefault="007D338F" w:rsidP="00A17CA8">
      <w:pPr>
        <w:pStyle w:val="ListParagraph"/>
        <w:numPr>
          <w:ilvl w:val="0"/>
          <w:numId w:val="65"/>
        </w:numPr>
        <w:spacing w:before="120" w:after="120" w:line="240" w:lineRule="auto"/>
        <w:jc w:val="both"/>
        <w:rPr>
          <w:rFonts w:ascii="Times New Roman" w:eastAsia="Calibri" w:hAnsi="Times New Roman" w:cs="Times New Roman"/>
          <w:noProof/>
          <w:sz w:val="24"/>
          <w:szCs w:val="24"/>
          <w:u w:val="single"/>
        </w:rPr>
      </w:pPr>
      <w:r>
        <w:rPr>
          <w:rFonts w:ascii="Times New Roman" w:hAnsi="Times New Roman"/>
          <w:noProof/>
          <w:sz w:val="24"/>
          <w:u w:val="single"/>
        </w:rPr>
        <w:t>Инвестиция 2.3.а — Капиталови инструменти за инвестиции за неутралност по отношение на климата и за цифровизация</w:t>
      </w:r>
    </w:p>
    <w:p w14:paraId="79A4CF74" w14:textId="5010A255" w:rsidR="007D338F" w:rsidRPr="00562D16" w:rsidRDefault="007D338F" w:rsidP="007D338F">
      <w:pPr>
        <w:widowControl w:val="0"/>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 xml:space="preserve">С инструментите ще се инвестира в активи, които допринасят за неутралността по отношение на климата и в приоритетни сектори в България ускоряват прехода към екосъобразна дейност и внедряване на цифровите технологии. Тази цел ще се постигне чрез подпомагане създаването на инфраструктурни активи (възобновяеми енергийни източници, биомаса, съхранение, инфраструктура за зареждане на електрически превозни средства, водород), цифрова инфраструктура (ИКТ, оптична инфраструктура, центрове за данни, 5G), обновяване на градската среда, енергийна ефективност и социална инфраструктура. </w:t>
      </w:r>
    </w:p>
    <w:p w14:paraId="42B78589" w14:textId="293067E1" w:rsidR="007D338F" w:rsidRPr="00562D16" w:rsidRDefault="007D338F" w:rsidP="007D338F">
      <w:pPr>
        <w:widowControl w:val="0"/>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 xml:space="preserve">Капиталовите инструменти ще се прилагат от Европейския инвестиционен фонд (ЕИФ) като финансов партньор (партньор по прилагането) чрез пряко предоставяне на ЕИФ по силата на специално споразумение за финансиране по МВУ между Република България и ЕИФ за поддържаните по МВУ капиталови операции. </w:t>
      </w:r>
    </w:p>
    <w:p w14:paraId="60DDFF3D" w14:textId="77777777" w:rsidR="00617005" w:rsidRDefault="00617005" w:rsidP="00617005">
      <w:pPr>
        <w:spacing w:before="120" w:after="120" w:line="240" w:lineRule="auto"/>
        <w:ind w:left="850"/>
        <w:jc w:val="both"/>
        <w:rPr>
          <w:rFonts w:ascii="Times New Roman" w:eastAsia="Calibri" w:hAnsi="Times New Roman" w:cs="Times New Roman"/>
          <w:iCs/>
          <w:noProof/>
          <w:sz w:val="24"/>
          <w:szCs w:val="24"/>
        </w:rPr>
      </w:pPr>
      <w:r>
        <w:rPr>
          <w:rFonts w:ascii="Times New Roman" w:hAnsi="Times New Roman"/>
          <w:noProof/>
          <w:sz w:val="24"/>
        </w:rPr>
        <w:t>За финансовите инструменти за дружествата, предназначени да покриват общите им потребности, инвестиционната политика:</w:t>
      </w:r>
    </w:p>
    <w:p w14:paraId="3F95BCA6" w14:textId="052FAAB0" w:rsidR="00617005" w:rsidRPr="00725123" w:rsidRDefault="009E21D0" w:rsidP="009E21D0">
      <w:pPr>
        <w:pStyle w:val="ListParagraph"/>
        <w:numPr>
          <w:ilvl w:val="0"/>
          <w:numId w:val="102"/>
        </w:numPr>
        <w:spacing w:before="120" w:after="120" w:line="240" w:lineRule="auto"/>
        <w:ind w:left="1267"/>
        <w:rPr>
          <w:rFonts w:ascii="Times New Roman" w:eastAsia="Calibri" w:hAnsi="Times New Roman" w:cs="Times New Roman"/>
          <w:iCs/>
          <w:noProof/>
          <w:sz w:val="24"/>
          <w:szCs w:val="24"/>
        </w:rPr>
      </w:pPr>
      <w:r>
        <w:rPr>
          <w:rFonts w:ascii="Times New Roman" w:hAnsi="Times New Roman"/>
          <w:noProof/>
          <w:sz w:val="24"/>
        </w:rPr>
        <w:t>ще се приема от управителните органи на финансовия инструмент;</w:t>
      </w:r>
    </w:p>
    <w:p w14:paraId="6E72FEF3" w14:textId="7695A0CF" w:rsidR="00617005" w:rsidRPr="00725123" w:rsidRDefault="00617005" w:rsidP="009E21D0">
      <w:pPr>
        <w:pStyle w:val="ListParagraph"/>
        <w:numPr>
          <w:ilvl w:val="0"/>
          <w:numId w:val="102"/>
        </w:numPr>
        <w:spacing w:before="120" w:after="120" w:line="240" w:lineRule="auto"/>
        <w:ind w:left="1267"/>
        <w:jc w:val="both"/>
        <w:rPr>
          <w:rFonts w:ascii="Times New Roman" w:eastAsia="Calibri" w:hAnsi="Times New Roman" w:cs="Times New Roman"/>
          <w:iCs/>
          <w:noProof/>
          <w:sz w:val="24"/>
          <w:szCs w:val="24"/>
        </w:rPr>
      </w:pPr>
      <w:r>
        <w:rPr>
          <w:rFonts w:ascii="Times New Roman" w:hAnsi="Times New Roman"/>
          <w:noProof/>
          <w:sz w:val="24"/>
        </w:rPr>
        <w:t>ще спазва указанията на Комисията от 22 януари 2021 г. относно финансовите инструменти (SWD(2021) 12 final);</w:t>
      </w:r>
    </w:p>
    <w:p w14:paraId="4CAB9787" w14:textId="6DCEF0BE" w:rsidR="00617005" w:rsidRPr="00725123" w:rsidRDefault="00725123" w:rsidP="009E21D0">
      <w:pPr>
        <w:pStyle w:val="ListParagraph"/>
        <w:numPr>
          <w:ilvl w:val="0"/>
          <w:numId w:val="102"/>
        </w:numPr>
        <w:spacing w:before="120" w:after="120" w:line="240" w:lineRule="auto"/>
        <w:ind w:left="1267"/>
        <w:jc w:val="both"/>
        <w:rPr>
          <w:rFonts w:ascii="Times New Roman" w:eastAsia="Calibri" w:hAnsi="Times New Roman" w:cs="Times New Roman"/>
          <w:iCs/>
          <w:noProof/>
          <w:sz w:val="24"/>
          <w:szCs w:val="24"/>
        </w:rPr>
      </w:pPr>
      <w:r>
        <w:rPr>
          <w:rFonts w:ascii="Times New Roman" w:hAnsi="Times New Roman"/>
          <w:noProof/>
          <w:sz w:val="24"/>
        </w:rPr>
        <w:t xml:space="preserve">ще включи критерии за подбор с оглед на спазването на техническите насоки „Ненанасяне на значителни вреди“ (2021/C58/01) на подпомаганите операции по тази мярка чрез проверка на устойчивостта; </w:t>
      </w:r>
    </w:p>
    <w:p w14:paraId="0BEB5594" w14:textId="1AD3C5AE" w:rsidR="004C0C71" w:rsidRPr="00DF56F8" w:rsidRDefault="00617005" w:rsidP="009E21D0">
      <w:pPr>
        <w:pStyle w:val="ListParagraph"/>
        <w:numPr>
          <w:ilvl w:val="0"/>
          <w:numId w:val="102"/>
        </w:numPr>
        <w:spacing w:before="120" w:after="120" w:line="240" w:lineRule="auto"/>
        <w:ind w:left="1267"/>
        <w:jc w:val="both"/>
        <w:rPr>
          <w:rFonts w:ascii="Times New Roman" w:eastAsia="Calibri" w:hAnsi="Times New Roman" w:cs="Times New Roman"/>
          <w:iCs/>
          <w:noProof/>
          <w:sz w:val="24"/>
          <w:szCs w:val="24"/>
        </w:rPr>
      </w:pPr>
      <w:r>
        <w:rPr>
          <w:rFonts w:ascii="Times New Roman" w:hAnsi="Times New Roman"/>
          <w:noProof/>
          <w:sz w:val="24"/>
        </w:rPr>
        <w:t>ще изиска от бенефициерите, които през предходната финансова година са реализирали над 50 % от преките си приходи от дейности или активи, включени в списъка по-долу, да приемат и публикуват планове за преход към екосъобразна дейност: i) дейностите, свързани с изкопаеми горива, включително използване надолу по веригата</w:t>
      </w:r>
      <w:r w:rsidRPr="00562D16">
        <w:rPr>
          <w:rStyle w:val="FootnoteReference"/>
          <w:rFonts w:ascii="Times New Roman" w:eastAsia="Calibri" w:hAnsi="Times New Roman" w:cs="Times New Roman"/>
          <w:noProof/>
          <w:sz w:val="24"/>
          <w:szCs w:val="24"/>
          <w:lang w:val="en-US"/>
        </w:rPr>
        <w:footnoteReference w:id="44"/>
      </w:r>
      <w:r>
        <w:rPr>
          <w:rFonts w:ascii="Times New Roman" w:hAnsi="Times New Roman"/>
          <w:noProof/>
          <w:sz w:val="24"/>
        </w:rPr>
        <w:t>; ii) дейностите по схемата на ЕС за търговия с емисии (СТЕ), с които се постигат прогнозираните емисии на парникови газове, които не са по-ниски от съответните референтни стойности</w:t>
      </w:r>
      <w:r w:rsidRPr="00562D16">
        <w:rPr>
          <w:rStyle w:val="FootnoteReference"/>
          <w:rFonts w:ascii="Times New Roman" w:eastAsia="Calibri" w:hAnsi="Times New Roman" w:cs="Times New Roman"/>
          <w:noProof/>
          <w:sz w:val="24"/>
          <w:szCs w:val="24"/>
          <w:lang w:val="en-US"/>
        </w:rPr>
        <w:footnoteReference w:id="45"/>
      </w:r>
      <w:r>
        <w:rPr>
          <w:rFonts w:ascii="Times New Roman" w:hAnsi="Times New Roman"/>
          <w:noProof/>
          <w:sz w:val="24"/>
        </w:rPr>
        <w:t>; iii) дейностите, свързани с депата за отпадъци, инсталациите за изгаряне на отпадъци</w:t>
      </w:r>
      <w:r w:rsidRPr="00562D16">
        <w:rPr>
          <w:rStyle w:val="FootnoteReference"/>
          <w:rFonts w:ascii="Times New Roman" w:eastAsia="Calibri" w:hAnsi="Times New Roman" w:cs="Times New Roman"/>
          <w:noProof/>
          <w:sz w:val="24"/>
          <w:szCs w:val="24"/>
          <w:lang w:val="en-US"/>
        </w:rPr>
        <w:footnoteReference w:id="46"/>
      </w:r>
      <w:r>
        <w:rPr>
          <w:rFonts w:ascii="Times New Roman" w:hAnsi="Times New Roman"/>
          <w:noProof/>
          <w:sz w:val="24"/>
        </w:rPr>
        <w:t xml:space="preserve"> и заводите за механично-биологично третиране</w:t>
      </w:r>
      <w:r w:rsidRPr="00562D16">
        <w:rPr>
          <w:rStyle w:val="FootnoteReference"/>
          <w:rFonts w:ascii="Times New Roman" w:eastAsia="Calibri" w:hAnsi="Times New Roman" w:cs="Times New Roman"/>
          <w:noProof/>
          <w:sz w:val="24"/>
          <w:szCs w:val="24"/>
          <w:lang w:val="en-US"/>
        </w:rPr>
        <w:footnoteReference w:id="47"/>
      </w:r>
      <w:r>
        <w:rPr>
          <w:rFonts w:ascii="Times New Roman" w:hAnsi="Times New Roman"/>
          <w:noProof/>
          <w:sz w:val="24"/>
        </w:rPr>
        <w:t xml:space="preserve">; и iv) дейностите, при които дългосрочното обезвреждане на отпадъци може да причини вреда на околната среда. Това изискване може да се приложи, като например се вземат предвид новите подложени на ограничения сектори, в които оперира ЕИФ (капиталови участия извън инфраструктурни проекти </w:t>
      </w:r>
      <w:r w:rsidR="00DB7268">
        <w:rPr>
          <w:rFonts w:ascii="Times New Roman" w:hAnsi="Times New Roman"/>
          <w:noProof/>
          <w:sz w:val="24"/>
        </w:rPr>
        <w:t>—</w:t>
      </w:r>
      <w:r>
        <w:rPr>
          <w:rFonts w:ascii="Times New Roman" w:hAnsi="Times New Roman"/>
          <w:noProof/>
          <w:sz w:val="24"/>
        </w:rPr>
        <w:t xml:space="preserve"> нормативна уредба за съобразяване с Парижкото споразумение), като могат да се добавят допълнителни ограничения за секторите, обхванати от схемата за търговия с емисии, и за някои транспортни дейности; както и </w:t>
      </w:r>
    </w:p>
    <w:p w14:paraId="6DE0FB91" w14:textId="36F6AD59" w:rsidR="00617005" w:rsidRPr="00725123" w:rsidRDefault="004C0C71" w:rsidP="009E21D0">
      <w:pPr>
        <w:pStyle w:val="ListParagraph"/>
        <w:numPr>
          <w:ilvl w:val="0"/>
          <w:numId w:val="102"/>
        </w:numPr>
        <w:spacing w:before="120" w:after="120" w:line="240" w:lineRule="auto"/>
        <w:ind w:left="1267"/>
        <w:jc w:val="both"/>
        <w:rPr>
          <w:rFonts w:ascii="Times New Roman" w:eastAsia="Calibri" w:hAnsi="Times New Roman" w:cs="Times New Roman"/>
          <w:iCs/>
          <w:noProof/>
          <w:sz w:val="24"/>
          <w:szCs w:val="24"/>
        </w:rPr>
      </w:pPr>
      <w:r>
        <w:rPr>
          <w:rFonts w:ascii="Times New Roman" w:hAnsi="Times New Roman"/>
          <w:noProof/>
          <w:sz w:val="24"/>
        </w:rPr>
        <w:t>ще изиска проверка от ЕИФ за всички операции на бенефициера, в т.ч. освободените от проверка на устойчивостта, на правното съблюдаване на съответното законодателство на ЕС и национално законодателство в областта на околната среда.</w:t>
      </w:r>
    </w:p>
    <w:p w14:paraId="3D0CB7AD" w14:textId="697FAC47" w:rsidR="007D338F" w:rsidRPr="00725123" w:rsidRDefault="007D338F" w:rsidP="00725123">
      <w:pPr>
        <w:pStyle w:val="paragraph"/>
        <w:spacing w:before="0" w:beforeAutospacing="0" w:after="0" w:afterAutospacing="0"/>
        <w:ind w:left="840"/>
        <w:jc w:val="both"/>
        <w:textAlignment w:val="baseline"/>
        <w:rPr>
          <w:noProof/>
          <w:color w:val="000000" w:themeColor="text1"/>
          <w:sz w:val="18"/>
          <w:szCs w:val="18"/>
        </w:rPr>
      </w:pPr>
      <w:r>
        <w:rPr>
          <w:noProof/>
          <w:color w:val="000000" w:themeColor="text1"/>
        </w:rPr>
        <w:t xml:space="preserve">Изпълнението на инвестицията ще приключи до 30 юни 2026 г. (одобрение, от компетентния инвестиционен комитет, на операциите в размер на 100 % от общото заделено финансиране за капиталовите инструменти </w:t>
      </w:r>
      <w:r>
        <w:rPr>
          <w:noProof/>
          <w:color w:val="000000" w:themeColor="text1"/>
          <w:u w:val="single"/>
        </w:rPr>
        <w:t>за неутралност по отношение на климата и цифрова трансформация</w:t>
      </w:r>
      <w:r>
        <w:rPr>
          <w:noProof/>
          <w:color w:val="000000" w:themeColor="text1"/>
        </w:rPr>
        <w:t>).</w:t>
      </w:r>
    </w:p>
    <w:p w14:paraId="2BEF3E9E" w14:textId="77777777" w:rsidR="007D338F" w:rsidRPr="00562D16" w:rsidRDefault="007D338F" w:rsidP="007D338F">
      <w:pPr>
        <w:spacing w:before="120" w:after="120" w:line="240" w:lineRule="auto"/>
        <w:ind w:left="850"/>
        <w:jc w:val="both"/>
        <w:rPr>
          <w:rFonts w:ascii="Times New Roman" w:eastAsia="Calibri" w:hAnsi="Times New Roman" w:cs="Times New Roman"/>
          <w:noProof/>
          <w:sz w:val="24"/>
          <w:u w:val="single"/>
        </w:rPr>
      </w:pPr>
      <w:r>
        <w:rPr>
          <w:rFonts w:ascii="Times New Roman" w:hAnsi="Times New Roman"/>
          <w:noProof/>
          <w:sz w:val="24"/>
        </w:rPr>
        <w:t xml:space="preserve"> </w:t>
      </w:r>
    </w:p>
    <w:p w14:paraId="1441F3EA" w14:textId="77777777" w:rsidR="007D338F" w:rsidRPr="00562D16" w:rsidRDefault="007D338F" w:rsidP="007D338F">
      <w:pPr>
        <w:spacing w:before="120" w:after="120" w:line="240" w:lineRule="auto"/>
        <w:ind w:left="850"/>
        <w:jc w:val="both"/>
        <w:rPr>
          <w:rFonts w:ascii="Times New Roman" w:eastAsia="Calibri" w:hAnsi="Times New Roman" w:cs="Times New Roman"/>
          <w:b/>
          <w:bCs/>
          <w:noProof/>
          <w:sz w:val="24"/>
          <w:szCs w:val="24"/>
          <w:u w:val="single"/>
        </w:rPr>
      </w:pPr>
      <w:r>
        <w:rPr>
          <w:rFonts w:ascii="Times New Roman" w:hAnsi="Times New Roman"/>
          <w:b/>
          <w:noProof/>
          <w:sz w:val="24"/>
          <w:u w:val="single"/>
        </w:rPr>
        <w:t xml:space="preserve">В.2. </w:t>
      </w:r>
      <w:r>
        <w:rPr>
          <w:rFonts w:ascii="Times New Roman" w:hAnsi="Times New Roman"/>
          <w:b/>
          <w:noProof/>
          <w:sz w:val="24"/>
          <w:u w:val="single"/>
        </w:rPr>
        <w:tab/>
        <w:t>Ключови етапи, цели, показатели и график за мониторинг и изпълнение на безвъзмездната финансова подкрепа</w:t>
      </w:r>
    </w:p>
    <w:p w14:paraId="41371A8B" w14:textId="77777777" w:rsidR="007D338F" w:rsidRPr="008A0F8A" w:rsidRDefault="007D338F" w:rsidP="007D338F">
      <w:pPr>
        <w:spacing w:before="120" w:after="120" w:line="240" w:lineRule="auto"/>
        <w:ind w:left="709"/>
        <w:jc w:val="both"/>
        <w:rPr>
          <w:rFonts w:ascii="Times New Roman" w:eastAsia="Calibri" w:hAnsi="Times New Roman" w:cs="Times New Roman"/>
          <w:noProof/>
          <w:sz w:val="24"/>
          <w:lang w:val="ru-RU"/>
        </w:rPr>
        <w:sectPr w:rsidR="007D338F" w:rsidRPr="008A0F8A" w:rsidSect="00B60432">
          <w:headerReference w:type="even" r:id="rId42"/>
          <w:headerReference w:type="default" r:id="rId43"/>
          <w:footerReference w:type="even" r:id="rId44"/>
          <w:footerReference w:type="default" r:id="rId45"/>
          <w:headerReference w:type="first" r:id="rId46"/>
          <w:footerReference w:type="first" r:id="rId47"/>
          <w:pgSz w:w="11907" w:h="16839"/>
          <w:pgMar w:top="1134" w:right="1134" w:bottom="1134" w:left="1134" w:header="567" w:footer="567" w:gutter="0"/>
          <w:cols w:space="720"/>
          <w:docGrid w:linePitch="360"/>
        </w:sectPr>
      </w:pPr>
    </w:p>
    <w:tbl>
      <w:tblPr>
        <w:tblW w:w="15304" w:type="dxa"/>
        <w:tblLayout w:type="fixed"/>
        <w:tblLook w:val="04A0" w:firstRow="1" w:lastRow="0" w:firstColumn="1" w:lastColumn="0" w:noHBand="0" w:noVBand="1"/>
      </w:tblPr>
      <w:tblGrid>
        <w:gridCol w:w="709"/>
        <w:gridCol w:w="1701"/>
        <w:gridCol w:w="1134"/>
        <w:gridCol w:w="1785"/>
        <w:gridCol w:w="1587"/>
        <w:gridCol w:w="1301"/>
        <w:gridCol w:w="992"/>
        <w:gridCol w:w="851"/>
        <w:gridCol w:w="992"/>
        <w:gridCol w:w="709"/>
        <w:gridCol w:w="3543"/>
      </w:tblGrid>
      <w:tr w:rsidR="005A12E7" w:rsidRPr="005241FC" w14:paraId="7F66EC18" w14:textId="77777777" w:rsidTr="008E16C0">
        <w:trPr>
          <w:trHeight w:val="923"/>
          <w:tblHeader/>
        </w:trPr>
        <w:tc>
          <w:tcPr>
            <w:tcW w:w="70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5B26BD8" w14:textId="457B921D" w:rsidR="007D338F" w:rsidRPr="00D26611" w:rsidRDefault="000E55F8" w:rsidP="00C937A7">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Пореден номер</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8E002EE" w14:textId="77777777" w:rsidR="007D338F" w:rsidRPr="00D26611" w:rsidRDefault="007D338F" w:rsidP="00C937A7">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Свързана мярка (реформа или инвестиция)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4DD268C" w14:textId="77777777" w:rsidR="007D338F" w:rsidRPr="00D26611" w:rsidRDefault="007D338F" w:rsidP="00C937A7">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 xml:space="preserve">Ключов етап / </w:t>
            </w:r>
          </w:p>
          <w:p w14:paraId="231CAAA5" w14:textId="77777777" w:rsidR="007D338F" w:rsidRPr="00D26611" w:rsidRDefault="007D338F" w:rsidP="00C937A7">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Цел</w:t>
            </w:r>
          </w:p>
        </w:tc>
        <w:tc>
          <w:tcPr>
            <w:tcW w:w="178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DCB30FE" w14:textId="77777777" w:rsidR="007D338F" w:rsidRPr="00D26611" w:rsidRDefault="007D338F" w:rsidP="00C937A7">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Наименование</w:t>
            </w:r>
          </w:p>
        </w:tc>
        <w:tc>
          <w:tcPr>
            <w:tcW w:w="158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7234AD4" w14:textId="77777777" w:rsidR="007D338F" w:rsidRPr="00D26611" w:rsidRDefault="007D338F" w:rsidP="00C937A7">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 xml:space="preserve">Качествени показатели </w:t>
            </w:r>
            <w:r>
              <w:rPr>
                <w:rFonts w:ascii="Times New Roman" w:hAnsi="Times New Roman"/>
                <w:noProof/>
                <w:sz w:val="20"/>
              </w:rPr>
              <w:br/>
            </w:r>
            <w:r>
              <w:rPr>
                <w:rFonts w:ascii="Times New Roman" w:hAnsi="Times New Roman"/>
                <w:b/>
                <w:noProof/>
                <w:sz w:val="20"/>
              </w:rPr>
              <w:t>(за ключовите етапи)</w:t>
            </w:r>
          </w:p>
        </w:tc>
        <w:tc>
          <w:tcPr>
            <w:tcW w:w="3144" w:type="dxa"/>
            <w:gridSpan w:val="3"/>
            <w:tcBorders>
              <w:top w:val="single" w:sz="4" w:space="0" w:color="auto"/>
              <w:left w:val="nil"/>
              <w:bottom w:val="single" w:sz="4" w:space="0" w:color="auto"/>
              <w:right w:val="single" w:sz="4" w:space="0" w:color="auto"/>
            </w:tcBorders>
            <w:shd w:val="clear" w:color="auto" w:fill="BDD7EE"/>
            <w:vAlign w:val="center"/>
            <w:hideMark/>
          </w:tcPr>
          <w:p w14:paraId="3FFA7697" w14:textId="77777777" w:rsidR="007D338F" w:rsidRPr="00D26611" w:rsidRDefault="007D338F" w:rsidP="00C937A7">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 xml:space="preserve">Количествени показатели </w:t>
            </w:r>
            <w:r>
              <w:rPr>
                <w:rFonts w:ascii="Times New Roman" w:hAnsi="Times New Roman"/>
                <w:noProof/>
                <w:sz w:val="20"/>
              </w:rPr>
              <w:br/>
            </w:r>
            <w:r>
              <w:rPr>
                <w:rFonts w:ascii="Times New Roman" w:hAnsi="Times New Roman"/>
                <w:b/>
                <w:noProof/>
                <w:sz w:val="20"/>
              </w:rPr>
              <w:t>(за целите)</w:t>
            </w:r>
          </w:p>
        </w:tc>
        <w:tc>
          <w:tcPr>
            <w:tcW w:w="1701" w:type="dxa"/>
            <w:gridSpan w:val="2"/>
            <w:tcBorders>
              <w:top w:val="single" w:sz="4" w:space="0" w:color="auto"/>
              <w:left w:val="nil"/>
              <w:bottom w:val="single" w:sz="4" w:space="0" w:color="auto"/>
              <w:right w:val="single" w:sz="4" w:space="0" w:color="auto"/>
            </w:tcBorders>
            <w:shd w:val="clear" w:color="auto" w:fill="BDD7EE"/>
            <w:vAlign w:val="center"/>
            <w:hideMark/>
          </w:tcPr>
          <w:p w14:paraId="06A454F4" w14:textId="77777777" w:rsidR="007D338F" w:rsidRPr="00D26611" w:rsidRDefault="007D338F" w:rsidP="00C937A7">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 xml:space="preserve">Ориентировъчен график за приключване </w:t>
            </w:r>
          </w:p>
        </w:tc>
        <w:tc>
          <w:tcPr>
            <w:tcW w:w="354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95BBCCD" w14:textId="77777777" w:rsidR="007D338F" w:rsidRPr="00D26611" w:rsidRDefault="007D338F" w:rsidP="00C937A7">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Описание на всеки ключов етап и цел</w:t>
            </w:r>
          </w:p>
        </w:tc>
      </w:tr>
      <w:tr w:rsidR="005A12E7" w:rsidRPr="00D26611" w14:paraId="569D45AA" w14:textId="77777777" w:rsidTr="008E16C0">
        <w:trPr>
          <w:trHeight w:val="229"/>
          <w:tblHeader/>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2A7C5CF1" w14:textId="77777777" w:rsidR="007D338F" w:rsidRPr="008A0F8A" w:rsidRDefault="007D338F" w:rsidP="00C937A7">
            <w:pPr>
              <w:spacing w:after="0" w:line="240" w:lineRule="auto"/>
              <w:rPr>
                <w:rFonts w:ascii="Times New Roman" w:eastAsia="Times New Roman" w:hAnsi="Times New Roman" w:cs="Times New Roman"/>
                <w:b/>
                <w:bCs/>
                <w:noProof/>
                <w:sz w:val="20"/>
                <w:szCs w:val="20"/>
                <w:lang w:val="ru-RU" w:eastAsia="en-G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00645B9" w14:textId="77777777" w:rsidR="007D338F" w:rsidRPr="008A0F8A" w:rsidRDefault="007D338F" w:rsidP="00C937A7">
            <w:pPr>
              <w:spacing w:after="0" w:line="240" w:lineRule="auto"/>
              <w:rPr>
                <w:rFonts w:ascii="Times New Roman" w:eastAsia="Times New Roman" w:hAnsi="Times New Roman" w:cs="Times New Roman"/>
                <w:b/>
                <w:bCs/>
                <w:noProof/>
                <w:sz w:val="20"/>
                <w:szCs w:val="20"/>
                <w:lang w:val="ru-RU" w:eastAsia="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BAD7837" w14:textId="77777777" w:rsidR="007D338F" w:rsidRPr="008A0F8A" w:rsidRDefault="007D338F" w:rsidP="00C937A7">
            <w:pPr>
              <w:spacing w:after="0" w:line="240" w:lineRule="auto"/>
              <w:rPr>
                <w:rFonts w:ascii="Times New Roman" w:eastAsia="Times New Roman" w:hAnsi="Times New Roman" w:cs="Times New Roman"/>
                <w:b/>
                <w:bCs/>
                <w:noProof/>
                <w:sz w:val="20"/>
                <w:szCs w:val="20"/>
                <w:lang w:val="ru-RU" w:eastAsia="en-GB"/>
              </w:rPr>
            </w:pPr>
          </w:p>
        </w:tc>
        <w:tc>
          <w:tcPr>
            <w:tcW w:w="1785" w:type="dxa"/>
            <w:vMerge/>
            <w:tcBorders>
              <w:top w:val="single" w:sz="4" w:space="0" w:color="auto"/>
              <w:left w:val="single" w:sz="4" w:space="0" w:color="auto"/>
              <w:bottom w:val="single" w:sz="4" w:space="0" w:color="auto"/>
              <w:right w:val="single" w:sz="4" w:space="0" w:color="auto"/>
            </w:tcBorders>
            <w:vAlign w:val="center"/>
            <w:hideMark/>
          </w:tcPr>
          <w:p w14:paraId="18E99DB1" w14:textId="77777777" w:rsidR="007D338F" w:rsidRPr="008A0F8A" w:rsidRDefault="007D338F" w:rsidP="00C937A7">
            <w:pPr>
              <w:spacing w:after="0" w:line="240" w:lineRule="auto"/>
              <w:rPr>
                <w:rFonts w:ascii="Times New Roman" w:eastAsia="Times New Roman" w:hAnsi="Times New Roman" w:cs="Times New Roman"/>
                <w:b/>
                <w:bCs/>
                <w:noProof/>
                <w:sz w:val="20"/>
                <w:szCs w:val="20"/>
                <w:lang w:val="ru-RU" w:eastAsia="en-GB"/>
              </w:rPr>
            </w:pPr>
          </w:p>
        </w:tc>
        <w:tc>
          <w:tcPr>
            <w:tcW w:w="1587" w:type="dxa"/>
            <w:vMerge/>
            <w:tcBorders>
              <w:left w:val="single" w:sz="4" w:space="0" w:color="auto"/>
            </w:tcBorders>
            <w:vAlign w:val="center"/>
            <w:hideMark/>
          </w:tcPr>
          <w:p w14:paraId="555349EA" w14:textId="77777777" w:rsidR="007D338F" w:rsidRPr="008A0F8A" w:rsidRDefault="007D338F" w:rsidP="00C937A7">
            <w:pPr>
              <w:spacing w:after="0" w:line="240" w:lineRule="auto"/>
              <w:rPr>
                <w:rFonts w:ascii="Times New Roman" w:eastAsia="Times New Roman" w:hAnsi="Times New Roman" w:cs="Times New Roman"/>
                <w:b/>
                <w:bCs/>
                <w:noProof/>
                <w:sz w:val="20"/>
                <w:szCs w:val="20"/>
                <w:lang w:val="ru-RU" w:eastAsia="en-GB"/>
              </w:rPr>
            </w:pPr>
          </w:p>
        </w:tc>
        <w:tc>
          <w:tcPr>
            <w:tcW w:w="1301"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774769A5" w14:textId="77777777" w:rsidR="007D338F" w:rsidRPr="00D26611" w:rsidRDefault="007D338F" w:rsidP="00C937A7">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Мерна единица</w:t>
            </w:r>
          </w:p>
        </w:tc>
        <w:tc>
          <w:tcPr>
            <w:tcW w:w="992" w:type="dxa"/>
            <w:tcBorders>
              <w:top w:val="nil"/>
              <w:left w:val="nil"/>
              <w:bottom w:val="single" w:sz="4" w:space="0" w:color="auto"/>
              <w:right w:val="single" w:sz="4" w:space="0" w:color="auto"/>
            </w:tcBorders>
            <w:shd w:val="clear" w:color="auto" w:fill="BDD7EE"/>
            <w:vAlign w:val="center"/>
            <w:hideMark/>
          </w:tcPr>
          <w:p w14:paraId="09ACCC31" w14:textId="77777777" w:rsidR="007D338F" w:rsidRPr="00D26611" w:rsidRDefault="007D338F" w:rsidP="00C937A7">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 xml:space="preserve">Базова линия </w:t>
            </w:r>
          </w:p>
        </w:tc>
        <w:tc>
          <w:tcPr>
            <w:tcW w:w="851" w:type="dxa"/>
            <w:tcBorders>
              <w:top w:val="nil"/>
              <w:left w:val="nil"/>
              <w:bottom w:val="single" w:sz="4" w:space="0" w:color="auto"/>
              <w:right w:val="single" w:sz="4" w:space="0" w:color="auto"/>
            </w:tcBorders>
            <w:shd w:val="clear" w:color="auto" w:fill="BDD7EE"/>
            <w:vAlign w:val="center"/>
            <w:hideMark/>
          </w:tcPr>
          <w:p w14:paraId="452220FC" w14:textId="77777777" w:rsidR="007D338F" w:rsidRPr="00D26611" w:rsidRDefault="007D338F" w:rsidP="00C937A7">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 xml:space="preserve">Цел </w:t>
            </w:r>
          </w:p>
        </w:tc>
        <w:tc>
          <w:tcPr>
            <w:tcW w:w="992" w:type="dxa"/>
            <w:tcBorders>
              <w:top w:val="nil"/>
              <w:left w:val="nil"/>
              <w:bottom w:val="single" w:sz="4" w:space="0" w:color="auto"/>
              <w:right w:val="single" w:sz="4" w:space="0" w:color="auto"/>
            </w:tcBorders>
            <w:shd w:val="clear" w:color="auto" w:fill="BDD7EE"/>
            <w:vAlign w:val="center"/>
            <w:hideMark/>
          </w:tcPr>
          <w:p w14:paraId="49582B54" w14:textId="77777777" w:rsidR="007D338F" w:rsidRPr="00D26611" w:rsidRDefault="007D338F" w:rsidP="00C937A7">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Тримесечие</w:t>
            </w:r>
          </w:p>
        </w:tc>
        <w:tc>
          <w:tcPr>
            <w:tcW w:w="709" w:type="dxa"/>
            <w:tcBorders>
              <w:top w:val="nil"/>
              <w:left w:val="nil"/>
              <w:bottom w:val="single" w:sz="4" w:space="0" w:color="auto"/>
              <w:right w:val="single" w:sz="4" w:space="0" w:color="auto"/>
            </w:tcBorders>
            <w:shd w:val="clear" w:color="auto" w:fill="BDD7EE"/>
            <w:vAlign w:val="center"/>
            <w:hideMark/>
          </w:tcPr>
          <w:p w14:paraId="56830FCE" w14:textId="77777777" w:rsidR="007D338F" w:rsidRPr="00D26611" w:rsidRDefault="007D338F" w:rsidP="00C937A7">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Година</w:t>
            </w:r>
          </w:p>
        </w:tc>
        <w:tc>
          <w:tcPr>
            <w:tcW w:w="3543" w:type="dxa"/>
            <w:vMerge/>
            <w:tcBorders>
              <w:top w:val="single" w:sz="4" w:space="0" w:color="auto"/>
              <w:bottom w:val="single" w:sz="4" w:space="0" w:color="auto"/>
              <w:right w:val="single" w:sz="4" w:space="0" w:color="auto"/>
            </w:tcBorders>
            <w:vAlign w:val="center"/>
            <w:hideMark/>
          </w:tcPr>
          <w:p w14:paraId="7D0226F3" w14:textId="77777777" w:rsidR="007D338F" w:rsidRPr="00D26611" w:rsidRDefault="007D338F" w:rsidP="00C937A7">
            <w:pPr>
              <w:spacing w:after="0" w:line="240" w:lineRule="auto"/>
              <w:rPr>
                <w:rFonts w:ascii="Times New Roman" w:eastAsia="Times New Roman" w:hAnsi="Times New Roman" w:cs="Times New Roman"/>
                <w:b/>
                <w:bCs/>
                <w:noProof/>
                <w:sz w:val="20"/>
                <w:szCs w:val="20"/>
                <w:lang w:val="en-GB" w:eastAsia="en-GB"/>
              </w:rPr>
            </w:pPr>
          </w:p>
        </w:tc>
      </w:tr>
      <w:tr w:rsidR="005A12E7" w:rsidRPr="005241FC" w14:paraId="1BBE1356" w14:textId="77777777" w:rsidTr="008E16C0">
        <w:trPr>
          <w:trHeight w:val="307"/>
        </w:trPr>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A8681AB" w14:textId="3262DFDB" w:rsidR="007D338F" w:rsidRPr="00D26611" w:rsidRDefault="00DE4AB0" w:rsidP="007237B7">
            <w:pPr>
              <w:spacing w:after="0" w:line="240" w:lineRule="auto"/>
              <w:jc w:val="center"/>
              <w:rPr>
                <w:rFonts w:ascii="Times New Roman" w:hAnsi="Times New Roman" w:cs="Times New Roman"/>
                <w:noProof/>
                <w:color w:val="006100"/>
                <w:sz w:val="20"/>
                <w:szCs w:val="20"/>
              </w:rPr>
            </w:pPr>
            <w:r>
              <w:rPr>
                <w:rFonts w:ascii="Times New Roman" w:hAnsi="Times New Roman"/>
                <w:noProof/>
                <w:color w:val="006100"/>
                <w:sz w:val="20"/>
              </w:rPr>
              <w:t>35</w:t>
            </w:r>
          </w:p>
        </w:tc>
        <w:tc>
          <w:tcPr>
            <w:tcW w:w="1701" w:type="dxa"/>
            <w:tcBorders>
              <w:top w:val="single" w:sz="4" w:space="0" w:color="auto"/>
              <w:left w:val="nil"/>
              <w:bottom w:val="single" w:sz="4" w:space="0" w:color="auto"/>
              <w:right w:val="single" w:sz="4" w:space="0" w:color="auto"/>
            </w:tcBorders>
            <w:shd w:val="clear" w:color="auto" w:fill="C6EFCE"/>
            <w:noWrap/>
            <w:vAlign w:val="center"/>
            <w:hideMark/>
          </w:tcPr>
          <w:p w14:paraId="0CBD67DA" w14:textId="77777777" w:rsidR="00183158" w:rsidRPr="00D26611" w:rsidRDefault="005D1BB8" w:rsidP="005D1BB8">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К3.Р1: </w:t>
            </w:r>
          </w:p>
          <w:p w14:paraId="45296113" w14:textId="024ADAED" w:rsidR="007D338F" w:rsidRPr="00D26611" w:rsidRDefault="007D338F" w:rsidP="005D1BB8">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Нормативна уредба с оглед на привличането на промишлени инвестиции и развитието на промишлени екосистеми</w:t>
            </w:r>
          </w:p>
        </w:tc>
        <w:tc>
          <w:tcPr>
            <w:tcW w:w="1134" w:type="dxa"/>
            <w:tcBorders>
              <w:top w:val="single" w:sz="4" w:space="0" w:color="auto"/>
              <w:left w:val="nil"/>
              <w:bottom w:val="single" w:sz="4" w:space="0" w:color="auto"/>
              <w:right w:val="single" w:sz="4" w:space="0" w:color="auto"/>
            </w:tcBorders>
            <w:shd w:val="clear" w:color="auto" w:fill="C6EFCE"/>
            <w:noWrap/>
            <w:vAlign w:val="center"/>
            <w:hideMark/>
          </w:tcPr>
          <w:p w14:paraId="5F7DFB94" w14:textId="77777777" w:rsidR="007D338F" w:rsidRPr="00D26611" w:rsidRDefault="007D338F" w:rsidP="005D1BB8">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Ключов етап</w:t>
            </w:r>
          </w:p>
        </w:tc>
        <w:tc>
          <w:tcPr>
            <w:tcW w:w="1785" w:type="dxa"/>
            <w:tcBorders>
              <w:top w:val="single" w:sz="4" w:space="0" w:color="auto"/>
              <w:left w:val="nil"/>
              <w:bottom w:val="single" w:sz="4" w:space="0" w:color="auto"/>
              <w:right w:val="single" w:sz="4" w:space="0" w:color="auto"/>
            </w:tcBorders>
            <w:shd w:val="clear" w:color="auto" w:fill="C6EFCE"/>
            <w:noWrap/>
            <w:vAlign w:val="center"/>
          </w:tcPr>
          <w:p w14:paraId="7F294942" w14:textId="5292D265" w:rsidR="007D338F" w:rsidRPr="00D26611" w:rsidRDefault="007D338F" w:rsidP="005D1BB8">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Влизане в сила на новия Закон за индустриалните паркове</w:t>
            </w:r>
          </w:p>
        </w:tc>
        <w:tc>
          <w:tcPr>
            <w:tcW w:w="1587" w:type="dxa"/>
            <w:tcBorders>
              <w:top w:val="single" w:sz="4" w:space="0" w:color="auto"/>
              <w:left w:val="nil"/>
              <w:bottom w:val="single" w:sz="4" w:space="0" w:color="auto"/>
              <w:right w:val="single" w:sz="4" w:space="0" w:color="auto"/>
            </w:tcBorders>
            <w:shd w:val="clear" w:color="auto" w:fill="C6EFCE"/>
            <w:noWrap/>
            <w:vAlign w:val="center"/>
          </w:tcPr>
          <w:p w14:paraId="6DEC69C7" w14:textId="4AD1A168" w:rsidR="007D338F" w:rsidRPr="00D26611" w:rsidRDefault="007D338F" w:rsidP="005D1BB8">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Влизане в сила на Закона за индустриалните паркове</w:t>
            </w:r>
          </w:p>
        </w:tc>
        <w:tc>
          <w:tcPr>
            <w:tcW w:w="1301" w:type="dxa"/>
            <w:tcBorders>
              <w:top w:val="nil"/>
              <w:left w:val="nil"/>
              <w:bottom w:val="single" w:sz="4" w:space="0" w:color="auto"/>
              <w:right w:val="single" w:sz="4" w:space="0" w:color="auto"/>
            </w:tcBorders>
            <w:shd w:val="clear" w:color="auto" w:fill="C6EFCE"/>
            <w:noWrap/>
            <w:vAlign w:val="center"/>
          </w:tcPr>
          <w:p w14:paraId="21A2DA6D" w14:textId="77777777" w:rsidR="007D338F" w:rsidRPr="008A0F8A" w:rsidRDefault="007D338F" w:rsidP="007237B7">
            <w:pPr>
              <w:spacing w:after="0" w:line="240" w:lineRule="auto"/>
              <w:jc w:val="center"/>
              <w:rPr>
                <w:rFonts w:ascii="Times New Roman" w:hAnsi="Times New Roman" w:cs="Times New Roman"/>
                <w:noProof/>
                <w:color w:val="006100"/>
                <w:sz w:val="20"/>
                <w:szCs w:val="20"/>
                <w:lang w:val="ru-RU"/>
              </w:rPr>
            </w:pPr>
          </w:p>
        </w:tc>
        <w:tc>
          <w:tcPr>
            <w:tcW w:w="992" w:type="dxa"/>
            <w:tcBorders>
              <w:top w:val="nil"/>
              <w:left w:val="nil"/>
              <w:bottom w:val="single" w:sz="4" w:space="0" w:color="auto"/>
              <w:right w:val="single" w:sz="4" w:space="0" w:color="auto"/>
            </w:tcBorders>
            <w:shd w:val="clear" w:color="auto" w:fill="C6EFCE"/>
            <w:noWrap/>
            <w:vAlign w:val="center"/>
          </w:tcPr>
          <w:p w14:paraId="7FA2470F" w14:textId="77777777" w:rsidR="007D338F" w:rsidRPr="008A0F8A" w:rsidRDefault="007D338F" w:rsidP="007237B7">
            <w:pPr>
              <w:spacing w:after="0" w:line="240" w:lineRule="auto"/>
              <w:jc w:val="center"/>
              <w:rPr>
                <w:rFonts w:ascii="Times New Roman" w:hAnsi="Times New Roman" w:cs="Times New Roman"/>
                <w:noProof/>
                <w:color w:val="006100"/>
                <w:sz w:val="20"/>
                <w:szCs w:val="20"/>
                <w:lang w:val="ru-RU"/>
              </w:rPr>
            </w:pPr>
          </w:p>
        </w:tc>
        <w:tc>
          <w:tcPr>
            <w:tcW w:w="851" w:type="dxa"/>
            <w:tcBorders>
              <w:top w:val="nil"/>
              <w:left w:val="nil"/>
              <w:bottom w:val="single" w:sz="4" w:space="0" w:color="auto"/>
              <w:right w:val="single" w:sz="4" w:space="0" w:color="auto"/>
            </w:tcBorders>
            <w:shd w:val="clear" w:color="auto" w:fill="C6EFCE"/>
            <w:noWrap/>
            <w:vAlign w:val="center"/>
          </w:tcPr>
          <w:p w14:paraId="0F8D04E3" w14:textId="77777777" w:rsidR="007D338F" w:rsidRPr="008A0F8A" w:rsidRDefault="007D338F" w:rsidP="007237B7">
            <w:pPr>
              <w:spacing w:after="0" w:line="240" w:lineRule="auto"/>
              <w:jc w:val="center"/>
              <w:rPr>
                <w:rFonts w:ascii="Times New Roman" w:hAnsi="Times New Roman" w:cs="Times New Roman"/>
                <w:noProof/>
                <w:color w:val="006100"/>
                <w:sz w:val="20"/>
                <w:szCs w:val="20"/>
                <w:lang w:val="ru-RU"/>
              </w:rPr>
            </w:pPr>
          </w:p>
        </w:tc>
        <w:tc>
          <w:tcPr>
            <w:tcW w:w="992" w:type="dxa"/>
            <w:tcBorders>
              <w:top w:val="nil"/>
              <w:left w:val="nil"/>
              <w:bottom w:val="single" w:sz="4" w:space="0" w:color="auto"/>
              <w:right w:val="single" w:sz="4" w:space="0" w:color="auto"/>
            </w:tcBorders>
            <w:shd w:val="clear" w:color="auto" w:fill="C6EFCE"/>
            <w:noWrap/>
            <w:vAlign w:val="center"/>
          </w:tcPr>
          <w:p w14:paraId="30012473" w14:textId="77777777" w:rsidR="007D338F" w:rsidRPr="00D26611" w:rsidRDefault="007D338F" w:rsidP="007237B7">
            <w:pPr>
              <w:spacing w:after="0" w:line="240" w:lineRule="auto"/>
              <w:jc w:val="center"/>
              <w:rPr>
                <w:rFonts w:ascii="Times New Roman" w:hAnsi="Times New Roman" w:cs="Times New Roman"/>
                <w:noProof/>
                <w:color w:val="006100"/>
                <w:sz w:val="20"/>
                <w:szCs w:val="20"/>
              </w:rPr>
            </w:pPr>
            <w:r>
              <w:rPr>
                <w:rFonts w:ascii="Times New Roman" w:hAnsi="Times New Roman"/>
                <w:noProof/>
                <w:color w:val="006100"/>
                <w:sz w:val="20"/>
              </w:rPr>
              <w:t>T1</w:t>
            </w:r>
          </w:p>
        </w:tc>
        <w:tc>
          <w:tcPr>
            <w:tcW w:w="709" w:type="dxa"/>
            <w:tcBorders>
              <w:top w:val="nil"/>
              <w:left w:val="nil"/>
              <w:bottom w:val="single" w:sz="4" w:space="0" w:color="auto"/>
              <w:right w:val="single" w:sz="4" w:space="0" w:color="auto"/>
            </w:tcBorders>
            <w:shd w:val="clear" w:color="auto" w:fill="C6EFCE"/>
            <w:noWrap/>
            <w:vAlign w:val="center"/>
          </w:tcPr>
          <w:p w14:paraId="36E01B28" w14:textId="77777777" w:rsidR="007D338F" w:rsidRPr="00D26611" w:rsidRDefault="007D338F" w:rsidP="007237B7">
            <w:pPr>
              <w:spacing w:after="0" w:line="240" w:lineRule="auto"/>
              <w:jc w:val="center"/>
              <w:rPr>
                <w:rFonts w:ascii="Times New Roman" w:hAnsi="Times New Roman" w:cs="Times New Roman"/>
                <w:noProof/>
                <w:color w:val="006100"/>
                <w:sz w:val="20"/>
                <w:szCs w:val="20"/>
              </w:rPr>
            </w:pPr>
            <w:r>
              <w:rPr>
                <w:rFonts w:ascii="Times New Roman" w:hAnsi="Times New Roman"/>
                <w:noProof/>
                <w:color w:val="006100"/>
                <w:sz w:val="20"/>
              </w:rPr>
              <w:t>2021</w:t>
            </w:r>
          </w:p>
        </w:tc>
        <w:tc>
          <w:tcPr>
            <w:tcW w:w="3543" w:type="dxa"/>
            <w:tcBorders>
              <w:top w:val="single" w:sz="4" w:space="0" w:color="auto"/>
              <w:left w:val="nil"/>
              <w:bottom w:val="single" w:sz="4" w:space="0" w:color="auto"/>
              <w:right w:val="single" w:sz="4" w:space="0" w:color="auto"/>
            </w:tcBorders>
            <w:shd w:val="clear" w:color="auto" w:fill="C6EFCE"/>
            <w:noWrap/>
            <w:vAlign w:val="center"/>
          </w:tcPr>
          <w:p w14:paraId="4E7E9D08" w14:textId="77777777"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Новият Закон за индустриалните паркове: </w:t>
            </w:r>
          </w:p>
          <w:p w14:paraId="6A5B0B07" w14:textId="77777777"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ще регламентира държавната подкрепа и стимули за привличане на инвестиции в индустриалните паркове;</w:t>
            </w:r>
          </w:p>
          <w:p w14:paraId="41C3048D" w14:textId="77777777"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ще ускори процедурите за инвестиции в промишлеността; както и</w:t>
            </w:r>
          </w:p>
          <w:p w14:paraId="71927C79" w14:textId="77777777"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 ще предвиди минимални стандарти за инвестициите в индустриалните паркове, за да могат да бъдат подкрепяни от държавата. </w:t>
            </w:r>
          </w:p>
        </w:tc>
      </w:tr>
      <w:tr w:rsidR="005A12E7" w:rsidRPr="005241FC" w14:paraId="367F270A" w14:textId="77777777" w:rsidTr="008E16C0">
        <w:trPr>
          <w:trHeight w:val="307"/>
        </w:trPr>
        <w:tc>
          <w:tcPr>
            <w:tcW w:w="709" w:type="dxa"/>
            <w:tcBorders>
              <w:top w:val="single" w:sz="4" w:space="0" w:color="000000" w:themeColor="text1"/>
              <w:left w:val="single" w:sz="4" w:space="0" w:color="auto"/>
              <w:bottom w:val="single" w:sz="4" w:space="0" w:color="auto"/>
              <w:right w:val="single" w:sz="4" w:space="0" w:color="auto"/>
            </w:tcBorders>
            <w:shd w:val="clear" w:color="auto" w:fill="C6EFCE"/>
            <w:noWrap/>
            <w:vAlign w:val="center"/>
            <w:hideMark/>
          </w:tcPr>
          <w:p w14:paraId="65F89AF0" w14:textId="46EB0A9C" w:rsidR="007D338F" w:rsidRPr="00D26611" w:rsidRDefault="00DE4AB0" w:rsidP="007237B7">
            <w:pPr>
              <w:spacing w:after="0" w:line="240" w:lineRule="auto"/>
              <w:jc w:val="center"/>
              <w:rPr>
                <w:rFonts w:ascii="Times New Roman" w:hAnsi="Times New Roman" w:cs="Times New Roman"/>
                <w:noProof/>
                <w:color w:val="006100"/>
                <w:sz w:val="20"/>
                <w:szCs w:val="20"/>
              </w:rPr>
            </w:pPr>
            <w:r>
              <w:rPr>
                <w:rFonts w:ascii="Times New Roman" w:hAnsi="Times New Roman"/>
                <w:noProof/>
                <w:color w:val="006100"/>
                <w:sz w:val="20"/>
              </w:rPr>
              <w:t>36</w:t>
            </w:r>
          </w:p>
        </w:tc>
        <w:tc>
          <w:tcPr>
            <w:tcW w:w="1701" w:type="dxa"/>
            <w:tcBorders>
              <w:top w:val="single" w:sz="4" w:space="0" w:color="000000" w:themeColor="text1"/>
              <w:left w:val="nil"/>
              <w:bottom w:val="single" w:sz="4" w:space="0" w:color="auto"/>
              <w:right w:val="single" w:sz="4" w:space="0" w:color="auto"/>
            </w:tcBorders>
            <w:shd w:val="clear" w:color="auto" w:fill="C6EFCE"/>
            <w:noWrap/>
            <w:vAlign w:val="center"/>
          </w:tcPr>
          <w:p w14:paraId="0D5CDB15" w14:textId="6F36F898" w:rsidR="007D338F" w:rsidRPr="00D26611" w:rsidRDefault="005D1BB8" w:rsidP="005D1BB8">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К3.И1: AttractInvestBG</w:t>
            </w:r>
          </w:p>
        </w:tc>
        <w:tc>
          <w:tcPr>
            <w:tcW w:w="1134" w:type="dxa"/>
            <w:tcBorders>
              <w:top w:val="single" w:sz="4" w:space="0" w:color="000000" w:themeColor="text1"/>
              <w:left w:val="nil"/>
              <w:bottom w:val="single" w:sz="4" w:space="0" w:color="auto"/>
              <w:right w:val="single" w:sz="4" w:space="0" w:color="auto"/>
            </w:tcBorders>
            <w:shd w:val="clear" w:color="auto" w:fill="C6EFCE"/>
            <w:noWrap/>
            <w:vAlign w:val="center"/>
          </w:tcPr>
          <w:p w14:paraId="3E4D6BB4" w14:textId="77777777" w:rsidR="007D338F" w:rsidRPr="00D26611" w:rsidRDefault="007D338F" w:rsidP="005D1BB8">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Цел</w:t>
            </w:r>
          </w:p>
        </w:tc>
        <w:tc>
          <w:tcPr>
            <w:tcW w:w="1785" w:type="dxa"/>
            <w:tcBorders>
              <w:top w:val="single" w:sz="4" w:space="0" w:color="000000" w:themeColor="text1"/>
              <w:left w:val="nil"/>
              <w:bottom w:val="single" w:sz="4" w:space="0" w:color="auto"/>
              <w:right w:val="single" w:sz="4" w:space="0" w:color="auto"/>
            </w:tcBorders>
            <w:shd w:val="clear" w:color="auto" w:fill="C6EFCE"/>
            <w:noWrap/>
            <w:vAlign w:val="center"/>
          </w:tcPr>
          <w:p w14:paraId="3B299F46" w14:textId="659E579D" w:rsidR="007D338F" w:rsidRPr="00D26611" w:rsidRDefault="007D338F" w:rsidP="005D1BB8">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Предоставяне на безвъзмездни средства за развитието на индустриални паркове/зони и сключване на договори</w:t>
            </w:r>
          </w:p>
        </w:tc>
        <w:tc>
          <w:tcPr>
            <w:tcW w:w="1587" w:type="dxa"/>
            <w:tcBorders>
              <w:top w:val="single" w:sz="4" w:space="0" w:color="000000" w:themeColor="text1"/>
              <w:left w:val="nil"/>
              <w:bottom w:val="single" w:sz="4" w:space="0" w:color="auto"/>
              <w:right w:val="single" w:sz="4" w:space="0" w:color="auto"/>
            </w:tcBorders>
            <w:shd w:val="clear" w:color="auto" w:fill="C6EFCE"/>
            <w:noWrap/>
            <w:vAlign w:val="center"/>
          </w:tcPr>
          <w:p w14:paraId="46D013D3" w14:textId="77777777" w:rsidR="007D338F" w:rsidRPr="008A0F8A" w:rsidRDefault="007D338F" w:rsidP="005D1BB8">
            <w:pPr>
              <w:spacing w:after="0" w:line="240" w:lineRule="auto"/>
              <w:rPr>
                <w:rFonts w:ascii="Times New Roman" w:hAnsi="Times New Roman" w:cs="Times New Roman"/>
                <w:noProof/>
                <w:color w:val="006100"/>
                <w:sz w:val="20"/>
                <w:szCs w:val="20"/>
                <w:lang w:val="ru-RU"/>
              </w:rPr>
            </w:pPr>
          </w:p>
        </w:tc>
        <w:tc>
          <w:tcPr>
            <w:tcW w:w="1301" w:type="dxa"/>
            <w:tcBorders>
              <w:top w:val="single" w:sz="4" w:space="0" w:color="000000" w:themeColor="text1"/>
              <w:left w:val="nil"/>
              <w:bottom w:val="single" w:sz="4" w:space="0" w:color="auto"/>
              <w:right w:val="single" w:sz="4" w:space="0" w:color="auto"/>
            </w:tcBorders>
            <w:shd w:val="clear" w:color="auto" w:fill="C6EFCE"/>
            <w:noWrap/>
            <w:vAlign w:val="center"/>
          </w:tcPr>
          <w:p w14:paraId="379565DC" w14:textId="6729E786" w:rsidR="007D338F" w:rsidRPr="00D26611" w:rsidRDefault="007D338F" w:rsidP="007237B7">
            <w:pPr>
              <w:spacing w:after="0" w:line="240" w:lineRule="auto"/>
              <w:jc w:val="center"/>
              <w:rPr>
                <w:rFonts w:ascii="Times New Roman" w:hAnsi="Times New Roman" w:cs="Times New Roman"/>
                <w:noProof/>
                <w:color w:val="006100"/>
                <w:sz w:val="20"/>
                <w:szCs w:val="20"/>
              </w:rPr>
            </w:pPr>
            <w:r>
              <w:rPr>
                <w:rFonts w:ascii="Times New Roman" w:hAnsi="Times New Roman"/>
                <w:noProof/>
                <w:color w:val="006100"/>
                <w:sz w:val="20"/>
              </w:rPr>
              <w:t>Брой</w:t>
            </w:r>
          </w:p>
        </w:tc>
        <w:tc>
          <w:tcPr>
            <w:tcW w:w="992" w:type="dxa"/>
            <w:tcBorders>
              <w:top w:val="single" w:sz="4" w:space="0" w:color="000000" w:themeColor="text1"/>
              <w:left w:val="nil"/>
              <w:bottom w:val="single" w:sz="4" w:space="0" w:color="auto"/>
              <w:right w:val="single" w:sz="4" w:space="0" w:color="auto"/>
            </w:tcBorders>
            <w:shd w:val="clear" w:color="auto" w:fill="C6EFCE"/>
            <w:noWrap/>
            <w:vAlign w:val="center"/>
          </w:tcPr>
          <w:p w14:paraId="79718B73" w14:textId="77777777" w:rsidR="007D338F" w:rsidRPr="00D26611" w:rsidRDefault="007D338F" w:rsidP="007237B7">
            <w:pPr>
              <w:spacing w:after="0" w:line="240" w:lineRule="auto"/>
              <w:jc w:val="center"/>
              <w:rPr>
                <w:rFonts w:ascii="Times New Roman" w:hAnsi="Times New Roman" w:cs="Times New Roman"/>
                <w:noProof/>
                <w:color w:val="006100"/>
                <w:sz w:val="20"/>
                <w:szCs w:val="20"/>
              </w:rPr>
            </w:pPr>
            <w:r>
              <w:rPr>
                <w:rFonts w:ascii="Times New Roman" w:hAnsi="Times New Roman"/>
                <w:noProof/>
                <w:color w:val="006100"/>
                <w:sz w:val="20"/>
              </w:rPr>
              <w:t>0</w:t>
            </w:r>
          </w:p>
        </w:tc>
        <w:tc>
          <w:tcPr>
            <w:tcW w:w="851" w:type="dxa"/>
            <w:tcBorders>
              <w:top w:val="single" w:sz="4" w:space="0" w:color="000000" w:themeColor="text1"/>
              <w:left w:val="nil"/>
              <w:bottom w:val="single" w:sz="4" w:space="0" w:color="auto"/>
              <w:right w:val="single" w:sz="4" w:space="0" w:color="auto"/>
            </w:tcBorders>
            <w:shd w:val="clear" w:color="auto" w:fill="C6EFCE"/>
            <w:noWrap/>
            <w:vAlign w:val="center"/>
          </w:tcPr>
          <w:p w14:paraId="13FFB583" w14:textId="77777777" w:rsidR="007D338F" w:rsidRPr="00D26611" w:rsidRDefault="007D338F" w:rsidP="007237B7">
            <w:pPr>
              <w:spacing w:after="0" w:line="240" w:lineRule="auto"/>
              <w:jc w:val="center"/>
              <w:rPr>
                <w:rFonts w:ascii="Times New Roman" w:hAnsi="Times New Roman" w:cs="Times New Roman"/>
                <w:noProof/>
                <w:color w:val="006100"/>
                <w:sz w:val="20"/>
                <w:szCs w:val="20"/>
              </w:rPr>
            </w:pPr>
            <w:r>
              <w:rPr>
                <w:rFonts w:ascii="Times New Roman" w:hAnsi="Times New Roman"/>
                <w:noProof/>
                <w:color w:val="006100"/>
                <w:sz w:val="20"/>
              </w:rPr>
              <w:t>5</w:t>
            </w:r>
          </w:p>
        </w:tc>
        <w:tc>
          <w:tcPr>
            <w:tcW w:w="992" w:type="dxa"/>
            <w:tcBorders>
              <w:top w:val="single" w:sz="4" w:space="0" w:color="000000" w:themeColor="text1"/>
              <w:left w:val="nil"/>
              <w:bottom w:val="single" w:sz="4" w:space="0" w:color="auto"/>
              <w:right w:val="single" w:sz="4" w:space="0" w:color="auto"/>
            </w:tcBorders>
            <w:shd w:val="clear" w:color="auto" w:fill="C6EFCE"/>
            <w:noWrap/>
            <w:vAlign w:val="center"/>
          </w:tcPr>
          <w:p w14:paraId="53E32A72" w14:textId="77777777" w:rsidR="007D338F" w:rsidRPr="00D26611" w:rsidRDefault="007D338F" w:rsidP="007237B7">
            <w:pPr>
              <w:spacing w:after="0" w:line="240" w:lineRule="auto"/>
              <w:jc w:val="center"/>
              <w:rPr>
                <w:rFonts w:ascii="Times New Roman" w:hAnsi="Times New Roman" w:cs="Times New Roman"/>
                <w:noProof/>
                <w:color w:val="006100"/>
                <w:sz w:val="20"/>
                <w:szCs w:val="20"/>
              </w:rPr>
            </w:pPr>
            <w:r>
              <w:rPr>
                <w:rFonts w:ascii="Times New Roman" w:hAnsi="Times New Roman"/>
                <w:noProof/>
                <w:color w:val="006100"/>
                <w:sz w:val="20"/>
              </w:rPr>
              <w:t>T1</w:t>
            </w:r>
          </w:p>
        </w:tc>
        <w:tc>
          <w:tcPr>
            <w:tcW w:w="709" w:type="dxa"/>
            <w:tcBorders>
              <w:top w:val="single" w:sz="4" w:space="0" w:color="000000" w:themeColor="text1"/>
              <w:left w:val="nil"/>
              <w:bottom w:val="single" w:sz="4" w:space="0" w:color="auto"/>
              <w:right w:val="single" w:sz="4" w:space="0" w:color="auto"/>
            </w:tcBorders>
            <w:shd w:val="clear" w:color="auto" w:fill="C6EFCE"/>
            <w:noWrap/>
            <w:vAlign w:val="center"/>
          </w:tcPr>
          <w:p w14:paraId="4CE038AC" w14:textId="77777777" w:rsidR="007D338F" w:rsidRPr="00D26611" w:rsidRDefault="007D338F" w:rsidP="007237B7">
            <w:pPr>
              <w:spacing w:after="0" w:line="240" w:lineRule="auto"/>
              <w:jc w:val="center"/>
              <w:rPr>
                <w:rFonts w:ascii="Times New Roman" w:hAnsi="Times New Roman" w:cs="Times New Roman"/>
                <w:noProof/>
                <w:color w:val="006100"/>
                <w:sz w:val="20"/>
                <w:szCs w:val="20"/>
              </w:rPr>
            </w:pPr>
            <w:r>
              <w:rPr>
                <w:rFonts w:ascii="Times New Roman" w:hAnsi="Times New Roman"/>
                <w:noProof/>
                <w:color w:val="006100"/>
                <w:sz w:val="20"/>
              </w:rPr>
              <w:t>2023</w:t>
            </w:r>
          </w:p>
        </w:tc>
        <w:tc>
          <w:tcPr>
            <w:tcW w:w="3543" w:type="dxa"/>
            <w:tcBorders>
              <w:top w:val="single" w:sz="4" w:space="0" w:color="000000" w:themeColor="text1"/>
              <w:left w:val="nil"/>
              <w:bottom w:val="single" w:sz="4" w:space="0" w:color="auto"/>
              <w:right w:val="single" w:sz="4" w:space="0" w:color="auto"/>
            </w:tcBorders>
            <w:shd w:val="clear" w:color="auto" w:fill="C6EFCE"/>
            <w:noWrap/>
            <w:vAlign w:val="bottom"/>
          </w:tcPr>
          <w:p w14:paraId="50EAEF7B" w14:textId="42D2E138" w:rsidR="007D338F" w:rsidRPr="00D26611" w:rsidRDefault="007D338F" w:rsidP="00C937A7">
            <w:pPr>
              <w:spacing w:after="0" w:line="240" w:lineRule="auto"/>
              <w:jc w:val="both"/>
              <w:rPr>
                <w:rFonts w:ascii="Times New Roman" w:hAnsi="Times New Roman" w:cs="Times New Roman"/>
                <w:noProof/>
                <w:color w:val="006100"/>
                <w:sz w:val="20"/>
                <w:szCs w:val="20"/>
              </w:rPr>
            </w:pPr>
            <w:r>
              <w:rPr>
                <w:rFonts w:ascii="Times New Roman" w:hAnsi="Times New Roman"/>
                <w:noProof/>
                <w:color w:val="006100"/>
                <w:sz w:val="20"/>
              </w:rPr>
              <w:t>Министерството на иновациите и растежа ще подбере минимум пет индустриални парка или зони (нови, в процес на изграждане или съществуващи) и техните оператори за подкрепа чрез безвъзмездни средства. Процедурата за подбор ще бъде публична, открита и конкурентна; подборът ще се основава на ясни критерии. Сред основните критерии за подбор ще спада очакваното въздействие (след анализ) на всеки парк или зона върху икономиката и заетостта. Критериите за подбор ще дадат приоритет на индустриалните зони и паркове в Северна България.</w:t>
            </w:r>
          </w:p>
          <w:p w14:paraId="5FF22915" w14:textId="77777777" w:rsidR="007D338F" w:rsidRPr="008A0F8A" w:rsidRDefault="007D338F" w:rsidP="00C937A7">
            <w:pPr>
              <w:spacing w:after="0" w:line="240" w:lineRule="auto"/>
              <w:jc w:val="both"/>
              <w:rPr>
                <w:rFonts w:ascii="Times New Roman" w:hAnsi="Times New Roman" w:cs="Times New Roman"/>
                <w:noProof/>
                <w:color w:val="006100"/>
                <w:sz w:val="20"/>
                <w:szCs w:val="20"/>
                <w:lang w:val="ru-RU"/>
              </w:rPr>
            </w:pPr>
          </w:p>
          <w:p w14:paraId="681EFDF1" w14:textId="208C33C9" w:rsidR="007D338F" w:rsidRPr="00D26611" w:rsidRDefault="007D338F" w:rsidP="00C937A7">
            <w:pPr>
              <w:spacing w:after="0" w:line="240" w:lineRule="auto"/>
              <w:jc w:val="both"/>
              <w:rPr>
                <w:rFonts w:ascii="Times New Roman" w:hAnsi="Times New Roman" w:cs="Times New Roman"/>
                <w:noProof/>
                <w:color w:val="006100"/>
                <w:sz w:val="20"/>
                <w:szCs w:val="20"/>
              </w:rPr>
            </w:pPr>
            <w:r>
              <w:rPr>
                <w:rFonts w:ascii="Times New Roman" w:hAnsi="Times New Roman"/>
                <w:noProof/>
                <w:color w:val="006100"/>
                <w:sz w:val="20"/>
              </w:rPr>
              <w:t>Потенциалните оператори, кандидатстващи за безвъзмездни средства, ще трябва, наред с другото, да включат в заявлението си стратегия за развитие и бизнес план на индустриалния парк или зона, в т.ч. анализ на следните аспекти:</w:t>
            </w:r>
          </w:p>
          <w:p w14:paraId="0800F54C" w14:textId="77777777" w:rsidR="007D338F" w:rsidRPr="008A0F8A" w:rsidRDefault="007D338F" w:rsidP="00C937A7">
            <w:pPr>
              <w:spacing w:after="0" w:line="240" w:lineRule="auto"/>
              <w:jc w:val="both"/>
              <w:rPr>
                <w:rFonts w:ascii="Times New Roman" w:hAnsi="Times New Roman" w:cs="Times New Roman"/>
                <w:noProof/>
                <w:color w:val="006100"/>
                <w:sz w:val="20"/>
                <w:szCs w:val="20"/>
                <w:lang w:val="ru-RU"/>
              </w:rPr>
            </w:pPr>
          </w:p>
          <w:p w14:paraId="27CF29EB" w14:textId="06940398" w:rsidR="007D338F" w:rsidRPr="00D26611" w:rsidRDefault="007D338F" w:rsidP="00F95855">
            <w:pPr>
              <w:pStyle w:val="ListParagraph"/>
              <w:numPr>
                <w:ilvl w:val="0"/>
                <w:numId w:val="66"/>
              </w:numPr>
              <w:spacing w:after="0" w:line="240" w:lineRule="auto"/>
              <w:ind w:left="360"/>
              <w:jc w:val="both"/>
              <w:rPr>
                <w:rFonts w:ascii="Times New Roman" w:hAnsi="Times New Roman" w:cs="Times New Roman"/>
                <w:noProof/>
                <w:color w:val="006100"/>
                <w:sz w:val="20"/>
                <w:szCs w:val="20"/>
              </w:rPr>
            </w:pPr>
            <w:r>
              <w:rPr>
                <w:rFonts w:ascii="Times New Roman" w:hAnsi="Times New Roman"/>
                <w:noProof/>
                <w:color w:val="006100"/>
                <w:sz w:val="20"/>
              </w:rPr>
              <w:t>очакваното въздействие – в т.ч. пряко – на всеки парк или зона върху икономиката и заетостта в региона и в цялата страна;</w:t>
            </w:r>
          </w:p>
          <w:p w14:paraId="5187F6E2" w14:textId="77777777" w:rsidR="007D338F" w:rsidRPr="00D26611" w:rsidRDefault="007D338F" w:rsidP="00F95855">
            <w:pPr>
              <w:pStyle w:val="ListParagraph"/>
              <w:numPr>
                <w:ilvl w:val="0"/>
                <w:numId w:val="66"/>
              </w:numPr>
              <w:spacing w:after="0" w:line="240" w:lineRule="auto"/>
              <w:ind w:left="360"/>
              <w:jc w:val="both"/>
              <w:rPr>
                <w:rFonts w:ascii="Times New Roman" w:hAnsi="Times New Roman" w:cs="Times New Roman"/>
                <w:noProof/>
                <w:color w:val="006100"/>
                <w:sz w:val="20"/>
                <w:szCs w:val="20"/>
              </w:rPr>
            </w:pPr>
            <w:r>
              <w:rPr>
                <w:rFonts w:ascii="Times New Roman" w:hAnsi="Times New Roman"/>
                <w:noProof/>
                <w:color w:val="006100"/>
                <w:sz w:val="20"/>
              </w:rPr>
              <w:t>вече установените или очакваните да се установят в парка или зоната предприятия – въз основа на ясен анализ;</w:t>
            </w:r>
          </w:p>
          <w:p w14:paraId="6817261F" w14:textId="77777777" w:rsidR="007D338F" w:rsidRPr="00D26611" w:rsidRDefault="007D338F" w:rsidP="00F95855">
            <w:pPr>
              <w:pStyle w:val="ListParagraph"/>
              <w:numPr>
                <w:ilvl w:val="0"/>
                <w:numId w:val="66"/>
              </w:numPr>
              <w:spacing w:after="0" w:line="240" w:lineRule="auto"/>
              <w:ind w:left="360"/>
              <w:jc w:val="both"/>
              <w:rPr>
                <w:rFonts w:ascii="Times New Roman" w:hAnsi="Times New Roman" w:cs="Times New Roman"/>
                <w:noProof/>
                <w:color w:val="006100"/>
                <w:sz w:val="20"/>
                <w:szCs w:val="20"/>
              </w:rPr>
            </w:pPr>
            <w:r>
              <w:rPr>
                <w:rFonts w:ascii="Times New Roman" w:hAnsi="Times New Roman"/>
                <w:noProof/>
                <w:color w:val="006100"/>
                <w:sz w:val="20"/>
              </w:rPr>
              <w:t xml:space="preserve">предвидените за всеки парк или зона инфраструктурни работи – в самите тях и извън тях, както и прогнозен бюджет. </w:t>
            </w:r>
          </w:p>
          <w:p w14:paraId="5B1E7449" w14:textId="77777777" w:rsidR="007D338F" w:rsidRPr="008A0F8A" w:rsidRDefault="007D338F" w:rsidP="00C937A7">
            <w:pPr>
              <w:spacing w:after="0" w:line="240" w:lineRule="auto"/>
              <w:jc w:val="both"/>
              <w:rPr>
                <w:rFonts w:ascii="Times New Roman" w:hAnsi="Times New Roman" w:cs="Times New Roman"/>
                <w:noProof/>
                <w:color w:val="006100"/>
                <w:sz w:val="20"/>
                <w:szCs w:val="20"/>
                <w:lang w:val="ru-RU"/>
              </w:rPr>
            </w:pPr>
          </w:p>
          <w:p w14:paraId="3A600C7B" w14:textId="6BE411CC" w:rsidR="007D338F" w:rsidRPr="00D26611" w:rsidRDefault="008C7718" w:rsidP="00C937A7">
            <w:pPr>
              <w:spacing w:after="0" w:line="240" w:lineRule="auto"/>
              <w:jc w:val="both"/>
              <w:rPr>
                <w:rFonts w:ascii="Times New Roman" w:hAnsi="Times New Roman" w:cs="Times New Roman"/>
                <w:noProof/>
                <w:color w:val="006100"/>
                <w:sz w:val="20"/>
                <w:szCs w:val="20"/>
              </w:rPr>
            </w:pPr>
            <w:r>
              <w:rPr>
                <w:rFonts w:ascii="Times New Roman" w:hAnsi="Times New Roman"/>
                <w:noProof/>
                <w:color w:val="006100"/>
                <w:sz w:val="20"/>
              </w:rPr>
              <w:t>При подготвянето на заявлението си потенциалните оператори се очаква да се допитат до компетентната власт за района на разполагане на парка или зоната (община, регион, друга).</w:t>
            </w:r>
          </w:p>
          <w:p w14:paraId="11CB9D1C" w14:textId="77777777" w:rsidR="007D338F" w:rsidRPr="008A0F8A" w:rsidRDefault="007D338F" w:rsidP="00C937A7">
            <w:pPr>
              <w:spacing w:after="0" w:line="240" w:lineRule="auto"/>
              <w:jc w:val="both"/>
              <w:rPr>
                <w:rFonts w:ascii="Times New Roman" w:hAnsi="Times New Roman" w:cs="Times New Roman"/>
                <w:noProof/>
                <w:color w:val="006100"/>
                <w:sz w:val="20"/>
                <w:szCs w:val="20"/>
                <w:lang w:val="ru-RU"/>
              </w:rPr>
            </w:pPr>
          </w:p>
          <w:p w14:paraId="4B56E728" w14:textId="77777777" w:rsidR="007D338F" w:rsidRPr="00D26611" w:rsidRDefault="007D338F" w:rsidP="00C937A7">
            <w:pPr>
              <w:spacing w:after="0" w:line="240" w:lineRule="auto"/>
              <w:jc w:val="both"/>
              <w:rPr>
                <w:rFonts w:ascii="Times New Roman" w:hAnsi="Times New Roman" w:cs="Times New Roman"/>
                <w:noProof/>
                <w:color w:val="006100"/>
                <w:sz w:val="20"/>
                <w:szCs w:val="20"/>
              </w:rPr>
            </w:pPr>
            <w:r>
              <w:rPr>
                <w:rFonts w:ascii="Times New Roman" w:hAnsi="Times New Roman"/>
                <w:noProof/>
                <w:color w:val="006100"/>
                <w:sz w:val="20"/>
              </w:rPr>
              <w:t>Безвъзмездното финансиране ще подпомага изграждането, в полза на всички наематели в парка или зоната, на инфраструктура – техническа, както и екологична и иновативна обща вътрешна инфраструктура.</w:t>
            </w:r>
          </w:p>
          <w:p w14:paraId="5FEEB4E8" w14:textId="77777777" w:rsidR="007D338F" w:rsidRPr="008A0F8A" w:rsidRDefault="007D338F" w:rsidP="00C937A7">
            <w:pPr>
              <w:spacing w:after="0" w:line="240" w:lineRule="auto"/>
              <w:jc w:val="both"/>
              <w:rPr>
                <w:rFonts w:ascii="Times New Roman" w:hAnsi="Times New Roman" w:cs="Times New Roman"/>
                <w:noProof/>
                <w:color w:val="006100"/>
                <w:sz w:val="20"/>
                <w:szCs w:val="20"/>
                <w:lang w:val="ru-RU"/>
              </w:rPr>
            </w:pPr>
          </w:p>
          <w:p w14:paraId="639F1E24" w14:textId="4BDD56F5" w:rsidR="007D338F" w:rsidRPr="00D26611" w:rsidRDefault="00673478" w:rsidP="00294DB1">
            <w:pPr>
              <w:spacing w:after="0" w:line="240" w:lineRule="auto"/>
              <w:jc w:val="both"/>
              <w:rPr>
                <w:rFonts w:ascii="Times New Roman" w:hAnsi="Times New Roman" w:cs="Times New Roman"/>
                <w:noProof/>
                <w:color w:val="006100"/>
                <w:sz w:val="20"/>
                <w:szCs w:val="20"/>
              </w:rPr>
            </w:pPr>
            <w:r>
              <w:rPr>
                <w:rFonts w:ascii="Times New Roman" w:hAnsi="Times New Roman"/>
                <w:noProof/>
                <w:color w:val="006100"/>
                <w:sz w:val="20"/>
              </w:rPr>
              <w:t>С оглед на съответствието на мярката с техническите насоки „Ненанасяне на значителни вреди“ (2021/C58/01), критериите за допустимост в техническите спецификации на предстоящите покани за представяне на проекти ще изключат дейностите и активите от посочения в описанието на мярката списък на изключените дейности/активи и ще изискат да могат да бъдат избирани само дейности, които съблюдават съответното законодателство на ЕС и национално законодателство в областта на околната среда.</w:t>
            </w:r>
          </w:p>
          <w:p w14:paraId="3D3DCD52" w14:textId="77777777" w:rsidR="007D338F" w:rsidRPr="008A0F8A" w:rsidRDefault="007D338F" w:rsidP="00C937A7">
            <w:pPr>
              <w:spacing w:after="0" w:line="240" w:lineRule="auto"/>
              <w:jc w:val="both"/>
              <w:rPr>
                <w:rFonts w:ascii="Times New Roman" w:hAnsi="Times New Roman" w:cs="Times New Roman"/>
                <w:noProof/>
                <w:color w:val="006100"/>
                <w:sz w:val="20"/>
                <w:szCs w:val="20"/>
                <w:lang w:val="ru-RU"/>
              </w:rPr>
            </w:pPr>
          </w:p>
          <w:p w14:paraId="022B3FA5" w14:textId="78FA1FBC" w:rsidR="007D338F" w:rsidRPr="00D26611" w:rsidRDefault="007D338F" w:rsidP="0025039C">
            <w:pPr>
              <w:spacing w:after="0" w:line="240" w:lineRule="auto"/>
              <w:jc w:val="both"/>
              <w:rPr>
                <w:rFonts w:ascii="Times New Roman" w:hAnsi="Times New Roman" w:cs="Times New Roman"/>
                <w:noProof/>
                <w:color w:val="006100"/>
                <w:sz w:val="20"/>
                <w:szCs w:val="20"/>
              </w:rPr>
            </w:pPr>
            <w:r>
              <w:rPr>
                <w:rFonts w:ascii="Times New Roman" w:hAnsi="Times New Roman"/>
                <w:noProof/>
                <w:color w:val="006100"/>
                <w:sz w:val="20"/>
              </w:rPr>
              <w:t>Безвъзмездните средства и финансирането ще покрият най-много 80 % от общата инвестиция, предвидена в представения бизнес план. Останалите 20 % ще бъдат предоставени от операторите на индустриалния парк или зона.</w:t>
            </w:r>
          </w:p>
          <w:p w14:paraId="0E72D276" w14:textId="77777777" w:rsidR="00BF6646" w:rsidRPr="008A0F8A" w:rsidRDefault="00BF6646" w:rsidP="0025039C">
            <w:pPr>
              <w:spacing w:after="0" w:line="240" w:lineRule="auto"/>
              <w:jc w:val="both"/>
              <w:rPr>
                <w:rFonts w:ascii="Times New Roman" w:hAnsi="Times New Roman" w:cs="Times New Roman"/>
                <w:noProof/>
                <w:color w:val="006100"/>
                <w:sz w:val="20"/>
                <w:szCs w:val="20"/>
                <w:lang w:val="ru-RU"/>
              </w:rPr>
            </w:pPr>
          </w:p>
          <w:p w14:paraId="72976EB6" w14:textId="270F394E" w:rsidR="007D338F" w:rsidRPr="00D26611" w:rsidRDefault="00BF6646" w:rsidP="00F00876">
            <w:pPr>
              <w:spacing w:after="0" w:line="240" w:lineRule="auto"/>
              <w:jc w:val="both"/>
              <w:rPr>
                <w:rFonts w:ascii="Times New Roman" w:hAnsi="Times New Roman" w:cs="Times New Roman"/>
                <w:noProof/>
                <w:color w:val="006100"/>
                <w:sz w:val="20"/>
                <w:szCs w:val="20"/>
              </w:rPr>
            </w:pPr>
            <w:r>
              <w:rPr>
                <w:rFonts w:ascii="Times New Roman" w:hAnsi="Times New Roman"/>
                <w:noProof/>
                <w:color w:val="006100"/>
                <w:sz w:val="20"/>
              </w:rPr>
              <w:t>Общото финансиране за одобрените проекти ще е най-малко 100 млн. евро.</w:t>
            </w:r>
          </w:p>
        </w:tc>
      </w:tr>
      <w:tr w:rsidR="005A12E7" w:rsidRPr="005241FC" w14:paraId="3D7D1AE3" w14:textId="77777777" w:rsidTr="008E16C0">
        <w:trPr>
          <w:trHeight w:val="307"/>
        </w:trPr>
        <w:tc>
          <w:tcPr>
            <w:tcW w:w="709" w:type="dxa"/>
            <w:tcBorders>
              <w:top w:val="nil"/>
              <w:left w:val="single" w:sz="4" w:space="0" w:color="auto"/>
              <w:bottom w:val="single" w:sz="4" w:space="0" w:color="auto"/>
              <w:right w:val="single" w:sz="4" w:space="0" w:color="auto"/>
            </w:tcBorders>
            <w:shd w:val="clear" w:color="auto" w:fill="C6EFCE"/>
            <w:noWrap/>
          </w:tcPr>
          <w:p w14:paraId="47098C44" w14:textId="1091E659" w:rsidR="007D338F" w:rsidRPr="00D26611" w:rsidRDefault="007D338F" w:rsidP="007237B7">
            <w:pPr>
              <w:spacing w:after="0" w:line="240" w:lineRule="auto"/>
              <w:jc w:val="center"/>
              <w:rPr>
                <w:rFonts w:ascii="Times New Roman" w:hAnsi="Times New Roman" w:cs="Times New Roman"/>
                <w:noProof/>
                <w:color w:val="006100"/>
                <w:sz w:val="20"/>
                <w:szCs w:val="20"/>
              </w:rPr>
            </w:pPr>
            <w:r>
              <w:rPr>
                <w:rFonts w:ascii="Times New Roman" w:hAnsi="Times New Roman"/>
                <w:noProof/>
                <w:color w:val="006100"/>
                <w:sz w:val="20"/>
              </w:rPr>
              <w:t>37</w:t>
            </w:r>
          </w:p>
        </w:tc>
        <w:tc>
          <w:tcPr>
            <w:tcW w:w="1701" w:type="dxa"/>
            <w:tcBorders>
              <w:top w:val="nil"/>
              <w:left w:val="nil"/>
              <w:bottom w:val="single" w:sz="4" w:space="0" w:color="auto"/>
              <w:right w:val="single" w:sz="4" w:space="0" w:color="auto"/>
            </w:tcBorders>
            <w:shd w:val="clear" w:color="auto" w:fill="C6EFCE"/>
            <w:noWrap/>
          </w:tcPr>
          <w:p w14:paraId="5456DA2E" w14:textId="1AAE0E96" w:rsidR="007D338F" w:rsidRPr="00D26611" w:rsidRDefault="005D1BB8" w:rsidP="005D1BB8">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К3.И1: AttractInvestBG</w:t>
            </w:r>
          </w:p>
        </w:tc>
        <w:tc>
          <w:tcPr>
            <w:tcW w:w="1134" w:type="dxa"/>
            <w:tcBorders>
              <w:top w:val="nil"/>
              <w:left w:val="nil"/>
              <w:bottom w:val="single" w:sz="4" w:space="0" w:color="auto"/>
              <w:right w:val="single" w:sz="4" w:space="0" w:color="auto"/>
            </w:tcBorders>
            <w:shd w:val="clear" w:color="auto" w:fill="C6EFCE"/>
            <w:noWrap/>
          </w:tcPr>
          <w:p w14:paraId="22FCE982" w14:textId="77777777" w:rsidR="007D338F" w:rsidRPr="00D26611" w:rsidRDefault="007D338F" w:rsidP="005D1BB8">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Цел</w:t>
            </w:r>
          </w:p>
        </w:tc>
        <w:tc>
          <w:tcPr>
            <w:tcW w:w="1785" w:type="dxa"/>
            <w:tcBorders>
              <w:top w:val="nil"/>
              <w:left w:val="nil"/>
              <w:bottom w:val="single" w:sz="4" w:space="0" w:color="auto"/>
              <w:right w:val="single" w:sz="4" w:space="0" w:color="auto"/>
            </w:tcBorders>
            <w:shd w:val="clear" w:color="auto" w:fill="C6EFCE"/>
            <w:noWrap/>
          </w:tcPr>
          <w:p w14:paraId="5B96EF0D" w14:textId="54BC6E9D" w:rsidR="007D338F" w:rsidRPr="00D26611" w:rsidRDefault="007D338F" w:rsidP="005D1BB8">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Подписване на договори за вътрешната и външната инфраструктура на индустриалните паркове или зони.</w:t>
            </w:r>
          </w:p>
        </w:tc>
        <w:tc>
          <w:tcPr>
            <w:tcW w:w="1587" w:type="dxa"/>
            <w:tcBorders>
              <w:top w:val="single" w:sz="4" w:space="0" w:color="auto"/>
              <w:left w:val="nil"/>
              <w:bottom w:val="single" w:sz="4" w:space="0" w:color="auto"/>
              <w:right w:val="single" w:sz="4" w:space="0" w:color="auto"/>
            </w:tcBorders>
            <w:shd w:val="clear" w:color="auto" w:fill="C6EFCE"/>
            <w:noWrap/>
          </w:tcPr>
          <w:p w14:paraId="485DA2DC" w14:textId="77777777" w:rsidR="007D338F" w:rsidRPr="008A0F8A" w:rsidRDefault="007D338F" w:rsidP="005D1BB8">
            <w:pPr>
              <w:spacing w:after="0" w:line="240" w:lineRule="auto"/>
              <w:rPr>
                <w:rFonts w:ascii="Times New Roman" w:hAnsi="Times New Roman" w:cs="Times New Roman"/>
                <w:noProof/>
                <w:color w:val="006100"/>
                <w:sz w:val="20"/>
                <w:szCs w:val="20"/>
                <w:lang w:val="ru-RU"/>
              </w:rPr>
            </w:pPr>
          </w:p>
        </w:tc>
        <w:tc>
          <w:tcPr>
            <w:tcW w:w="1301" w:type="dxa"/>
            <w:tcBorders>
              <w:top w:val="nil"/>
              <w:left w:val="nil"/>
              <w:bottom w:val="single" w:sz="4" w:space="0" w:color="auto"/>
              <w:right w:val="single" w:sz="4" w:space="0" w:color="auto"/>
            </w:tcBorders>
            <w:shd w:val="clear" w:color="auto" w:fill="C6EFCE"/>
            <w:noWrap/>
          </w:tcPr>
          <w:p w14:paraId="4B3DA34B" w14:textId="6A70DF8A" w:rsidR="007D338F" w:rsidRPr="00D26611" w:rsidRDefault="702FA0E6" w:rsidP="007237B7">
            <w:pPr>
              <w:spacing w:after="0" w:line="240" w:lineRule="auto"/>
              <w:jc w:val="center"/>
              <w:rPr>
                <w:rFonts w:ascii="Times New Roman" w:hAnsi="Times New Roman" w:cs="Times New Roman"/>
                <w:noProof/>
                <w:color w:val="006100"/>
                <w:sz w:val="20"/>
                <w:szCs w:val="20"/>
              </w:rPr>
            </w:pPr>
            <w:r>
              <w:rPr>
                <w:rFonts w:ascii="Times New Roman" w:hAnsi="Times New Roman"/>
                <w:noProof/>
                <w:color w:val="006100"/>
                <w:sz w:val="20"/>
              </w:rPr>
              <w:t>% (процент)</w:t>
            </w:r>
          </w:p>
        </w:tc>
        <w:tc>
          <w:tcPr>
            <w:tcW w:w="992" w:type="dxa"/>
            <w:tcBorders>
              <w:top w:val="nil"/>
              <w:left w:val="nil"/>
              <w:bottom w:val="single" w:sz="4" w:space="0" w:color="auto"/>
              <w:right w:val="single" w:sz="4" w:space="0" w:color="auto"/>
            </w:tcBorders>
            <w:shd w:val="clear" w:color="auto" w:fill="C6EFCE"/>
            <w:noWrap/>
          </w:tcPr>
          <w:p w14:paraId="16AE5821" w14:textId="77777777" w:rsidR="007D338F" w:rsidRPr="00D26611" w:rsidRDefault="007D338F" w:rsidP="007237B7">
            <w:pPr>
              <w:spacing w:after="0" w:line="240" w:lineRule="auto"/>
              <w:jc w:val="center"/>
              <w:rPr>
                <w:rFonts w:ascii="Times New Roman" w:hAnsi="Times New Roman" w:cs="Times New Roman"/>
                <w:noProof/>
                <w:color w:val="006100"/>
                <w:sz w:val="20"/>
                <w:szCs w:val="20"/>
              </w:rPr>
            </w:pPr>
            <w:r>
              <w:rPr>
                <w:rFonts w:ascii="Times New Roman" w:hAnsi="Times New Roman"/>
                <w:noProof/>
                <w:color w:val="006100"/>
                <w:sz w:val="20"/>
              </w:rPr>
              <w:t>0</w:t>
            </w:r>
          </w:p>
        </w:tc>
        <w:tc>
          <w:tcPr>
            <w:tcW w:w="851" w:type="dxa"/>
            <w:tcBorders>
              <w:top w:val="nil"/>
              <w:left w:val="nil"/>
              <w:bottom w:val="single" w:sz="4" w:space="0" w:color="auto"/>
              <w:right w:val="single" w:sz="4" w:space="0" w:color="auto"/>
            </w:tcBorders>
            <w:shd w:val="clear" w:color="auto" w:fill="C6EFCE"/>
            <w:noWrap/>
          </w:tcPr>
          <w:p w14:paraId="3977A256" w14:textId="77777777" w:rsidR="007D338F" w:rsidRPr="00D26611" w:rsidRDefault="007D338F" w:rsidP="007237B7">
            <w:pPr>
              <w:spacing w:after="0" w:line="240" w:lineRule="auto"/>
              <w:jc w:val="center"/>
              <w:rPr>
                <w:rFonts w:ascii="Times New Roman" w:hAnsi="Times New Roman" w:cs="Times New Roman"/>
                <w:noProof/>
                <w:color w:val="006100"/>
                <w:sz w:val="20"/>
                <w:szCs w:val="20"/>
              </w:rPr>
            </w:pPr>
            <w:r>
              <w:rPr>
                <w:rFonts w:ascii="Times New Roman" w:hAnsi="Times New Roman"/>
                <w:noProof/>
                <w:color w:val="006100"/>
                <w:sz w:val="20"/>
              </w:rPr>
              <w:t>100 %</w:t>
            </w:r>
          </w:p>
        </w:tc>
        <w:tc>
          <w:tcPr>
            <w:tcW w:w="992" w:type="dxa"/>
            <w:tcBorders>
              <w:top w:val="nil"/>
              <w:left w:val="nil"/>
              <w:bottom w:val="single" w:sz="4" w:space="0" w:color="auto"/>
              <w:right w:val="single" w:sz="4" w:space="0" w:color="auto"/>
            </w:tcBorders>
            <w:shd w:val="clear" w:color="auto" w:fill="C6EFCE"/>
            <w:noWrap/>
          </w:tcPr>
          <w:p w14:paraId="3D9B877F" w14:textId="77777777" w:rsidR="007D338F" w:rsidRPr="00D26611" w:rsidRDefault="007D338F" w:rsidP="007237B7">
            <w:pPr>
              <w:spacing w:after="0" w:line="240" w:lineRule="auto"/>
              <w:jc w:val="center"/>
              <w:rPr>
                <w:rFonts w:ascii="Times New Roman" w:hAnsi="Times New Roman" w:cs="Times New Roman"/>
                <w:noProof/>
                <w:color w:val="006100"/>
                <w:sz w:val="20"/>
                <w:szCs w:val="20"/>
              </w:rPr>
            </w:pPr>
            <w:r>
              <w:rPr>
                <w:rFonts w:ascii="Times New Roman" w:hAnsi="Times New Roman"/>
                <w:noProof/>
                <w:color w:val="006100"/>
                <w:sz w:val="20"/>
              </w:rPr>
              <w:t>T3</w:t>
            </w:r>
          </w:p>
        </w:tc>
        <w:tc>
          <w:tcPr>
            <w:tcW w:w="709" w:type="dxa"/>
            <w:tcBorders>
              <w:top w:val="nil"/>
              <w:left w:val="nil"/>
              <w:bottom w:val="single" w:sz="4" w:space="0" w:color="auto"/>
              <w:right w:val="single" w:sz="4" w:space="0" w:color="auto"/>
            </w:tcBorders>
            <w:shd w:val="clear" w:color="auto" w:fill="C6EFCE"/>
            <w:noWrap/>
          </w:tcPr>
          <w:p w14:paraId="12A9ED34" w14:textId="77777777" w:rsidR="007D338F" w:rsidRPr="00D26611" w:rsidRDefault="007D338F" w:rsidP="007237B7">
            <w:pPr>
              <w:spacing w:after="0" w:line="240" w:lineRule="auto"/>
              <w:jc w:val="center"/>
              <w:rPr>
                <w:rFonts w:ascii="Times New Roman" w:hAnsi="Times New Roman" w:cs="Times New Roman"/>
                <w:noProof/>
                <w:color w:val="006100"/>
                <w:sz w:val="20"/>
                <w:szCs w:val="20"/>
              </w:rPr>
            </w:pPr>
            <w:r>
              <w:rPr>
                <w:rFonts w:ascii="Times New Roman" w:hAnsi="Times New Roman"/>
                <w:noProof/>
                <w:color w:val="006100"/>
                <w:sz w:val="20"/>
              </w:rPr>
              <w:t>2024</w:t>
            </w:r>
          </w:p>
        </w:tc>
        <w:tc>
          <w:tcPr>
            <w:tcW w:w="3543" w:type="dxa"/>
            <w:tcBorders>
              <w:top w:val="nil"/>
              <w:left w:val="nil"/>
              <w:bottom w:val="single" w:sz="4" w:space="0" w:color="auto"/>
              <w:right w:val="single" w:sz="4" w:space="0" w:color="auto"/>
            </w:tcBorders>
            <w:shd w:val="clear" w:color="auto" w:fill="C6EFCE"/>
            <w:noWrap/>
            <w:vAlign w:val="bottom"/>
          </w:tcPr>
          <w:p w14:paraId="1BFDA41B" w14:textId="77777777"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Подписване от подбраните оператори на индустриалните паркове или зони на всички договори за изграждане на вътрешна и външна инфраструктура за 100 % от предложеното в бизнес плановете финансиране.</w:t>
            </w:r>
          </w:p>
          <w:p w14:paraId="6C8D6CD5" w14:textId="77777777" w:rsidR="007D338F" w:rsidRPr="008A0F8A" w:rsidRDefault="007D338F" w:rsidP="00C937A7">
            <w:pPr>
              <w:spacing w:after="0" w:line="240" w:lineRule="auto"/>
              <w:rPr>
                <w:rFonts w:ascii="Times New Roman" w:hAnsi="Times New Roman" w:cs="Times New Roman"/>
                <w:noProof/>
                <w:color w:val="006100"/>
                <w:sz w:val="20"/>
                <w:szCs w:val="20"/>
                <w:lang w:val="ru-RU"/>
              </w:rPr>
            </w:pPr>
          </w:p>
          <w:p w14:paraId="08951D18" w14:textId="5D71E158" w:rsidR="007D338F" w:rsidRPr="00D26611" w:rsidRDefault="00512F9B"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С критериите за допустимост при обществените поръчки ще се осигури спазване на 1) техническите насоки „Ненанасяне на значителни вреди“ (2021/C58/01) чрез списък на изключените дейности/активи и 2) съответното законодателство на ЕС и национално законодателство в областта на околната среда. </w:t>
            </w:r>
          </w:p>
          <w:p w14:paraId="445CF704" w14:textId="77777777" w:rsidR="007D338F" w:rsidRPr="008A0F8A" w:rsidRDefault="007D338F" w:rsidP="00C937A7">
            <w:pPr>
              <w:spacing w:after="0" w:line="240" w:lineRule="auto"/>
              <w:rPr>
                <w:rFonts w:ascii="Times New Roman" w:hAnsi="Times New Roman" w:cs="Times New Roman"/>
                <w:noProof/>
                <w:color w:val="006100"/>
                <w:sz w:val="20"/>
                <w:szCs w:val="20"/>
                <w:lang w:val="ru-RU"/>
              </w:rPr>
            </w:pPr>
          </w:p>
        </w:tc>
      </w:tr>
      <w:tr w:rsidR="005A12E7" w:rsidRPr="005241FC" w14:paraId="161E0326" w14:textId="77777777" w:rsidTr="008E16C0">
        <w:trPr>
          <w:trHeight w:val="307"/>
        </w:trPr>
        <w:tc>
          <w:tcPr>
            <w:tcW w:w="709" w:type="dxa"/>
            <w:tcBorders>
              <w:top w:val="single" w:sz="4" w:space="0" w:color="auto"/>
              <w:left w:val="single" w:sz="4" w:space="0" w:color="auto"/>
              <w:bottom w:val="single" w:sz="4" w:space="0" w:color="auto"/>
              <w:right w:val="single" w:sz="4" w:space="0" w:color="auto"/>
            </w:tcBorders>
            <w:shd w:val="clear" w:color="auto" w:fill="C6EFCE"/>
            <w:noWrap/>
          </w:tcPr>
          <w:p w14:paraId="037D466B" w14:textId="6AF9DA58" w:rsidR="007D338F" w:rsidRPr="00D26611" w:rsidRDefault="00DE4AB0" w:rsidP="007237B7">
            <w:pPr>
              <w:spacing w:after="0" w:line="240" w:lineRule="auto"/>
              <w:jc w:val="center"/>
              <w:rPr>
                <w:rFonts w:ascii="Times New Roman" w:hAnsi="Times New Roman" w:cs="Times New Roman"/>
                <w:noProof/>
                <w:color w:val="006100"/>
                <w:sz w:val="20"/>
                <w:szCs w:val="20"/>
              </w:rPr>
            </w:pPr>
            <w:r>
              <w:rPr>
                <w:rFonts w:ascii="Times New Roman" w:hAnsi="Times New Roman"/>
                <w:noProof/>
                <w:color w:val="006100"/>
                <w:sz w:val="20"/>
              </w:rPr>
              <w:t>38</w:t>
            </w:r>
          </w:p>
        </w:tc>
        <w:tc>
          <w:tcPr>
            <w:tcW w:w="1701" w:type="dxa"/>
            <w:tcBorders>
              <w:top w:val="single" w:sz="4" w:space="0" w:color="auto"/>
              <w:left w:val="nil"/>
              <w:bottom w:val="single" w:sz="4" w:space="0" w:color="auto"/>
              <w:right w:val="single" w:sz="4" w:space="0" w:color="auto"/>
            </w:tcBorders>
            <w:shd w:val="clear" w:color="auto" w:fill="C6EFCE"/>
            <w:noWrap/>
          </w:tcPr>
          <w:p w14:paraId="78032313" w14:textId="28EBE240" w:rsidR="007D338F" w:rsidRPr="00D26611" w:rsidRDefault="005D1BB8" w:rsidP="005D1BB8">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К3.И1: AttractInvestBG</w:t>
            </w:r>
          </w:p>
        </w:tc>
        <w:tc>
          <w:tcPr>
            <w:tcW w:w="1134" w:type="dxa"/>
            <w:tcBorders>
              <w:top w:val="single" w:sz="4" w:space="0" w:color="auto"/>
              <w:left w:val="nil"/>
              <w:bottom w:val="single" w:sz="4" w:space="0" w:color="auto"/>
              <w:right w:val="single" w:sz="4" w:space="0" w:color="auto"/>
            </w:tcBorders>
            <w:shd w:val="clear" w:color="auto" w:fill="C6EFCE"/>
            <w:noWrap/>
          </w:tcPr>
          <w:p w14:paraId="2B65968D" w14:textId="77777777" w:rsidR="007D338F" w:rsidRPr="00D26611" w:rsidRDefault="007D338F" w:rsidP="005D1BB8">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Цел</w:t>
            </w:r>
          </w:p>
        </w:tc>
        <w:tc>
          <w:tcPr>
            <w:tcW w:w="1785" w:type="dxa"/>
            <w:tcBorders>
              <w:top w:val="single" w:sz="4" w:space="0" w:color="auto"/>
              <w:left w:val="nil"/>
              <w:bottom w:val="single" w:sz="4" w:space="0" w:color="auto"/>
              <w:right w:val="single" w:sz="4" w:space="0" w:color="auto"/>
            </w:tcBorders>
            <w:shd w:val="clear" w:color="auto" w:fill="C6EFCE"/>
            <w:noWrap/>
          </w:tcPr>
          <w:p w14:paraId="734D626E" w14:textId="30C92B44" w:rsidR="007D338F" w:rsidRPr="00D26611" w:rsidRDefault="007D338F" w:rsidP="005D1BB8">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Приключили инфраструктурни проекти в подбраните индустриални паркове или зони — функциониращи индустриални паркове или зони</w:t>
            </w:r>
          </w:p>
        </w:tc>
        <w:tc>
          <w:tcPr>
            <w:tcW w:w="1587" w:type="dxa"/>
            <w:tcBorders>
              <w:top w:val="single" w:sz="4" w:space="0" w:color="auto"/>
              <w:left w:val="nil"/>
              <w:bottom w:val="single" w:sz="4" w:space="0" w:color="auto"/>
              <w:right w:val="single" w:sz="4" w:space="0" w:color="auto"/>
            </w:tcBorders>
            <w:shd w:val="clear" w:color="auto" w:fill="C6EFCE"/>
            <w:noWrap/>
          </w:tcPr>
          <w:p w14:paraId="7AC6138A" w14:textId="77777777" w:rsidR="007D338F" w:rsidRPr="008A0F8A" w:rsidRDefault="007D338F" w:rsidP="005D1BB8">
            <w:pPr>
              <w:spacing w:after="0" w:line="240" w:lineRule="auto"/>
              <w:rPr>
                <w:rFonts w:ascii="Times New Roman" w:hAnsi="Times New Roman" w:cs="Times New Roman"/>
                <w:noProof/>
                <w:color w:val="006100"/>
                <w:sz w:val="20"/>
                <w:szCs w:val="20"/>
                <w:lang w:val="ru-RU"/>
              </w:rPr>
            </w:pPr>
          </w:p>
        </w:tc>
        <w:tc>
          <w:tcPr>
            <w:tcW w:w="1301" w:type="dxa"/>
            <w:tcBorders>
              <w:top w:val="single" w:sz="4" w:space="0" w:color="auto"/>
              <w:left w:val="nil"/>
              <w:bottom w:val="single" w:sz="4" w:space="0" w:color="auto"/>
              <w:right w:val="single" w:sz="4" w:space="0" w:color="auto"/>
            </w:tcBorders>
            <w:shd w:val="clear" w:color="auto" w:fill="C6EFCE"/>
            <w:noWrap/>
          </w:tcPr>
          <w:p w14:paraId="1BE87F75" w14:textId="7E7B8F4A" w:rsidR="007D338F" w:rsidRPr="00D26611" w:rsidRDefault="702FA0E6" w:rsidP="007237B7">
            <w:pPr>
              <w:spacing w:after="0" w:line="240" w:lineRule="auto"/>
              <w:jc w:val="center"/>
              <w:rPr>
                <w:rFonts w:ascii="Times New Roman" w:hAnsi="Times New Roman" w:cs="Times New Roman"/>
                <w:noProof/>
                <w:color w:val="006100"/>
                <w:sz w:val="20"/>
                <w:szCs w:val="20"/>
              </w:rPr>
            </w:pPr>
            <w:r>
              <w:rPr>
                <w:rFonts w:ascii="Times New Roman" w:hAnsi="Times New Roman"/>
                <w:noProof/>
                <w:color w:val="006100"/>
                <w:sz w:val="20"/>
              </w:rPr>
              <w:t>% (процент)</w:t>
            </w:r>
          </w:p>
        </w:tc>
        <w:tc>
          <w:tcPr>
            <w:tcW w:w="992" w:type="dxa"/>
            <w:tcBorders>
              <w:top w:val="single" w:sz="4" w:space="0" w:color="auto"/>
              <w:left w:val="nil"/>
              <w:bottom w:val="single" w:sz="4" w:space="0" w:color="auto"/>
              <w:right w:val="single" w:sz="4" w:space="0" w:color="auto"/>
            </w:tcBorders>
            <w:shd w:val="clear" w:color="auto" w:fill="C6EFCE"/>
            <w:noWrap/>
          </w:tcPr>
          <w:p w14:paraId="416E7BC1" w14:textId="77777777" w:rsidR="007D338F" w:rsidRPr="00D26611" w:rsidRDefault="007D338F" w:rsidP="007237B7">
            <w:pPr>
              <w:spacing w:after="0" w:line="240" w:lineRule="auto"/>
              <w:jc w:val="center"/>
              <w:rPr>
                <w:rFonts w:ascii="Times New Roman" w:hAnsi="Times New Roman" w:cs="Times New Roman"/>
                <w:noProof/>
                <w:color w:val="006100"/>
                <w:sz w:val="20"/>
                <w:szCs w:val="20"/>
              </w:rPr>
            </w:pPr>
            <w:r>
              <w:rPr>
                <w:rFonts w:ascii="Times New Roman" w:hAnsi="Times New Roman"/>
                <w:noProof/>
                <w:color w:val="006100"/>
                <w:sz w:val="20"/>
              </w:rPr>
              <w:t>0</w:t>
            </w:r>
          </w:p>
        </w:tc>
        <w:tc>
          <w:tcPr>
            <w:tcW w:w="851" w:type="dxa"/>
            <w:tcBorders>
              <w:top w:val="single" w:sz="4" w:space="0" w:color="auto"/>
              <w:left w:val="nil"/>
              <w:bottom w:val="single" w:sz="4" w:space="0" w:color="auto"/>
              <w:right w:val="single" w:sz="4" w:space="0" w:color="auto"/>
            </w:tcBorders>
            <w:shd w:val="clear" w:color="auto" w:fill="C6EFCE"/>
            <w:noWrap/>
          </w:tcPr>
          <w:p w14:paraId="468E6332" w14:textId="77777777" w:rsidR="007D338F" w:rsidRPr="00D26611" w:rsidRDefault="007D338F" w:rsidP="007237B7">
            <w:pPr>
              <w:spacing w:after="0" w:line="240" w:lineRule="auto"/>
              <w:jc w:val="center"/>
              <w:rPr>
                <w:rFonts w:ascii="Times New Roman" w:hAnsi="Times New Roman" w:cs="Times New Roman"/>
                <w:noProof/>
                <w:color w:val="006100"/>
                <w:sz w:val="20"/>
                <w:szCs w:val="20"/>
              </w:rPr>
            </w:pPr>
            <w:r>
              <w:rPr>
                <w:rFonts w:ascii="Times New Roman" w:hAnsi="Times New Roman"/>
                <w:noProof/>
                <w:color w:val="006100"/>
                <w:sz w:val="20"/>
              </w:rPr>
              <w:t>100 %</w:t>
            </w:r>
          </w:p>
        </w:tc>
        <w:tc>
          <w:tcPr>
            <w:tcW w:w="992" w:type="dxa"/>
            <w:tcBorders>
              <w:top w:val="single" w:sz="4" w:space="0" w:color="auto"/>
              <w:left w:val="nil"/>
              <w:bottom w:val="single" w:sz="4" w:space="0" w:color="auto"/>
              <w:right w:val="single" w:sz="4" w:space="0" w:color="auto"/>
            </w:tcBorders>
            <w:shd w:val="clear" w:color="auto" w:fill="C6EFCE"/>
            <w:noWrap/>
          </w:tcPr>
          <w:p w14:paraId="5F8044F6" w14:textId="77777777" w:rsidR="007D338F" w:rsidRPr="00D26611" w:rsidRDefault="007D338F" w:rsidP="007237B7">
            <w:pPr>
              <w:spacing w:after="0" w:line="240" w:lineRule="auto"/>
              <w:jc w:val="center"/>
              <w:rPr>
                <w:rFonts w:ascii="Times New Roman" w:hAnsi="Times New Roman" w:cs="Times New Roman"/>
                <w:noProof/>
                <w:color w:val="006100"/>
                <w:sz w:val="20"/>
                <w:szCs w:val="20"/>
              </w:rPr>
            </w:pPr>
            <w:r>
              <w:rPr>
                <w:rFonts w:ascii="Times New Roman" w:hAnsi="Times New Roman"/>
                <w:noProof/>
                <w:color w:val="006100"/>
                <w:sz w:val="20"/>
              </w:rPr>
              <w:t>T2</w:t>
            </w:r>
          </w:p>
        </w:tc>
        <w:tc>
          <w:tcPr>
            <w:tcW w:w="709" w:type="dxa"/>
            <w:tcBorders>
              <w:top w:val="single" w:sz="4" w:space="0" w:color="auto"/>
              <w:left w:val="nil"/>
              <w:bottom w:val="single" w:sz="4" w:space="0" w:color="auto"/>
              <w:right w:val="single" w:sz="4" w:space="0" w:color="auto"/>
            </w:tcBorders>
            <w:shd w:val="clear" w:color="auto" w:fill="C6EFCE"/>
            <w:noWrap/>
          </w:tcPr>
          <w:p w14:paraId="56E27C5D" w14:textId="77777777" w:rsidR="007D338F" w:rsidRPr="00D26611" w:rsidRDefault="007D338F" w:rsidP="007237B7">
            <w:pPr>
              <w:spacing w:after="0" w:line="240" w:lineRule="auto"/>
              <w:jc w:val="center"/>
              <w:rPr>
                <w:rFonts w:ascii="Times New Roman" w:hAnsi="Times New Roman" w:cs="Times New Roman"/>
                <w:noProof/>
                <w:color w:val="006100"/>
                <w:sz w:val="20"/>
                <w:szCs w:val="20"/>
              </w:rPr>
            </w:pPr>
            <w:r>
              <w:rPr>
                <w:rFonts w:ascii="Times New Roman" w:hAnsi="Times New Roman"/>
                <w:noProof/>
                <w:color w:val="006100"/>
                <w:sz w:val="20"/>
              </w:rPr>
              <w:t>2026</w:t>
            </w:r>
          </w:p>
        </w:tc>
        <w:tc>
          <w:tcPr>
            <w:tcW w:w="3543" w:type="dxa"/>
            <w:tcBorders>
              <w:top w:val="single" w:sz="4" w:space="0" w:color="auto"/>
              <w:left w:val="nil"/>
              <w:bottom w:val="single" w:sz="4" w:space="0" w:color="auto"/>
              <w:right w:val="single" w:sz="4" w:space="0" w:color="auto"/>
            </w:tcBorders>
            <w:shd w:val="clear" w:color="auto" w:fill="C6EFCE"/>
            <w:noWrap/>
            <w:vAlign w:val="center"/>
          </w:tcPr>
          <w:p w14:paraId="49C9E44F" w14:textId="77777777"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Всички индустриални паркове или зони ще функционират, като във всеки от тях ще има установено поне едно дружество.</w:t>
            </w:r>
          </w:p>
          <w:p w14:paraId="61489372" w14:textId="77777777" w:rsidR="007D338F" w:rsidRPr="008A0F8A" w:rsidRDefault="007D338F" w:rsidP="00C937A7">
            <w:pPr>
              <w:spacing w:after="0" w:line="240" w:lineRule="auto"/>
              <w:rPr>
                <w:rFonts w:ascii="Times New Roman" w:hAnsi="Times New Roman" w:cs="Times New Roman"/>
                <w:noProof/>
                <w:color w:val="006100"/>
                <w:sz w:val="20"/>
                <w:szCs w:val="20"/>
                <w:lang w:val="ru-RU"/>
              </w:rPr>
            </w:pPr>
          </w:p>
          <w:p w14:paraId="384D7A12" w14:textId="60E3D438"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Всички проекти, за които се отнасят договорите по ключов етап 37, ще бъдат завършени за всички подбрани индустриални паркове или зони.</w:t>
            </w:r>
          </w:p>
          <w:p w14:paraId="0F50CF78" w14:textId="77777777" w:rsidR="007D338F" w:rsidRPr="008A0F8A" w:rsidRDefault="007D338F" w:rsidP="00C937A7">
            <w:pPr>
              <w:spacing w:after="0" w:line="240" w:lineRule="auto"/>
              <w:rPr>
                <w:rFonts w:ascii="Times New Roman" w:hAnsi="Times New Roman" w:cs="Times New Roman"/>
                <w:noProof/>
                <w:color w:val="006100"/>
                <w:sz w:val="20"/>
                <w:szCs w:val="20"/>
                <w:lang w:val="ru-RU"/>
              </w:rPr>
            </w:pPr>
          </w:p>
          <w:p w14:paraId="2A33FAA6" w14:textId="40F4A424"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В края на инвестицията ще бъде представен изготвен от независим одитор технически доклад за удостоверяване на спазването на техническите насоки „Ненанасяне на значителни вреди“ (2021/C58/01).</w:t>
            </w:r>
          </w:p>
          <w:p w14:paraId="272373CB" w14:textId="77777777" w:rsidR="007D338F" w:rsidRPr="008A0F8A" w:rsidRDefault="007D338F" w:rsidP="00C937A7">
            <w:pPr>
              <w:spacing w:after="0" w:line="240" w:lineRule="auto"/>
              <w:jc w:val="center"/>
              <w:rPr>
                <w:rFonts w:ascii="Times New Roman" w:hAnsi="Times New Roman" w:cs="Times New Roman"/>
                <w:noProof/>
                <w:color w:val="006100"/>
                <w:sz w:val="20"/>
                <w:szCs w:val="20"/>
                <w:lang w:val="ru-RU"/>
              </w:rPr>
            </w:pPr>
          </w:p>
        </w:tc>
      </w:tr>
      <w:tr w:rsidR="005A12E7" w:rsidRPr="005241FC" w14:paraId="0A47FA7C" w14:textId="77777777" w:rsidTr="008E16C0">
        <w:trPr>
          <w:trHeight w:val="307"/>
        </w:trPr>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86B7876" w14:textId="0CA5354B" w:rsidR="007D338F" w:rsidRPr="00D26611" w:rsidRDefault="00DE4AB0" w:rsidP="007237B7">
            <w:pPr>
              <w:spacing w:after="0" w:line="240" w:lineRule="auto"/>
              <w:jc w:val="center"/>
              <w:rPr>
                <w:rFonts w:ascii="Times New Roman" w:hAnsi="Times New Roman" w:cs="Times New Roman"/>
                <w:noProof/>
                <w:color w:val="006100"/>
                <w:sz w:val="20"/>
                <w:szCs w:val="20"/>
              </w:rPr>
            </w:pPr>
            <w:r>
              <w:rPr>
                <w:rFonts w:ascii="Times New Roman" w:hAnsi="Times New Roman"/>
                <w:noProof/>
                <w:color w:val="006100"/>
                <w:sz w:val="20"/>
              </w:rPr>
              <w:t>39</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6DF90E6C" w14:textId="0FB99775" w:rsidR="007D338F" w:rsidRPr="00D26611" w:rsidRDefault="005D1BB8" w:rsidP="005D1BB8">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К3.И1: AttractInvestBG</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06AB30FC" w14:textId="77777777" w:rsidR="007D338F" w:rsidRPr="00D26611" w:rsidRDefault="007D338F" w:rsidP="005D1BB8">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Цел</w:t>
            </w:r>
          </w:p>
        </w:tc>
        <w:tc>
          <w:tcPr>
            <w:tcW w:w="1785" w:type="dxa"/>
            <w:tcBorders>
              <w:top w:val="single" w:sz="4" w:space="0" w:color="auto"/>
              <w:left w:val="nil"/>
              <w:bottom w:val="single" w:sz="4" w:space="0" w:color="auto"/>
              <w:right w:val="single" w:sz="4" w:space="0" w:color="auto"/>
            </w:tcBorders>
            <w:shd w:val="clear" w:color="auto" w:fill="C6EFCE"/>
            <w:noWrap/>
            <w:vAlign w:val="center"/>
          </w:tcPr>
          <w:p w14:paraId="7082EED0" w14:textId="12B491D9" w:rsidR="007D338F" w:rsidRPr="00D26611" w:rsidRDefault="007D338F" w:rsidP="005D1BB8">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Създаване на работни места в индустриалните паркове или зони</w:t>
            </w:r>
          </w:p>
        </w:tc>
        <w:tc>
          <w:tcPr>
            <w:tcW w:w="1587" w:type="dxa"/>
            <w:tcBorders>
              <w:top w:val="single" w:sz="4" w:space="0" w:color="auto"/>
              <w:left w:val="nil"/>
              <w:bottom w:val="single" w:sz="4" w:space="0" w:color="auto"/>
              <w:right w:val="single" w:sz="4" w:space="0" w:color="auto"/>
            </w:tcBorders>
            <w:shd w:val="clear" w:color="auto" w:fill="C6EFCE"/>
            <w:noWrap/>
            <w:vAlign w:val="center"/>
          </w:tcPr>
          <w:p w14:paraId="6A109566" w14:textId="77777777" w:rsidR="007D338F" w:rsidRPr="008A0F8A" w:rsidRDefault="007D338F" w:rsidP="005D1BB8">
            <w:pPr>
              <w:spacing w:after="0" w:line="240" w:lineRule="auto"/>
              <w:rPr>
                <w:rFonts w:ascii="Times New Roman" w:hAnsi="Times New Roman" w:cs="Times New Roman"/>
                <w:noProof/>
                <w:color w:val="006100"/>
                <w:sz w:val="20"/>
                <w:szCs w:val="20"/>
                <w:lang w:val="ru-RU"/>
              </w:rPr>
            </w:pPr>
          </w:p>
        </w:tc>
        <w:tc>
          <w:tcPr>
            <w:tcW w:w="1301" w:type="dxa"/>
            <w:tcBorders>
              <w:top w:val="single" w:sz="4" w:space="0" w:color="auto"/>
              <w:left w:val="nil"/>
              <w:bottom w:val="single" w:sz="4" w:space="0" w:color="auto"/>
              <w:right w:val="single" w:sz="4" w:space="0" w:color="auto"/>
            </w:tcBorders>
            <w:shd w:val="clear" w:color="auto" w:fill="C6EFCE"/>
            <w:noWrap/>
            <w:vAlign w:val="center"/>
          </w:tcPr>
          <w:p w14:paraId="1940635E" w14:textId="77777777" w:rsidR="007D338F" w:rsidRPr="00D26611" w:rsidRDefault="007D338F" w:rsidP="007237B7">
            <w:pPr>
              <w:spacing w:after="0" w:line="240" w:lineRule="auto"/>
              <w:jc w:val="center"/>
              <w:rPr>
                <w:rFonts w:ascii="Times New Roman" w:hAnsi="Times New Roman" w:cs="Times New Roman"/>
                <w:noProof/>
                <w:color w:val="006100"/>
                <w:sz w:val="20"/>
                <w:szCs w:val="20"/>
              </w:rPr>
            </w:pPr>
            <w:r>
              <w:rPr>
                <w:rFonts w:ascii="Times New Roman" w:hAnsi="Times New Roman"/>
                <w:noProof/>
                <w:color w:val="006100"/>
                <w:sz w:val="20"/>
              </w:rPr>
              <w:t>Брой</w:t>
            </w: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5630C38C" w14:textId="77777777" w:rsidR="007D338F" w:rsidRPr="00D26611" w:rsidRDefault="007D338F" w:rsidP="007237B7">
            <w:pPr>
              <w:spacing w:after="0" w:line="240" w:lineRule="auto"/>
              <w:jc w:val="center"/>
              <w:rPr>
                <w:rFonts w:ascii="Times New Roman" w:hAnsi="Times New Roman" w:cs="Times New Roman"/>
                <w:noProof/>
                <w:color w:val="006100"/>
                <w:sz w:val="20"/>
                <w:szCs w:val="20"/>
              </w:rPr>
            </w:pPr>
            <w:r>
              <w:rPr>
                <w:rFonts w:ascii="Times New Roman" w:hAnsi="Times New Roman"/>
                <w:noProof/>
                <w:color w:val="006100"/>
                <w:sz w:val="20"/>
              </w:rPr>
              <w:t>0</w:t>
            </w:r>
          </w:p>
        </w:tc>
        <w:tc>
          <w:tcPr>
            <w:tcW w:w="851" w:type="dxa"/>
            <w:tcBorders>
              <w:top w:val="single" w:sz="4" w:space="0" w:color="auto"/>
              <w:left w:val="nil"/>
              <w:bottom w:val="single" w:sz="4" w:space="0" w:color="auto"/>
              <w:right w:val="single" w:sz="4" w:space="0" w:color="auto"/>
            </w:tcBorders>
            <w:shd w:val="clear" w:color="auto" w:fill="C6EFCE"/>
            <w:noWrap/>
            <w:vAlign w:val="center"/>
          </w:tcPr>
          <w:p w14:paraId="27CAA6C1" w14:textId="77777777" w:rsidR="007D338F" w:rsidRPr="00D26611" w:rsidRDefault="007D338F" w:rsidP="007237B7">
            <w:pPr>
              <w:spacing w:after="0" w:line="240" w:lineRule="auto"/>
              <w:jc w:val="center"/>
              <w:rPr>
                <w:rFonts w:ascii="Times New Roman" w:hAnsi="Times New Roman" w:cs="Times New Roman"/>
                <w:noProof/>
                <w:color w:val="006100"/>
                <w:sz w:val="20"/>
                <w:szCs w:val="20"/>
              </w:rPr>
            </w:pPr>
            <w:r>
              <w:rPr>
                <w:rFonts w:ascii="Times New Roman" w:hAnsi="Times New Roman"/>
                <w:noProof/>
                <w:color w:val="006100"/>
                <w:sz w:val="20"/>
              </w:rPr>
              <w:t>200</w:t>
            </w: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246C0C3D" w14:textId="77777777" w:rsidR="007D338F" w:rsidRPr="00D26611" w:rsidRDefault="007D338F" w:rsidP="007237B7">
            <w:pPr>
              <w:spacing w:after="0" w:line="240" w:lineRule="auto"/>
              <w:jc w:val="center"/>
              <w:rPr>
                <w:rFonts w:ascii="Times New Roman" w:hAnsi="Times New Roman" w:cs="Times New Roman"/>
                <w:noProof/>
                <w:color w:val="006100"/>
                <w:sz w:val="20"/>
                <w:szCs w:val="20"/>
              </w:rPr>
            </w:pPr>
            <w:r>
              <w:rPr>
                <w:rFonts w:ascii="Times New Roman" w:hAnsi="Times New Roman"/>
                <w:noProof/>
                <w:color w:val="006100"/>
                <w:sz w:val="20"/>
              </w:rPr>
              <w:t>T2</w:t>
            </w: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601E36A2" w14:textId="77777777" w:rsidR="007D338F" w:rsidRPr="00D26611" w:rsidRDefault="007D338F" w:rsidP="007237B7">
            <w:pPr>
              <w:spacing w:after="0" w:line="240" w:lineRule="auto"/>
              <w:jc w:val="center"/>
              <w:rPr>
                <w:rFonts w:ascii="Times New Roman" w:hAnsi="Times New Roman" w:cs="Times New Roman"/>
                <w:noProof/>
                <w:color w:val="006100"/>
                <w:sz w:val="20"/>
                <w:szCs w:val="20"/>
              </w:rPr>
            </w:pPr>
            <w:r>
              <w:rPr>
                <w:rFonts w:ascii="Times New Roman" w:hAnsi="Times New Roman"/>
                <w:noProof/>
                <w:color w:val="006100"/>
                <w:sz w:val="20"/>
              </w:rPr>
              <w:t>2026</w:t>
            </w:r>
          </w:p>
        </w:tc>
        <w:tc>
          <w:tcPr>
            <w:tcW w:w="3543" w:type="dxa"/>
            <w:tcBorders>
              <w:top w:val="single" w:sz="4" w:space="0" w:color="auto"/>
              <w:left w:val="nil"/>
              <w:bottom w:val="single" w:sz="4" w:space="0" w:color="auto"/>
              <w:right w:val="single" w:sz="4" w:space="0" w:color="auto"/>
            </w:tcBorders>
            <w:shd w:val="clear" w:color="auto" w:fill="C6EFCE"/>
            <w:noWrap/>
            <w:vAlign w:val="center"/>
          </w:tcPr>
          <w:p w14:paraId="0222C0B8" w14:textId="77777777"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Поне 200 работни места на пълно работно време в парковете/зоните, въз основа на предоставената документация от операторите на парковете/зоните за частните инвеститори.</w:t>
            </w:r>
          </w:p>
        </w:tc>
      </w:tr>
      <w:tr w:rsidR="005A12E7" w:rsidRPr="005241FC" w14:paraId="235947D7" w14:textId="77777777" w:rsidTr="008E16C0">
        <w:trPr>
          <w:trHeight w:val="307"/>
        </w:trPr>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06611DE7" w14:textId="729E331D" w:rsidR="007D338F" w:rsidRPr="00D26611" w:rsidRDefault="00DE4AB0" w:rsidP="007237B7">
            <w:pPr>
              <w:spacing w:after="0" w:line="240" w:lineRule="auto"/>
              <w:jc w:val="center"/>
              <w:rPr>
                <w:rFonts w:ascii="Times New Roman" w:hAnsi="Times New Roman" w:cs="Times New Roman"/>
                <w:noProof/>
                <w:color w:val="006100"/>
                <w:sz w:val="20"/>
                <w:szCs w:val="20"/>
              </w:rPr>
            </w:pPr>
            <w:r>
              <w:rPr>
                <w:rFonts w:ascii="Times New Roman" w:hAnsi="Times New Roman"/>
                <w:noProof/>
                <w:color w:val="006100"/>
                <w:sz w:val="20"/>
              </w:rPr>
              <w:t>40</w:t>
            </w:r>
          </w:p>
        </w:tc>
        <w:tc>
          <w:tcPr>
            <w:tcW w:w="1701" w:type="dxa"/>
            <w:tcBorders>
              <w:top w:val="single" w:sz="4" w:space="0" w:color="auto"/>
              <w:left w:val="nil"/>
              <w:bottom w:val="single" w:sz="4" w:space="0" w:color="auto"/>
              <w:right w:val="single" w:sz="4" w:space="0" w:color="auto"/>
            </w:tcBorders>
            <w:shd w:val="clear" w:color="auto" w:fill="C6EFCE"/>
            <w:noWrap/>
            <w:vAlign w:val="center"/>
            <w:hideMark/>
          </w:tcPr>
          <w:p w14:paraId="02B559D6" w14:textId="77777777" w:rsidR="00183158" w:rsidRPr="00D26611" w:rsidRDefault="005D1BB8" w:rsidP="005D1BB8">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К3.И2: </w:t>
            </w:r>
          </w:p>
          <w:p w14:paraId="56C4C986" w14:textId="34141D50" w:rsidR="007D338F" w:rsidRPr="00D26611" w:rsidRDefault="007D338F" w:rsidP="005D1BB8">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Инвестиция 2.1.а — Гаранционен инструмент за растеж</w:t>
            </w:r>
          </w:p>
        </w:tc>
        <w:tc>
          <w:tcPr>
            <w:tcW w:w="1134" w:type="dxa"/>
            <w:tcBorders>
              <w:top w:val="single" w:sz="4" w:space="0" w:color="auto"/>
              <w:left w:val="nil"/>
              <w:bottom w:val="single" w:sz="4" w:space="0" w:color="auto"/>
              <w:right w:val="single" w:sz="4" w:space="0" w:color="auto"/>
            </w:tcBorders>
            <w:shd w:val="clear" w:color="auto" w:fill="C6EFCE"/>
            <w:noWrap/>
            <w:vAlign w:val="center"/>
            <w:hideMark/>
          </w:tcPr>
          <w:p w14:paraId="5674077A" w14:textId="77777777" w:rsidR="007D338F" w:rsidRPr="00D26611" w:rsidRDefault="007D338F" w:rsidP="005D1BB8">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Ключов етап</w:t>
            </w:r>
          </w:p>
        </w:tc>
        <w:tc>
          <w:tcPr>
            <w:tcW w:w="1785" w:type="dxa"/>
            <w:tcBorders>
              <w:top w:val="single" w:sz="4" w:space="0" w:color="auto"/>
              <w:left w:val="nil"/>
              <w:bottom w:val="single" w:sz="4" w:space="0" w:color="auto"/>
              <w:right w:val="single" w:sz="4" w:space="0" w:color="auto"/>
            </w:tcBorders>
            <w:shd w:val="clear" w:color="auto" w:fill="C6EFCE"/>
            <w:noWrap/>
            <w:vAlign w:val="center"/>
            <w:hideMark/>
          </w:tcPr>
          <w:p w14:paraId="3C4FB88D" w14:textId="77777777" w:rsidR="007D338F" w:rsidRPr="00D26611" w:rsidRDefault="007D338F" w:rsidP="005D1BB8">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Подписване на споразумение за финансово участие между Европейската комисия и правителството на България</w:t>
            </w:r>
          </w:p>
        </w:tc>
        <w:tc>
          <w:tcPr>
            <w:tcW w:w="1587" w:type="dxa"/>
            <w:tcBorders>
              <w:top w:val="single" w:sz="4" w:space="0" w:color="auto"/>
              <w:left w:val="nil"/>
              <w:bottom w:val="single" w:sz="4" w:space="0" w:color="auto"/>
              <w:right w:val="single" w:sz="4" w:space="0" w:color="auto"/>
            </w:tcBorders>
            <w:shd w:val="clear" w:color="auto" w:fill="C6EFCE"/>
            <w:noWrap/>
            <w:vAlign w:val="center"/>
            <w:hideMark/>
          </w:tcPr>
          <w:p w14:paraId="5967BBE8" w14:textId="77777777" w:rsidR="007D338F" w:rsidRPr="00D26611" w:rsidRDefault="007D338F" w:rsidP="005D1BB8">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Подписано споразумение</w:t>
            </w:r>
          </w:p>
        </w:tc>
        <w:tc>
          <w:tcPr>
            <w:tcW w:w="1301" w:type="dxa"/>
            <w:tcBorders>
              <w:top w:val="single" w:sz="4" w:space="0" w:color="auto"/>
              <w:left w:val="nil"/>
              <w:bottom w:val="single" w:sz="4" w:space="0" w:color="auto"/>
              <w:right w:val="single" w:sz="4" w:space="0" w:color="auto"/>
            </w:tcBorders>
            <w:shd w:val="clear" w:color="auto" w:fill="C6EFCE"/>
            <w:noWrap/>
            <w:vAlign w:val="center"/>
            <w:hideMark/>
          </w:tcPr>
          <w:p w14:paraId="7BA0A671" w14:textId="77777777" w:rsidR="007D338F" w:rsidRPr="00D26611" w:rsidRDefault="007D338F" w:rsidP="007237B7">
            <w:pPr>
              <w:spacing w:after="0" w:line="240" w:lineRule="auto"/>
              <w:jc w:val="center"/>
              <w:rPr>
                <w:rFonts w:ascii="Times New Roman" w:hAnsi="Times New Roman" w:cs="Times New Roman"/>
                <w:noProof/>
                <w:color w:val="006100"/>
                <w:sz w:val="20"/>
                <w:szCs w:val="20"/>
                <w:lang w:val="en-US"/>
              </w:rPr>
            </w:pPr>
          </w:p>
        </w:tc>
        <w:tc>
          <w:tcPr>
            <w:tcW w:w="992" w:type="dxa"/>
            <w:tcBorders>
              <w:top w:val="single" w:sz="4" w:space="0" w:color="auto"/>
              <w:left w:val="nil"/>
              <w:bottom w:val="single" w:sz="4" w:space="0" w:color="auto"/>
              <w:right w:val="single" w:sz="4" w:space="0" w:color="auto"/>
            </w:tcBorders>
            <w:shd w:val="clear" w:color="auto" w:fill="C6EFCE"/>
            <w:noWrap/>
            <w:vAlign w:val="center"/>
            <w:hideMark/>
          </w:tcPr>
          <w:p w14:paraId="5D1E4438" w14:textId="77777777" w:rsidR="007D338F" w:rsidRPr="00D26611" w:rsidRDefault="007D338F" w:rsidP="007237B7">
            <w:pPr>
              <w:spacing w:after="0" w:line="240" w:lineRule="auto"/>
              <w:jc w:val="center"/>
              <w:rPr>
                <w:rFonts w:ascii="Times New Roman" w:hAnsi="Times New Roman" w:cs="Times New Roman"/>
                <w:noProof/>
                <w:color w:val="006100"/>
                <w:sz w:val="20"/>
                <w:szCs w:val="20"/>
                <w:lang w:val="en-US"/>
              </w:rPr>
            </w:pPr>
          </w:p>
        </w:tc>
        <w:tc>
          <w:tcPr>
            <w:tcW w:w="851" w:type="dxa"/>
            <w:tcBorders>
              <w:top w:val="single" w:sz="4" w:space="0" w:color="auto"/>
              <w:left w:val="nil"/>
              <w:bottom w:val="single" w:sz="4" w:space="0" w:color="auto"/>
              <w:right w:val="single" w:sz="4" w:space="0" w:color="auto"/>
            </w:tcBorders>
            <w:shd w:val="clear" w:color="auto" w:fill="C6EFCE"/>
            <w:noWrap/>
            <w:vAlign w:val="center"/>
            <w:hideMark/>
          </w:tcPr>
          <w:p w14:paraId="6D2C0C41" w14:textId="77777777" w:rsidR="007D338F" w:rsidRPr="00D26611" w:rsidRDefault="007D338F" w:rsidP="007237B7">
            <w:pPr>
              <w:spacing w:after="0" w:line="240" w:lineRule="auto"/>
              <w:jc w:val="center"/>
              <w:rPr>
                <w:rFonts w:ascii="Times New Roman" w:hAnsi="Times New Roman" w:cs="Times New Roman"/>
                <w:noProof/>
                <w:color w:val="006100"/>
                <w:sz w:val="20"/>
                <w:szCs w:val="20"/>
                <w:lang w:val="en-US"/>
              </w:rPr>
            </w:pPr>
          </w:p>
        </w:tc>
        <w:tc>
          <w:tcPr>
            <w:tcW w:w="992" w:type="dxa"/>
            <w:tcBorders>
              <w:top w:val="single" w:sz="4" w:space="0" w:color="auto"/>
              <w:left w:val="nil"/>
              <w:bottom w:val="single" w:sz="4" w:space="0" w:color="auto"/>
              <w:right w:val="single" w:sz="4" w:space="0" w:color="auto"/>
            </w:tcBorders>
            <w:shd w:val="clear" w:color="auto" w:fill="C6EFCE"/>
            <w:noWrap/>
            <w:vAlign w:val="center"/>
            <w:hideMark/>
          </w:tcPr>
          <w:p w14:paraId="4DDF19BD" w14:textId="77777777" w:rsidR="007D338F" w:rsidRPr="00D26611" w:rsidRDefault="007D338F" w:rsidP="007237B7">
            <w:pPr>
              <w:spacing w:after="0" w:line="240" w:lineRule="auto"/>
              <w:jc w:val="center"/>
              <w:rPr>
                <w:rFonts w:ascii="Times New Roman" w:hAnsi="Times New Roman" w:cs="Times New Roman"/>
                <w:noProof/>
                <w:color w:val="006100"/>
                <w:sz w:val="20"/>
                <w:szCs w:val="20"/>
              </w:rPr>
            </w:pPr>
            <w:r>
              <w:rPr>
                <w:rFonts w:ascii="Times New Roman" w:hAnsi="Times New Roman"/>
                <w:noProof/>
                <w:color w:val="006100"/>
                <w:sz w:val="20"/>
              </w:rPr>
              <w:t>T3</w:t>
            </w:r>
          </w:p>
        </w:tc>
        <w:tc>
          <w:tcPr>
            <w:tcW w:w="709" w:type="dxa"/>
            <w:tcBorders>
              <w:top w:val="single" w:sz="4" w:space="0" w:color="auto"/>
              <w:left w:val="nil"/>
              <w:bottom w:val="single" w:sz="4" w:space="0" w:color="auto"/>
              <w:right w:val="single" w:sz="4" w:space="0" w:color="auto"/>
            </w:tcBorders>
            <w:shd w:val="clear" w:color="auto" w:fill="C6EFCE"/>
            <w:noWrap/>
            <w:vAlign w:val="center"/>
            <w:hideMark/>
          </w:tcPr>
          <w:p w14:paraId="02EB58E1" w14:textId="77777777" w:rsidR="007D338F" w:rsidRPr="00D26611" w:rsidRDefault="007D338F" w:rsidP="007237B7">
            <w:pPr>
              <w:spacing w:after="0" w:line="240" w:lineRule="auto"/>
              <w:jc w:val="center"/>
              <w:rPr>
                <w:rFonts w:ascii="Times New Roman" w:hAnsi="Times New Roman" w:cs="Times New Roman"/>
                <w:noProof/>
                <w:color w:val="006100"/>
                <w:sz w:val="20"/>
                <w:szCs w:val="20"/>
              </w:rPr>
            </w:pPr>
            <w:r>
              <w:rPr>
                <w:rFonts w:ascii="Times New Roman" w:hAnsi="Times New Roman"/>
                <w:noProof/>
                <w:color w:val="006100"/>
                <w:sz w:val="20"/>
              </w:rPr>
              <w:t>2022</w:t>
            </w:r>
          </w:p>
        </w:tc>
        <w:tc>
          <w:tcPr>
            <w:tcW w:w="3543" w:type="dxa"/>
            <w:tcBorders>
              <w:top w:val="single" w:sz="4" w:space="0" w:color="auto"/>
              <w:left w:val="nil"/>
              <w:bottom w:val="single" w:sz="4" w:space="0" w:color="auto"/>
              <w:right w:val="single" w:sz="4" w:space="0" w:color="auto"/>
            </w:tcBorders>
            <w:shd w:val="clear" w:color="auto" w:fill="C6EFCE"/>
            <w:noWrap/>
            <w:vAlign w:val="center"/>
            <w:hideMark/>
          </w:tcPr>
          <w:p w14:paraId="19BD74D3" w14:textId="028C3100"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Споразумението за финансово участие между Европейската комисия и правителството на Република България:</w:t>
            </w:r>
          </w:p>
          <w:p w14:paraId="6B210AEE" w14:textId="77777777" w:rsidR="008A2256" w:rsidRPr="00D26611" w:rsidRDefault="008A2256" w:rsidP="008A2256">
            <w:pPr>
              <w:numPr>
                <w:ilvl w:val="0"/>
                <w:numId w:val="21"/>
              </w:num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ще изиска прилагане на техническите насоки на Комисията относно проверката на устойчивостта на фонд InvestEU; </w:t>
            </w:r>
          </w:p>
          <w:p w14:paraId="6DAD2FE3" w14:textId="77777777" w:rsidR="008A2256" w:rsidRPr="00D26611" w:rsidRDefault="008A2256" w:rsidP="008A2256">
            <w:pPr>
              <w:numPr>
                <w:ilvl w:val="0"/>
                <w:numId w:val="21"/>
              </w:num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ще изключи от допустимостта дейностите и активите от посочения в описанието на мярката списък на изключените дейности/активи;</w:t>
            </w:r>
          </w:p>
          <w:p w14:paraId="3173595E" w14:textId="26C911E3" w:rsidR="007D338F" w:rsidRPr="00D26611" w:rsidRDefault="007D338F" w:rsidP="007D338F">
            <w:pPr>
              <w:pStyle w:val="ListParagraph"/>
              <w:numPr>
                <w:ilvl w:val="0"/>
                <w:numId w:val="21"/>
              </w:num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ще включи критерии с оглед на спазването от финансовия инструмент на указанията на Комисията от 22 януари 2021 г. относно финансовите инструменти (SWD(2021) 12 final).</w:t>
            </w:r>
          </w:p>
          <w:p w14:paraId="31383B9F" w14:textId="77777777" w:rsidR="007D338F" w:rsidRPr="008A0F8A" w:rsidRDefault="007D338F" w:rsidP="00C937A7">
            <w:pPr>
              <w:spacing w:after="0" w:line="240" w:lineRule="auto"/>
              <w:rPr>
                <w:rFonts w:ascii="Times New Roman" w:hAnsi="Times New Roman" w:cs="Times New Roman"/>
                <w:noProof/>
                <w:color w:val="006100"/>
                <w:sz w:val="20"/>
                <w:szCs w:val="20"/>
                <w:lang w:val="ru-RU"/>
              </w:rPr>
            </w:pPr>
          </w:p>
          <w:p w14:paraId="55541FBF" w14:textId="0E1966F9"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Предложеният инструмент ще бъде прилаган след вноска към InvestEU, поради което букви а) и б) по-горе ще се изпълняват чрез прилагане на разпоредбите на InvestEU, както и на политиката на избрания партньор по прилагането за отпускане на заеми и неговите критерии за изключване. В гаранционното споразумение между Европейската комисия и Европейския инвестиционен фонд (ЕИФ) ще се посочат допълнителните активи и дейности, в т.ч. във връзка с отпадъците, изключени с оглед на спазването на техническите насоки „Ненанасяне на значителни вреди“ (2021/C58/01). Финансовият инструмент ще е под формата на портфейлна гаранция;</w:t>
            </w:r>
          </w:p>
          <w:p w14:paraId="1752CC30" w14:textId="77777777" w:rsidR="007D338F" w:rsidRPr="008A0F8A" w:rsidRDefault="007D338F" w:rsidP="00C937A7">
            <w:pPr>
              <w:spacing w:after="0" w:line="240" w:lineRule="auto"/>
              <w:rPr>
                <w:rFonts w:ascii="Times New Roman" w:hAnsi="Times New Roman" w:cs="Times New Roman"/>
                <w:noProof/>
                <w:color w:val="006100"/>
                <w:sz w:val="20"/>
                <w:szCs w:val="20"/>
                <w:lang w:val="ru-RU"/>
              </w:rPr>
            </w:pPr>
          </w:p>
          <w:p w14:paraId="5E701332" w14:textId="7EE744A6"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Финансовият инструмент ще е под формата на портфейлна гаранция; той ще се прилага от ЕИФ и ще подпомага МСП чрез разни финансови продукти, в т.ч. оборотен капитал, кредитни линии, инвестиционни заеми и лизинг. Финансовият инструмент е насочен към преодоляване на настоящата неефективност на пазара, пред които са изправени предприятията при достъпа до финансиране, по-специално предизвикателствата след пандемията от COVID-19, с оглед подобряване на достъпа до кредитни линии. Очаква се инструментът да подпомогне най-малко 615 бенефициери. </w:t>
            </w:r>
          </w:p>
          <w:p w14:paraId="0C9D4321" w14:textId="77777777" w:rsidR="007D338F" w:rsidRPr="008A0F8A" w:rsidRDefault="007D338F" w:rsidP="00C937A7">
            <w:pPr>
              <w:spacing w:after="0" w:line="240" w:lineRule="auto"/>
              <w:rPr>
                <w:rFonts w:ascii="Times New Roman" w:hAnsi="Times New Roman" w:cs="Times New Roman"/>
                <w:noProof/>
                <w:color w:val="006100"/>
                <w:sz w:val="20"/>
                <w:szCs w:val="20"/>
                <w:lang w:val="ru-RU"/>
              </w:rPr>
            </w:pPr>
          </w:p>
          <w:p w14:paraId="0824F3ED" w14:textId="77777777"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Общото финансиране по МВУ за инструмента ще е 75 млн. евро. </w:t>
            </w:r>
          </w:p>
          <w:p w14:paraId="0CAE81A6" w14:textId="77777777" w:rsidR="007D338F" w:rsidRPr="008A0F8A" w:rsidRDefault="007D338F" w:rsidP="00C937A7">
            <w:pPr>
              <w:spacing w:after="0" w:line="240" w:lineRule="auto"/>
              <w:rPr>
                <w:rFonts w:ascii="Times New Roman" w:hAnsi="Times New Roman" w:cs="Times New Roman"/>
                <w:noProof/>
                <w:color w:val="006100"/>
                <w:sz w:val="20"/>
                <w:szCs w:val="20"/>
                <w:lang w:val="ru-RU"/>
              </w:rPr>
            </w:pPr>
          </w:p>
          <w:p w14:paraId="1DB079C6" w14:textId="258344DE"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Структурата на инструмента ще позволява набиране на частни средства. </w:t>
            </w:r>
          </w:p>
          <w:p w14:paraId="163C6AD0" w14:textId="77777777" w:rsidR="007D338F" w:rsidRPr="008A0F8A" w:rsidRDefault="007D338F" w:rsidP="00C937A7">
            <w:pPr>
              <w:spacing w:after="0" w:line="240" w:lineRule="auto"/>
              <w:rPr>
                <w:rFonts w:ascii="Times New Roman" w:hAnsi="Times New Roman" w:cs="Times New Roman"/>
                <w:noProof/>
                <w:color w:val="006100"/>
                <w:sz w:val="20"/>
                <w:szCs w:val="20"/>
                <w:lang w:val="ru-RU"/>
              </w:rPr>
            </w:pPr>
          </w:p>
          <w:p w14:paraId="26DA64C9" w14:textId="7260A45B"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Всички приходи за финансовия инструмент, включително от погасяванията, както и печалбата от използването на средствата по МВУ, минус възнаграждението на управителя на фонда и финансовите посредници, ще се използват за същите цели на политиката, включително след 2026 г.</w:t>
            </w:r>
          </w:p>
        </w:tc>
      </w:tr>
      <w:tr w:rsidR="005A12E7" w:rsidRPr="005241FC" w14:paraId="3671D70A" w14:textId="77777777" w:rsidTr="008E16C0">
        <w:trPr>
          <w:trHeight w:val="307"/>
        </w:trPr>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325CE42" w14:textId="3D5437BE" w:rsidR="007D338F" w:rsidRPr="00D26611" w:rsidRDefault="00DE4AB0" w:rsidP="00C937A7">
            <w:pPr>
              <w:spacing w:after="0" w:line="240" w:lineRule="auto"/>
              <w:jc w:val="center"/>
              <w:rPr>
                <w:rFonts w:ascii="Times New Roman" w:hAnsi="Times New Roman" w:cs="Times New Roman"/>
                <w:noProof/>
                <w:color w:val="006100"/>
                <w:sz w:val="20"/>
                <w:szCs w:val="20"/>
              </w:rPr>
            </w:pPr>
            <w:r>
              <w:rPr>
                <w:rFonts w:ascii="Times New Roman" w:hAnsi="Times New Roman"/>
                <w:noProof/>
                <w:color w:val="006100"/>
                <w:sz w:val="20"/>
              </w:rPr>
              <w:t>41</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011B05F7" w14:textId="77777777" w:rsidR="00183158" w:rsidRPr="00D26611" w:rsidRDefault="0073609B"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К3.И2: </w:t>
            </w:r>
          </w:p>
          <w:p w14:paraId="4C669AEF" w14:textId="45A90B15"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Инвестиция 2.1.а — Гаранционен инструмент за растеж</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17529E51" w14:textId="77777777"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Цел</w:t>
            </w:r>
          </w:p>
        </w:tc>
        <w:tc>
          <w:tcPr>
            <w:tcW w:w="1785" w:type="dxa"/>
            <w:tcBorders>
              <w:top w:val="single" w:sz="4" w:space="0" w:color="auto"/>
              <w:left w:val="nil"/>
              <w:bottom w:val="single" w:sz="4" w:space="0" w:color="auto"/>
              <w:right w:val="single" w:sz="4" w:space="0" w:color="auto"/>
            </w:tcBorders>
            <w:shd w:val="clear" w:color="auto" w:fill="C6EFCE"/>
            <w:noWrap/>
            <w:vAlign w:val="center"/>
          </w:tcPr>
          <w:p w14:paraId="57903495" w14:textId="77777777"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Операции в размер най-малко на 50 % от общото предвидено финансиране, одобрени от инвестиционния комитет на InvestEU </w:t>
            </w:r>
          </w:p>
        </w:tc>
        <w:tc>
          <w:tcPr>
            <w:tcW w:w="1587" w:type="dxa"/>
            <w:tcBorders>
              <w:top w:val="single" w:sz="4" w:space="0" w:color="auto"/>
              <w:left w:val="nil"/>
              <w:bottom w:val="single" w:sz="4" w:space="0" w:color="auto"/>
              <w:right w:val="single" w:sz="4" w:space="0" w:color="auto"/>
            </w:tcBorders>
            <w:shd w:val="clear" w:color="auto" w:fill="C6EFCE"/>
            <w:noWrap/>
            <w:vAlign w:val="center"/>
          </w:tcPr>
          <w:p w14:paraId="523E29F2" w14:textId="77777777" w:rsidR="007D338F" w:rsidRPr="008A0F8A" w:rsidRDefault="007D338F" w:rsidP="00C937A7">
            <w:pPr>
              <w:spacing w:after="0" w:line="240" w:lineRule="auto"/>
              <w:rPr>
                <w:rFonts w:ascii="Times New Roman" w:hAnsi="Times New Roman" w:cs="Times New Roman"/>
                <w:noProof/>
                <w:color w:val="006100"/>
                <w:sz w:val="20"/>
                <w:szCs w:val="20"/>
                <w:lang w:val="ru-RU"/>
              </w:rPr>
            </w:pPr>
          </w:p>
        </w:tc>
        <w:tc>
          <w:tcPr>
            <w:tcW w:w="1301" w:type="dxa"/>
            <w:tcBorders>
              <w:top w:val="single" w:sz="4" w:space="0" w:color="auto"/>
              <w:left w:val="nil"/>
              <w:bottom w:val="single" w:sz="4" w:space="0" w:color="auto"/>
              <w:right w:val="single" w:sz="4" w:space="0" w:color="auto"/>
            </w:tcBorders>
            <w:shd w:val="clear" w:color="auto" w:fill="C6EFCE"/>
            <w:noWrap/>
            <w:vAlign w:val="center"/>
          </w:tcPr>
          <w:p w14:paraId="35DBFF62" w14:textId="77777777"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(процент)</w:t>
            </w: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53E11D9B" w14:textId="77777777"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0</w:t>
            </w:r>
          </w:p>
        </w:tc>
        <w:tc>
          <w:tcPr>
            <w:tcW w:w="851" w:type="dxa"/>
            <w:tcBorders>
              <w:top w:val="single" w:sz="4" w:space="0" w:color="auto"/>
              <w:left w:val="nil"/>
              <w:bottom w:val="single" w:sz="4" w:space="0" w:color="auto"/>
              <w:right w:val="single" w:sz="4" w:space="0" w:color="auto"/>
            </w:tcBorders>
            <w:shd w:val="clear" w:color="auto" w:fill="C6EFCE"/>
            <w:noWrap/>
            <w:vAlign w:val="center"/>
          </w:tcPr>
          <w:p w14:paraId="7E399653" w14:textId="77777777"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50</w:t>
            </w: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0248F840" w14:textId="77777777" w:rsidR="007D338F" w:rsidRPr="00D26611" w:rsidRDefault="007D338F" w:rsidP="00C937A7">
            <w:pPr>
              <w:spacing w:after="0" w:line="240" w:lineRule="auto"/>
              <w:jc w:val="center"/>
              <w:rPr>
                <w:rFonts w:ascii="Times New Roman" w:hAnsi="Times New Roman" w:cs="Times New Roman"/>
                <w:noProof/>
                <w:color w:val="006100"/>
                <w:sz w:val="20"/>
                <w:szCs w:val="20"/>
              </w:rPr>
            </w:pPr>
            <w:r>
              <w:rPr>
                <w:rFonts w:ascii="Times New Roman" w:hAnsi="Times New Roman"/>
                <w:noProof/>
                <w:color w:val="006100"/>
                <w:sz w:val="20"/>
              </w:rPr>
              <w:t>T4</w:t>
            </w: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446859BC" w14:textId="77777777" w:rsidR="007D338F" w:rsidRPr="00D26611" w:rsidRDefault="007D338F" w:rsidP="00C937A7">
            <w:pPr>
              <w:spacing w:after="0" w:line="240" w:lineRule="auto"/>
              <w:jc w:val="center"/>
              <w:rPr>
                <w:rFonts w:ascii="Times New Roman" w:hAnsi="Times New Roman" w:cs="Times New Roman"/>
                <w:noProof/>
                <w:color w:val="006100"/>
                <w:sz w:val="20"/>
                <w:szCs w:val="20"/>
              </w:rPr>
            </w:pPr>
            <w:r>
              <w:rPr>
                <w:rFonts w:ascii="Times New Roman" w:hAnsi="Times New Roman"/>
                <w:noProof/>
                <w:color w:val="006100"/>
                <w:sz w:val="20"/>
              </w:rPr>
              <w:t>2023</w:t>
            </w:r>
          </w:p>
        </w:tc>
        <w:tc>
          <w:tcPr>
            <w:tcW w:w="3543" w:type="dxa"/>
            <w:tcBorders>
              <w:top w:val="single" w:sz="4" w:space="0" w:color="auto"/>
              <w:left w:val="nil"/>
              <w:bottom w:val="single" w:sz="4" w:space="0" w:color="auto"/>
              <w:right w:val="single" w:sz="4" w:space="0" w:color="auto"/>
            </w:tcBorders>
            <w:shd w:val="clear" w:color="auto" w:fill="C6EFCE"/>
            <w:noWrap/>
            <w:vAlign w:val="center"/>
          </w:tcPr>
          <w:p w14:paraId="72475AC3" w14:textId="1D314E46" w:rsidR="007D338F" w:rsidRPr="00D26611" w:rsidRDefault="007D338F" w:rsidP="00C228CE">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Одобрени от инвестиционния комитет на InvestEU, в съответствие с посочените в етапна цел 40 изисквания, операции по финансиране или инвестиране в размер най-малко на 50 % от предвидената за България гаранция от ЕС в раздел „Държави членки“, без свързаните разходи и такси.</w:t>
            </w:r>
          </w:p>
        </w:tc>
      </w:tr>
      <w:tr w:rsidR="005A12E7" w:rsidRPr="005241FC" w14:paraId="7469A701" w14:textId="77777777" w:rsidTr="008E16C0">
        <w:trPr>
          <w:trHeight w:val="307"/>
        </w:trPr>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8535933" w14:textId="64BF620F" w:rsidR="007D338F" w:rsidRPr="00D26611" w:rsidRDefault="00DE4AB0" w:rsidP="00C937A7">
            <w:pPr>
              <w:spacing w:after="0" w:line="240" w:lineRule="auto"/>
              <w:jc w:val="center"/>
              <w:rPr>
                <w:rFonts w:ascii="Times New Roman" w:hAnsi="Times New Roman" w:cs="Times New Roman"/>
                <w:noProof/>
                <w:color w:val="006100"/>
                <w:sz w:val="20"/>
                <w:szCs w:val="20"/>
              </w:rPr>
            </w:pPr>
            <w:r>
              <w:rPr>
                <w:rFonts w:ascii="Times New Roman" w:hAnsi="Times New Roman"/>
                <w:noProof/>
                <w:color w:val="006100"/>
                <w:sz w:val="20"/>
              </w:rPr>
              <w:t>42</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08FCBEB8" w14:textId="77777777" w:rsidR="00183158" w:rsidRPr="00D26611" w:rsidRDefault="0073609B"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К3.И2: </w:t>
            </w:r>
          </w:p>
          <w:p w14:paraId="4091C6B4" w14:textId="6C620F95"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Инвестиция 2.1.а — Гаранционен инструмент за растеж</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3380C4AD" w14:textId="77777777"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Цел</w:t>
            </w:r>
          </w:p>
        </w:tc>
        <w:tc>
          <w:tcPr>
            <w:tcW w:w="1785" w:type="dxa"/>
            <w:tcBorders>
              <w:top w:val="single" w:sz="4" w:space="0" w:color="auto"/>
              <w:left w:val="nil"/>
              <w:bottom w:val="single" w:sz="4" w:space="0" w:color="auto"/>
              <w:right w:val="single" w:sz="4" w:space="0" w:color="auto"/>
            </w:tcBorders>
            <w:shd w:val="clear" w:color="auto" w:fill="C6EFCE"/>
            <w:noWrap/>
            <w:vAlign w:val="center"/>
          </w:tcPr>
          <w:p w14:paraId="6E060027" w14:textId="77777777"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Операции в размер на 100 % от общото предвидено финансиране, одобрени от инвестиционния комитет на InvestEU</w:t>
            </w:r>
          </w:p>
        </w:tc>
        <w:tc>
          <w:tcPr>
            <w:tcW w:w="1587" w:type="dxa"/>
            <w:tcBorders>
              <w:top w:val="single" w:sz="4" w:space="0" w:color="auto"/>
              <w:left w:val="nil"/>
              <w:bottom w:val="single" w:sz="4" w:space="0" w:color="auto"/>
              <w:right w:val="single" w:sz="4" w:space="0" w:color="auto"/>
            </w:tcBorders>
            <w:shd w:val="clear" w:color="auto" w:fill="C6EFCE"/>
            <w:noWrap/>
            <w:vAlign w:val="center"/>
          </w:tcPr>
          <w:p w14:paraId="7740DA2A" w14:textId="77777777" w:rsidR="007D338F" w:rsidRPr="008A0F8A" w:rsidRDefault="007D338F" w:rsidP="00C937A7">
            <w:pPr>
              <w:spacing w:after="0" w:line="240" w:lineRule="auto"/>
              <w:rPr>
                <w:rFonts w:ascii="Times New Roman" w:hAnsi="Times New Roman" w:cs="Times New Roman"/>
                <w:noProof/>
                <w:color w:val="006100"/>
                <w:sz w:val="20"/>
                <w:szCs w:val="20"/>
                <w:lang w:val="ru-RU"/>
              </w:rPr>
            </w:pPr>
          </w:p>
        </w:tc>
        <w:tc>
          <w:tcPr>
            <w:tcW w:w="1301" w:type="dxa"/>
            <w:tcBorders>
              <w:top w:val="single" w:sz="4" w:space="0" w:color="auto"/>
              <w:left w:val="nil"/>
              <w:bottom w:val="single" w:sz="4" w:space="0" w:color="auto"/>
              <w:right w:val="single" w:sz="4" w:space="0" w:color="auto"/>
            </w:tcBorders>
            <w:shd w:val="clear" w:color="auto" w:fill="C6EFCE"/>
            <w:noWrap/>
            <w:vAlign w:val="center"/>
          </w:tcPr>
          <w:p w14:paraId="0DFE8328" w14:textId="77777777"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(процент)</w:t>
            </w: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77FA5FC8" w14:textId="77777777"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50</w:t>
            </w:r>
          </w:p>
        </w:tc>
        <w:tc>
          <w:tcPr>
            <w:tcW w:w="851" w:type="dxa"/>
            <w:tcBorders>
              <w:top w:val="single" w:sz="4" w:space="0" w:color="auto"/>
              <w:left w:val="nil"/>
              <w:bottom w:val="single" w:sz="4" w:space="0" w:color="auto"/>
              <w:right w:val="single" w:sz="4" w:space="0" w:color="auto"/>
            </w:tcBorders>
            <w:shd w:val="clear" w:color="auto" w:fill="C6EFCE"/>
            <w:noWrap/>
            <w:vAlign w:val="center"/>
          </w:tcPr>
          <w:p w14:paraId="5B397C15" w14:textId="77777777"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100</w:t>
            </w: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475A185B" w14:textId="77777777" w:rsidR="007D338F" w:rsidRPr="00D26611" w:rsidRDefault="007D338F" w:rsidP="00C937A7">
            <w:pPr>
              <w:spacing w:after="0" w:line="240" w:lineRule="auto"/>
              <w:jc w:val="center"/>
              <w:rPr>
                <w:rFonts w:ascii="Times New Roman" w:hAnsi="Times New Roman" w:cs="Times New Roman"/>
                <w:noProof/>
                <w:color w:val="006100"/>
                <w:sz w:val="20"/>
                <w:szCs w:val="20"/>
              </w:rPr>
            </w:pPr>
            <w:r>
              <w:rPr>
                <w:rFonts w:ascii="Times New Roman" w:hAnsi="Times New Roman"/>
                <w:noProof/>
                <w:color w:val="006100"/>
                <w:sz w:val="20"/>
              </w:rPr>
              <w:t>T4</w:t>
            </w: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66653605" w14:textId="77777777" w:rsidR="007D338F" w:rsidRPr="00D26611" w:rsidRDefault="007D338F" w:rsidP="00C937A7">
            <w:pPr>
              <w:spacing w:after="0" w:line="240" w:lineRule="auto"/>
              <w:jc w:val="center"/>
              <w:rPr>
                <w:rFonts w:ascii="Times New Roman" w:hAnsi="Times New Roman" w:cs="Times New Roman"/>
                <w:noProof/>
                <w:color w:val="006100"/>
                <w:sz w:val="20"/>
                <w:szCs w:val="20"/>
              </w:rPr>
            </w:pPr>
            <w:r>
              <w:rPr>
                <w:rFonts w:ascii="Times New Roman" w:hAnsi="Times New Roman"/>
                <w:noProof/>
                <w:color w:val="006100"/>
                <w:sz w:val="20"/>
              </w:rPr>
              <w:t>2024</w:t>
            </w:r>
          </w:p>
        </w:tc>
        <w:tc>
          <w:tcPr>
            <w:tcW w:w="3543" w:type="dxa"/>
            <w:tcBorders>
              <w:top w:val="single" w:sz="4" w:space="0" w:color="auto"/>
              <w:left w:val="nil"/>
              <w:bottom w:val="single" w:sz="4" w:space="0" w:color="auto"/>
              <w:right w:val="single" w:sz="4" w:space="0" w:color="auto"/>
            </w:tcBorders>
            <w:shd w:val="clear" w:color="auto" w:fill="C6EFCE"/>
            <w:noWrap/>
            <w:vAlign w:val="center"/>
          </w:tcPr>
          <w:p w14:paraId="53D64B49" w14:textId="26324344"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Одобрени от инвестиционния комитет на InvestEU, в съответствие с посочените в ключов етап 40 изисквания, операции по финансиране или инвестиране в размер на 100 % от предвидената за България гаранция от ЕС в раздел „Държави членки“, без свързаните разходи и такси.</w:t>
            </w:r>
          </w:p>
          <w:p w14:paraId="7A85A721" w14:textId="77777777" w:rsidR="007D338F" w:rsidRPr="008A0F8A" w:rsidRDefault="007D338F" w:rsidP="00C937A7">
            <w:pPr>
              <w:spacing w:after="0" w:line="240" w:lineRule="auto"/>
              <w:rPr>
                <w:rFonts w:ascii="Times New Roman" w:hAnsi="Times New Roman" w:cs="Times New Roman"/>
                <w:noProof/>
                <w:color w:val="006100"/>
                <w:sz w:val="20"/>
                <w:szCs w:val="20"/>
                <w:lang w:val="ru-RU"/>
              </w:rPr>
            </w:pPr>
          </w:p>
        </w:tc>
      </w:tr>
      <w:tr w:rsidR="005A12E7" w:rsidRPr="005241FC" w14:paraId="586F899F" w14:textId="77777777" w:rsidTr="008E16C0">
        <w:trPr>
          <w:trHeight w:val="307"/>
        </w:trPr>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438C1AF" w14:textId="4F3B6B3C" w:rsidR="007D338F" w:rsidRPr="00D26611" w:rsidRDefault="00DE4AB0" w:rsidP="00C937A7">
            <w:pPr>
              <w:spacing w:after="0" w:line="240" w:lineRule="auto"/>
              <w:jc w:val="center"/>
              <w:rPr>
                <w:rFonts w:ascii="Times New Roman" w:hAnsi="Times New Roman" w:cs="Times New Roman"/>
                <w:noProof/>
                <w:color w:val="006100"/>
                <w:sz w:val="20"/>
                <w:szCs w:val="20"/>
              </w:rPr>
            </w:pPr>
            <w:r>
              <w:rPr>
                <w:rFonts w:ascii="Times New Roman" w:hAnsi="Times New Roman"/>
                <w:noProof/>
                <w:color w:val="006100"/>
                <w:sz w:val="20"/>
              </w:rPr>
              <w:t>43</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5C429ED8" w14:textId="77777777" w:rsidR="00183158" w:rsidRPr="00D26611" w:rsidRDefault="0073609B"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К3.И2: </w:t>
            </w:r>
          </w:p>
          <w:p w14:paraId="606B14D7" w14:textId="23179F2F"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Инвестиция 2.1.б — Капиталови инструменти за растеж</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070B53C6" w14:textId="77777777"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Ключов етап</w:t>
            </w:r>
          </w:p>
        </w:tc>
        <w:tc>
          <w:tcPr>
            <w:tcW w:w="1785" w:type="dxa"/>
            <w:tcBorders>
              <w:top w:val="single" w:sz="4" w:space="0" w:color="auto"/>
              <w:left w:val="nil"/>
              <w:bottom w:val="single" w:sz="4" w:space="0" w:color="auto"/>
              <w:right w:val="single" w:sz="4" w:space="0" w:color="auto"/>
            </w:tcBorders>
            <w:shd w:val="clear" w:color="auto" w:fill="C6EFCE"/>
            <w:noWrap/>
            <w:vAlign w:val="center"/>
          </w:tcPr>
          <w:p w14:paraId="58999A56" w14:textId="77777777"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Подписване на споразумение за финансиране между Европейския инвестиционен фонд и правителството на България</w:t>
            </w:r>
          </w:p>
        </w:tc>
        <w:tc>
          <w:tcPr>
            <w:tcW w:w="1587" w:type="dxa"/>
            <w:tcBorders>
              <w:top w:val="single" w:sz="4" w:space="0" w:color="auto"/>
              <w:left w:val="nil"/>
              <w:bottom w:val="single" w:sz="4" w:space="0" w:color="auto"/>
              <w:right w:val="single" w:sz="4" w:space="0" w:color="auto"/>
            </w:tcBorders>
            <w:shd w:val="clear" w:color="auto" w:fill="C6EFCE"/>
            <w:noWrap/>
            <w:vAlign w:val="center"/>
          </w:tcPr>
          <w:p w14:paraId="17C2B30E" w14:textId="77777777"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Подписано споразумение и приета инвестиционна политика</w:t>
            </w:r>
          </w:p>
        </w:tc>
        <w:tc>
          <w:tcPr>
            <w:tcW w:w="1301" w:type="dxa"/>
            <w:tcBorders>
              <w:top w:val="single" w:sz="4" w:space="0" w:color="auto"/>
              <w:left w:val="nil"/>
              <w:bottom w:val="single" w:sz="4" w:space="0" w:color="auto"/>
              <w:right w:val="single" w:sz="4" w:space="0" w:color="auto"/>
            </w:tcBorders>
            <w:shd w:val="clear" w:color="auto" w:fill="C6EFCE"/>
            <w:noWrap/>
            <w:vAlign w:val="center"/>
          </w:tcPr>
          <w:p w14:paraId="235BE373" w14:textId="77777777" w:rsidR="007D338F" w:rsidRPr="008A0F8A" w:rsidRDefault="007D338F" w:rsidP="00C937A7">
            <w:pPr>
              <w:spacing w:after="0" w:line="240" w:lineRule="auto"/>
              <w:rPr>
                <w:rFonts w:ascii="Times New Roman" w:hAnsi="Times New Roman" w:cs="Times New Roman"/>
                <w:noProof/>
                <w:color w:val="006100"/>
                <w:sz w:val="20"/>
                <w:szCs w:val="20"/>
                <w:lang w:val="ru-RU"/>
              </w:rPr>
            </w:pP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17317192" w14:textId="77777777" w:rsidR="007D338F" w:rsidRPr="008A0F8A" w:rsidRDefault="007D338F" w:rsidP="00C937A7">
            <w:pPr>
              <w:spacing w:after="0" w:line="240" w:lineRule="auto"/>
              <w:rPr>
                <w:rFonts w:ascii="Times New Roman" w:hAnsi="Times New Roman" w:cs="Times New Roman"/>
                <w:noProof/>
                <w:color w:val="006100"/>
                <w:sz w:val="20"/>
                <w:szCs w:val="20"/>
                <w:lang w:val="ru-RU"/>
              </w:rPr>
            </w:pPr>
          </w:p>
        </w:tc>
        <w:tc>
          <w:tcPr>
            <w:tcW w:w="851" w:type="dxa"/>
            <w:tcBorders>
              <w:top w:val="single" w:sz="4" w:space="0" w:color="auto"/>
              <w:left w:val="nil"/>
              <w:bottom w:val="single" w:sz="4" w:space="0" w:color="auto"/>
              <w:right w:val="single" w:sz="4" w:space="0" w:color="auto"/>
            </w:tcBorders>
            <w:shd w:val="clear" w:color="auto" w:fill="C6EFCE"/>
            <w:noWrap/>
            <w:vAlign w:val="center"/>
          </w:tcPr>
          <w:p w14:paraId="5EDEA9C1" w14:textId="77777777" w:rsidR="007D338F" w:rsidRPr="008A0F8A" w:rsidRDefault="007D338F" w:rsidP="00C937A7">
            <w:pPr>
              <w:spacing w:after="0" w:line="240" w:lineRule="auto"/>
              <w:rPr>
                <w:rFonts w:ascii="Times New Roman" w:hAnsi="Times New Roman" w:cs="Times New Roman"/>
                <w:noProof/>
                <w:color w:val="006100"/>
                <w:sz w:val="20"/>
                <w:szCs w:val="20"/>
                <w:lang w:val="ru-RU"/>
              </w:rPr>
            </w:pP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1F234867" w14:textId="77777777" w:rsidR="007D338F" w:rsidRPr="00D26611" w:rsidRDefault="007D338F" w:rsidP="00C937A7">
            <w:pPr>
              <w:spacing w:after="0" w:line="240" w:lineRule="auto"/>
              <w:jc w:val="center"/>
              <w:rPr>
                <w:rFonts w:ascii="Times New Roman" w:hAnsi="Times New Roman" w:cs="Times New Roman"/>
                <w:noProof/>
                <w:color w:val="006100"/>
                <w:sz w:val="20"/>
                <w:szCs w:val="20"/>
              </w:rPr>
            </w:pPr>
            <w:r>
              <w:rPr>
                <w:rFonts w:ascii="Times New Roman" w:hAnsi="Times New Roman"/>
                <w:noProof/>
                <w:color w:val="006100"/>
                <w:sz w:val="20"/>
              </w:rPr>
              <w:t>T3</w:t>
            </w: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279D517D" w14:textId="77777777" w:rsidR="007D338F" w:rsidRPr="00D26611" w:rsidRDefault="007D338F" w:rsidP="00C937A7">
            <w:pPr>
              <w:spacing w:after="0" w:line="240" w:lineRule="auto"/>
              <w:jc w:val="center"/>
              <w:rPr>
                <w:rFonts w:ascii="Times New Roman" w:hAnsi="Times New Roman" w:cs="Times New Roman"/>
                <w:noProof/>
                <w:color w:val="006100"/>
                <w:sz w:val="20"/>
                <w:szCs w:val="20"/>
              </w:rPr>
            </w:pPr>
            <w:r>
              <w:rPr>
                <w:rFonts w:ascii="Times New Roman" w:hAnsi="Times New Roman"/>
                <w:noProof/>
                <w:color w:val="006100"/>
                <w:sz w:val="20"/>
              </w:rPr>
              <w:t>2022</w:t>
            </w:r>
          </w:p>
        </w:tc>
        <w:tc>
          <w:tcPr>
            <w:tcW w:w="3543" w:type="dxa"/>
            <w:tcBorders>
              <w:top w:val="single" w:sz="4" w:space="0" w:color="auto"/>
              <w:left w:val="nil"/>
              <w:bottom w:val="single" w:sz="4" w:space="0" w:color="auto"/>
              <w:right w:val="single" w:sz="4" w:space="0" w:color="auto"/>
            </w:tcBorders>
            <w:shd w:val="clear" w:color="auto" w:fill="C6EFCE"/>
            <w:noWrap/>
            <w:vAlign w:val="center"/>
          </w:tcPr>
          <w:p w14:paraId="658A2A59" w14:textId="77777777" w:rsidR="007F5404"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Сключване на споразумение за финансиране между Европейския инвестиционен фонд и правителството на България и приемане на инвестиционната политика на фонда </w:t>
            </w:r>
          </w:p>
          <w:p w14:paraId="347C2CC0" w14:textId="77777777" w:rsidR="007F5404" w:rsidRPr="008A0F8A" w:rsidRDefault="007F5404" w:rsidP="00C937A7">
            <w:pPr>
              <w:spacing w:after="0" w:line="240" w:lineRule="auto"/>
              <w:rPr>
                <w:rFonts w:ascii="Times New Roman" w:hAnsi="Times New Roman" w:cs="Times New Roman"/>
                <w:noProof/>
                <w:color w:val="006100"/>
                <w:sz w:val="20"/>
                <w:szCs w:val="20"/>
                <w:lang w:val="ru-RU"/>
              </w:rPr>
            </w:pPr>
          </w:p>
          <w:p w14:paraId="594BF97B" w14:textId="2536703A"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Инвестиционната политика:</w:t>
            </w:r>
          </w:p>
          <w:p w14:paraId="52AED20D" w14:textId="35FFA77B" w:rsidR="007D338F" w:rsidRPr="00D26611" w:rsidRDefault="007D338F" w:rsidP="004C1305">
            <w:pPr>
              <w:pStyle w:val="ListParagraph"/>
              <w:numPr>
                <w:ilvl w:val="0"/>
                <w:numId w:val="91"/>
              </w:num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ще се приема от управителните органи на финансовия инструмент;</w:t>
            </w:r>
          </w:p>
          <w:p w14:paraId="17BD2BEB" w14:textId="7F9ED87C" w:rsidR="007D338F" w:rsidRPr="00D26611" w:rsidRDefault="007D338F" w:rsidP="004C1305">
            <w:pPr>
              <w:pStyle w:val="ListParagraph"/>
              <w:numPr>
                <w:ilvl w:val="0"/>
                <w:numId w:val="91"/>
              </w:num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ще спазва указанията на Комисията от 22 януари 2021 г. относно финансовите инструменти (SWD(2021) 12 final);</w:t>
            </w:r>
          </w:p>
          <w:p w14:paraId="0DEB8AE2" w14:textId="4D1B77E1" w:rsidR="007F5404" w:rsidRPr="00D26611" w:rsidRDefault="007D338F" w:rsidP="004C1305">
            <w:pPr>
              <w:pStyle w:val="ListParagraph"/>
              <w:numPr>
                <w:ilvl w:val="0"/>
                <w:numId w:val="91"/>
              </w:num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ще включи критерии за подбор с оглед на спазването на техническите насоки „Ненанасяне на значителни вреди“ (2021/C58/01) на подпомаганите операции по тази мярка: </w:t>
            </w:r>
          </w:p>
          <w:p w14:paraId="4AE2763B" w14:textId="75B1036C" w:rsidR="007F5404" w:rsidRPr="00D26611" w:rsidRDefault="007F5404" w:rsidP="00DF56F8">
            <w:pPr>
              <w:pStyle w:val="ListParagraph"/>
              <w:spacing w:after="0" w:line="240" w:lineRule="auto"/>
              <w:ind w:left="360"/>
              <w:rPr>
                <w:rFonts w:ascii="Times New Roman" w:hAnsi="Times New Roman" w:cs="Times New Roman"/>
                <w:noProof/>
                <w:color w:val="006100"/>
                <w:sz w:val="20"/>
                <w:szCs w:val="20"/>
              </w:rPr>
            </w:pPr>
            <w:r>
              <w:rPr>
                <w:rFonts w:ascii="Times New Roman" w:hAnsi="Times New Roman"/>
                <w:noProof/>
                <w:color w:val="006100"/>
                <w:sz w:val="20"/>
              </w:rPr>
              <w:t>- чрез проверка на устойчивостта;</w:t>
            </w:r>
          </w:p>
          <w:p w14:paraId="7A1AF70C" w14:textId="6A219D34" w:rsidR="007F5404" w:rsidRPr="00D26611" w:rsidRDefault="007F5404" w:rsidP="00DF56F8">
            <w:pPr>
              <w:pStyle w:val="ListParagraph"/>
              <w:spacing w:after="0" w:line="240" w:lineRule="auto"/>
              <w:ind w:left="360"/>
              <w:rPr>
                <w:rFonts w:ascii="Times New Roman" w:hAnsi="Times New Roman" w:cs="Times New Roman"/>
                <w:noProof/>
                <w:color w:val="006100"/>
                <w:sz w:val="20"/>
                <w:szCs w:val="20"/>
              </w:rPr>
            </w:pPr>
            <w:r>
              <w:rPr>
                <w:rFonts w:ascii="Times New Roman" w:hAnsi="Times New Roman"/>
                <w:noProof/>
                <w:color w:val="006100"/>
                <w:sz w:val="20"/>
              </w:rPr>
              <w:t>- чрез изискване от бенефициерите, които през предходната финансова година са реализирали над 50 % от преките си приходи от дейности или активи, включени в списъка по-долу, да приемат и публикуват планове за преход към екосъобразна дейност: i) дейностите, свързани с изкопаеми горива, включително използване надолу по веригата; ii) дейностите по схемата на ЕС за търговия с емисии (СТЕ), с които се постигат прогнозираните емисии на парникови газове, които не са по-ниски от съответните референтни стойности; iii) дейностите, свързани с депата за отпадъци, инсталациите за изгаряне на отпадъци и заводите за механично-биологично третиране; и iv) дейностите, при които дългосрочното обезвреждане на отпадъци може да причини вреда на околната среда. Това изискване може да се приложи, като например се вземат предвид новите подложени на ограничения сектори, в които оперира ЕИФ (капиталови участия извън инфраструктурни проекти – нормативна уредба за съобразяване с Парижкото споразумение), като могат да се добавят допълнителни ограничения за секторите, обхванати от схемата за търговия с емисии, и за някои транспортни дейности; както и чрез изискване за проверка от ЕИФ за всички операции на бенефициера, в т.ч. освободените от проверка на устойчивостта, на правното съблюдаване на съответното законодателство на ЕС и национално законодателство в областта на околната среда.</w:t>
            </w:r>
          </w:p>
          <w:p w14:paraId="10D76E81" w14:textId="29C24C2A" w:rsidR="007D338F" w:rsidRPr="008A0F8A" w:rsidRDefault="007D338F" w:rsidP="00DF56F8">
            <w:pPr>
              <w:pStyle w:val="ListParagraph"/>
              <w:spacing w:after="0" w:line="240" w:lineRule="auto"/>
              <w:ind w:left="360"/>
              <w:rPr>
                <w:rFonts w:ascii="Times New Roman" w:hAnsi="Times New Roman" w:cs="Times New Roman"/>
                <w:noProof/>
                <w:color w:val="006100"/>
                <w:sz w:val="20"/>
                <w:szCs w:val="20"/>
                <w:lang w:val="ru-RU"/>
              </w:rPr>
            </w:pPr>
          </w:p>
          <w:p w14:paraId="33B6F486" w14:textId="07EE6898" w:rsidR="007D338F" w:rsidRPr="00D26611" w:rsidRDefault="007237B7"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Фондът ще подкрепя МСП и дружества със средна пазарна капитализация, в т.ч. новосъздадени дружества и дружества на ранен етап на развитие, с (капиталови) финансови инструменти. Подкрепата ще се предоставя чрез фондове за рисков капитал и фондове за дялово участие. Управлението на фонда ще се възложи на Европейския инвестиционен фонд (ЕИФ). Между ЕИФ и правителството на България ще се подпише специално споразумение за финансиране по МВУ с оглед на управлението на подпомаганите от МВУ капиталови операции. Инвестиционният комитет ще одобрява операциите с посредници, предложени от управителя на фонда (ЕИФ), въз основа на пазарните нужди и по открит и съобразен с пазарните практики начин. Очаква се инструментът да подпомогне най-малко 24 бенефициери. </w:t>
            </w:r>
          </w:p>
          <w:p w14:paraId="0CCF9239" w14:textId="77777777" w:rsidR="007D338F" w:rsidRPr="008A0F8A" w:rsidRDefault="007D338F" w:rsidP="00C937A7">
            <w:pPr>
              <w:spacing w:after="0" w:line="240" w:lineRule="auto"/>
              <w:rPr>
                <w:rFonts w:ascii="Times New Roman" w:hAnsi="Times New Roman" w:cs="Times New Roman"/>
                <w:noProof/>
                <w:color w:val="006100"/>
                <w:sz w:val="20"/>
                <w:szCs w:val="20"/>
                <w:lang w:val="ru-RU"/>
              </w:rPr>
            </w:pPr>
          </w:p>
          <w:p w14:paraId="12294A82" w14:textId="77777777"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Общото финансиране по МВУ ще е 75 млн. евро.</w:t>
            </w:r>
          </w:p>
          <w:p w14:paraId="551C20BC" w14:textId="77777777" w:rsidR="007D338F" w:rsidRPr="008A0F8A" w:rsidRDefault="007D338F" w:rsidP="00C937A7">
            <w:pPr>
              <w:spacing w:after="0" w:line="240" w:lineRule="auto"/>
              <w:rPr>
                <w:rFonts w:ascii="Times New Roman" w:hAnsi="Times New Roman" w:cs="Times New Roman"/>
                <w:noProof/>
                <w:color w:val="006100"/>
                <w:sz w:val="20"/>
                <w:szCs w:val="20"/>
                <w:lang w:val="ru-RU"/>
              </w:rPr>
            </w:pPr>
          </w:p>
          <w:p w14:paraId="3320BF63" w14:textId="77777777"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Структурата на фонда ще позволява набиране на частни средства. </w:t>
            </w:r>
          </w:p>
          <w:p w14:paraId="0A5B12CF" w14:textId="77777777" w:rsidR="007D338F" w:rsidRPr="008A0F8A" w:rsidRDefault="007D338F" w:rsidP="00C937A7">
            <w:pPr>
              <w:spacing w:after="0" w:line="240" w:lineRule="auto"/>
              <w:rPr>
                <w:rFonts w:ascii="Times New Roman" w:hAnsi="Times New Roman" w:cs="Times New Roman"/>
                <w:noProof/>
                <w:color w:val="006100"/>
                <w:sz w:val="20"/>
                <w:szCs w:val="20"/>
                <w:lang w:val="ru-RU"/>
              </w:rPr>
            </w:pPr>
          </w:p>
          <w:p w14:paraId="62ED3A82" w14:textId="0D646478"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Всички приходи за фонда или финансовите инструменти, включително от погасяванията, както и печалбата от използването на финансирането по МВУ, минус възнаграждението на управителя на фонда и финансовите посредници, ще се използват за същите цели на политиката, включително след 2026 г.</w:t>
            </w:r>
          </w:p>
          <w:p w14:paraId="41EA669E" w14:textId="77777777" w:rsidR="007D338F" w:rsidRPr="008A0F8A" w:rsidRDefault="007D338F" w:rsidP="00C937A7">
            <w:pPr>
              <w:spacing w:after="0" w:line="240" w:lineRule="auto"/>
              <w:rPr>
                <w:rFonts w:ascii="Times New Roman" w:hAnsi="Times New Roman" w:cs="Times New Roman"/>
                <w:noProof/>
                <w:color w:val="006100"/>
                <w:sz w:val="20"/>
                <w:szCs w:val="20"/>
                <w:lang w:val="ru-RU"/>
              </w:rPr>
            </w:pPr>
          </w:p>
        </w:tc>
      </w:tr>
      <w:tr w:rsidR="005A12E7" w:rsidRPr="005241FC" w14:paraId="6B513AE4" w14:textId="77777777" w:rsidTr="008E16C0">
        <w:trPr>
          <w:trHeight w:val="307"/>
        </w:trPr>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9FF8AE1" w14:textId="655AD6D9" w:rsidR="007D338F" w:rsidRPr="00D26611" w:rsidRDefault="00DE4AB0" w:rsidP="00C937A7">
            <w:pPr>
              <w:spacing w:after="0" w:line="240" w:lineRule="auto"/>
              <w:jc w:val="center"/>
              <w:rPr>
                <w:rFonts w:ascii="Times New Roman" w:hAnsi="Times New Roman" w:cs="Times New Roman"/>
                <w:noProof/>
                <w:color w:val="006100"/>
                <w:sz w:val="20"/>
                <w:szCs w:val="20"/>
              </w:rPr>
            </w:pPr>
            <w:r>
              <w:rPr>
                <w:rFonts w:ascii="Times New Roman" w:hAnsi="Times New Roman"/>
                <w:noProof/>
                <w:color w:val="006100"/>
                <w:sz w:val="20"/>
              </w:rPr>
              <w:t>44</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40A02920" w14:textId="77777777" w:rsidR="00183158" w:rsidRPr="00D26611" w:rsidRDefault="0073609B"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К3.И2: </w:t>
            </w:r>
          </w:p>
          <w:p w14:paraId="6B7FA5B7" w14:textId="273F40A8"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Инвестиция 2.1.б — Капиталови инструменти за растеж </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1B053E5E" w14:textId="77777777"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Цел</w:t>
            </w:r>
          </w:p>
        </w:tc>
        <w:tc>
          <w:tcPr>
            <w:tcW w:w="1785" w:type="dxa"/>
            <w:tcBorders>
              <w:top w:val="single" w:sz="4" w:space="0" w:color="auto"/>
              <w:left w:val="nil"/>
              <w:bottom w:val="single" w:sz="4" w:space="0" w:color="auto"/>
              <w:right w:val="single" w:sz="4" w:space="0" w:color="auto"/>
            </w:tcBorders>
            <w:shd w:val="clear" w:color="auto" w:fill="C6EFCE"/>
            <w:noWrap/>
            <w:vAlign w:val="center"/>
          </w:tcPr>
          <w:p w14:paraId="33364A61" w14:textId="77777777"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Операции в размер на 50 % от общото предвидено финансиране, одобрено от инвестиционния комитет</w:t>
            </w:r>
          </w:p>
        </w:tc>
        <w:tc>
          <w:tcPr>
            <w:tcW w:w="1587" w:type="dxa"/>
            <w:tcBorders>
              <w:top w:val="single" w:sz="4" w:space="0" w:color="auto"/>
              <w:left w:val="nil"/>
              <w:bottom w:val="single" w:sz="4" w:space="0" w:color="auto"/>
              <w:right w:val="single" w:sz="4" w:space="0" w:color="auto"/>
            </w:tcBorders>
            <w:shd w:val="clear" w:color="auto" w:fill="C6EFCE"/>
            <w:noWrap/>
            <w:vAlign w:val="center"/>
          </w:tcPr>
          <w:p w14:paraId="44D047DA" w14:textId="77777777" w:rsidR="007D338F" w:rsidRPr="008A0F8A" w:rsidRDefault="007D338F" w:rsidP="00C937A7">
            <w:pPr>
              <w:spacing w:after="0" w:line="240" w:lineRule="auto"/>
              <w:rPr>
                <w:rFonts w:ascii="Times New Roman" w:hAnsi="Times New Roman" w:cs="Times New Roman"/>
                <w:noProof/>
                <w:color w:val="006100"/>
                <w:sz w:val="20"/>
                <w:szCs w:val="20"/>
                <w:lang w:val="ru-RU"/>
              </w:rPr>
            </w:pPr>
          </w:p>
        </w:tc>
        <w:tc>
          <w:tcPr>
            <w:tcW w:w="1301" w:type="dxa"/>
            <w:tcBorders>
              <w:top w:val="single" w:sz="4" w:space="0" w:color="auto"/>
              <w:left w:val="nil"/>
              <w:bottom w:val="single" w:sz="4" w:space="0" w:color="auto"/>
              <w:right w:val="single" w:sz="4" w:space="0" w:color="auto"/>
            </w:tcBorders>
            <w:shd w:val="clear" w:color="auto" w:fill="C6EFCE"/>
            <w:noWrap/>
            <w:vAlign w:val="center"/>
          </w:tcPr>
          <w:p w14:paraId="05613D28" w14:textId="77777777"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(процент)</w:t>
            </w: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7E73DB87" w14:textId="77777777"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0</w:t>
            </w:r>
          </w:p>
        </w:tc>
        <w:tc>
          <w:tcPr>
            <w:tcW w:w="851" w:type="dxa"/>
            <w:tcBorders>
              <w:top w:val="single" w:sz="4" w:space="0" w:color="auto"/>
              <w:left w:val="nil"/>
              <w:bottom w:val="single" w:sz="4" w:space="0" w:color="auto"/>
              <w:right w:val="single" w:sz="4" w:space="0" w:color="auto"/>
            </w:tcBorders>
            <w:shd w:val="clear" w:color="auto" w:fill="C6EFCE"/>
            <w:noWrap/>
            <w:vAlign w:val="center"/>
          </w:tcPr>
          <w:p w14:paraId="3DB9CC7E" w14:textId="77777777"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50</w:t>
            </w: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1BE6E0C2" w14:textId="342954FD" w:rsidR="007D338F" w:rsidRPr="00D26611" w:rsidRDefault="003C104E" w:rsidP="003C104E">
            <w:pPr>
              <w:spacing w:after="0" w:line="240" w:lineRule="auto"/>
              <w:jc w:val="center"/>
              <w:rPr>
                <w:rFonts w:ascii="Times New Roman" w:hAnsi="Times New Roman" w:cs="Times New Roman"/>
                <w:noProof/>
                <w:color w:val="006100"/>
                <w:sz w:val="20"/>
                <w:szCs w:val="20"/>
              </w:rPr>
            </w:pPr>
            <w:r>
              <w:rPr>
                <w:rFonts w:ascii="Times New Roman" w:hAnsi="Times New Roman"/>
                <w:noProof/>
                <w:color w:val="006100"/>
                <w:sz w:val="20"/>
              </w:rPr>
              <w:t>T2</w:t>
            </w: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034923EF" w14:textId="30AE304C" w:rsidR="007D338F" w:rsidRPr="00D26611" w:rsidRDefault="003C104E" w:rsidP="003C104E">
            <w:pPr>
              <w:spacing w:after="0" w:line="240" w:lineRule="auto"/>
              <w:jc w:val="center"/>
              <w:rPr>
                <w:rFonts w:ascii="Times New Roman" w:hAnsi="Times New Roman" w:cs="Times New Roman"/>
                <w:noProof/>
                <w:color w:val="006100"/>
                <w:sz w:val="20"/>
                <w:szCs w:val="20"/>
              </w:rPr>
            </w:pPr>
            <w:r>
              <w:rPr>
                <w:rFonts w:ascii="Times New Roman" w:hAnsi="Times New Roman"/>
                <w:noProof/>
                <w:color w:val="006100"/>
                <w:sz w:val="20"/>
              </w:rPr>
              <w:t>2025</w:t>
            </w:r>
          </w:p>
        </w:tc>
        <w:tc>
          <w:tcPr>
            <w:tcW w:w="3543" w:type="dxa"/>
            <w:tcBorders>
              <w:top w:val="single" w:sz="4" w:space="0" w:color="auto"/>
              <w:left w:val="nil"/>
              <w:bottom w:val="single" w:sz="4" w:space="0" w:color="auto"/>
              <w:right w:val="single" w:sz="4" w:space="0" w:color="auto"/>
            </w:tcBorders>
            <w:shd w:val="clear" w:color="auto" w:fill="C6EFCE"/>
            <w:noWrap/>
            <w:vAlign w:val="center"/>
          </w:tcPr>
          <w:p w14:paraId="27F436CE" w14:textId="04D90046"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Финансови или инвестиционни операции в размер на 50 % от общия размер на одобреното целево финансиране или инвестиция от определения от правителството на България инвестиционен комитет, в съответствие с изискванията, посочени в ключов етап 43.</w:t>
            </w:r>
          </w:p>
          <w:p w14:paraId="5EE75268" w14:textId="77777777" w:rsidR="007D338F" w:rsidRPr="008A0F8A" w:rsidRDefault="007D338F" w:rsidP="00C937A7">
            <w:pPr>
              <w:spacing w:after="0" w:line="240" w:lineRule="auto"/>
              <w:rPr>
                <w:rFonts w:ascii="Times New Roman" w:hAnsi="Times New Roman" w:cs="Times New Roman"/>
                <w:noProof/>
                <w:color w:val="006100"/>
                <w:sz w:val="20"/>
                <w:szCs w:val="20"/>
                <w:lang w:val="ru-RU"/>
              </w:rPr>
            </w:pPr>
          </w:p>
        </w:tc>
      </w:tr>
      <w:tr w:rsidR="005A12E7" w:rsidRPr="005241FC" w14:paraId="0270FD85" w14:textId="77777777" w:rsidTr="008E16C0">
        <w:trPr>
          <w:trHeight w:val="307"/>
        </w:trPr>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64D383D" w14:textId="1EC36CB0" w:rsidR="007D338F" w:rsidRPr="00D26611" w:rsidRDefault="00DE4AB0" w:rsidP="00C937A7">
            <w:pPr>
              <w:spacing w:after="0" w:line="240" w:lineRule="auto"/>
              <w:jc w:val="center"/>
              <w:rPr>
                <w:rFonts w:ascii="Times New Roman" w:hAnsi="Times New Roman" w:cs="Times New Roman"/>
                <w:noProof/>
                <w:color w:val="006100"/>
                <w:sz w:val="20"/>
                <w:szCs w:val="20"/>
              </w:rPr>
            </w:pPr>
            <w:r>
              <w:rPr>
                <w:rFonts w:ascii="Times New Roman" w:hAnsi="Times New Roman"/>
                <w:noProof/>
                <w:color w:val="006100"/>
                <w:sz w:val="20"/>
              </w:rPr>
              <w:t>45</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1EB767DE" w14:textId="77777777" w:rsidR="00183158" w:rsidRPr="00D26611" w:rsidRDefault="0073609B"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К3.И2: </w:t>
            </w:r>
          </w:p>
          <w:p w14:paraId="7B7335ED" w14:textId="7B3E43AE"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Инвестиция 2.1.б — Капиталови инструменти за растеж </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0DE8C707" w14:textId="77777777"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Цел</w:t>
            </w:r>
          </w:p>
        </w:tc>
        <w:tc>
          <w:tcPr>
            <w:tcW w:w="1785" w:type="dxa"/>
            <w:tcBorders>
              <w:top w:val="single" w:sz="4" w:space="0" w:color="auto"/>
              <w:left w:val="nil"/>
              <w:bottom w:val="single" w:sz="4" w:space="0" w:color="auto"/>
              <w:right w:val="single" w:sz="4" w:space="0" w:color="auto"/>
            </w:tcBorders>
            <w:shd w:val="clear" w:color="auto" w:fill="C6EFCE"/>
            <w:noWrap/>
            <w:vAlign w:val="center"/>
          </w:tcPr>
          <w:p w14:paraId="362809D2" w14:textId="77777777"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Операции в размер на 100 % от общото предвидено финансиране, одобрено от инвестиционния комитет</w:t>
            </w:r>
          </w:p>
        </w:tc>
        <w:tc>
          <w:tcPr>
            <w:tcW w:w="1587" w:type="dxa"/>
            <w:tcBorders>
              <w:top w:val="single" w:sz="4" w:space="0" w:color="auto"/>
              <w:left w:val="nil"/>
              <w:bottom w:val="single" w:sz="4" w:space="0" w:color="auto"/>
              <w:right w:val="single" w:sz="4" w:space="0" w:color="auto"/>
            </w:tcBorders>
            <w:shd w:val="clear" w:color="auto" w:fill="C6EFCE"/>
            <w:noWrap/>
            <w:vAlign w:val="center"/>
          </w:tcPr>
          <w:p w14:paraId="390D928F" w14:textId="77777777" w:rsidR="007D338F" w:rsidRPr="008A0F8A" w:rsidRDefault="007D338F" w:rsidP="00C937A7">
            <w:pPr>
              <w:spacing w:after="0" w:line="240" w:lineRule="auto"/>
              <w:rPr>
                <w:rFonts w:ascii="Times New Roman" w:hAnsi="Times New Roman" w:cs="Times New Roman"/>
                <w:noProof/>
                <w:color w:val="006100"/>
                <w:sz w:val="20"/>
                <w:szCs w:val="20"/>
                <w:lang w:val="ru-RU"/>
              </w:rPr>
            </w:pPr>
          </w:p>
        </w:tc>
        <w:tc>
          <w:tcPr>
            <w:tcW w:w="1301" w:type="dxa"/>
            <w:tcBorders>
              <w:top w:val="single" w:sz="4" w:space="0" w:color="auto"/>
              <w:left w:val="nil"/>
              <w:bottom w:val="single" w:sz="4" w:space="0" w:color="auto"/>
              <w:right w:val="single" w:sz="4" w:space="0" w:color="auto"/>
            </w:tcBorders>
            <w:shd w:val="clear" w:color="auto" w:fill="C6EFCE"/>
            <w:noWrap/>
            <w:vAlign w:val="center"/>
          </w:tcPr>
          <w:p w14:paraId="58BC468C" w14:textId="77777777"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(процент)</w:t>
            </w: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49EB5774" w14:textId="77777777"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50</w:t>
            </w:r>
          </w:p>
        </w:tc>
        <w:tc>
          <w:tcPr>
            <w:tcW w:w="851" w:type="dxa"/>
            <w:tcBorders>
              <w:top w:val="single" w:sz="4" w:space="0" w:color="auto"/>
              <w:left w:val="nil"/>
              <w:bottom w:val="single" w:sz="4" w:space="0" w:color="auto"/>
              <w:right w:val="single" w:sz="4" w:space="0" w:color="auto"/>
            </w:tcBorders>
            <w:shd w:val="clear" w:color="auto" w:fill="C6EFCE"/>
            <w:noWrap/>
            <w:vAlign w:val="center"/>
          </w:tcPr>
          <w:p w14:paraId="6486DAE0" w14:textId="77777777"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100</w:t>
            </w: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2487A622" w14:textId="77777777" w:rsidR="007D338F" w:rsidRPr="00D26611" w:rsidRDefault="007D338F" w:rsidP="00C937A7">
            <w:pPr>
              <w:spacing w:after="0" w:line="240" w:lineRule="auto"/>
              <w:jc w:val="center"/>
              <w:rPr>
                <w:rFonts w:ascii="Times New Roman" w:hAnsi="Times New Roman" w:cs="Times New Roman"/>
                <w:noProof/>
                <w:color w:val="006100"/>
                <w:sz w:val="20"/>
                <w:szCs w:val="20"/>
              </w:rPr>
            </w:pPr>
            <w:r>
              <w:rPr>
                <w:rFonts w:ascii="Times New Roman" w:hAnsi="Times New Roman"/>
                <w:noProof/>
                <w:color w:val="006100"/>
                <w:sz w:val="20"/>
              </w:rPr>
              <w:t>T2</w:t>
            </w: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02FD2944" w14:textId="77777777" w:rsidR="007D338F" w:rsidRPr="00D26611" w:rsidRDefault="007D338F" w:rsidP="00C937A7">
            <w:pPr>
              <w:spacing w:after="0" w:line="240" w:lineRule="auto"/>
              <w:jc w:val="center"/>
              <w:rPr>
                <w:rFonts w:ascii="Times New Roman" w:hAnsi="Times New Roman" w:cs="Times New Roman"/>
                <w:noProof/>
                <w:color w:val="006100"/>
                <w:sz w:val="20"/>
                <w:szCs w:val="20"/>
              </w:rPr>
            </w:pPr>
            <w:r>
              <w:rPr>
                <w:rFonts w:ascii="Times New Roman" w:hAnsi="Times New Roman"/>
                <w:noProof/>
                <w:color w:val="006100"/>
                <w:sz w:val="20"/>
              </w:rPr>
              <w:t>2026</w:t>
            </w:r>
          </w:p>
        </w:tc>
        <w:tc>
          <w:tcPr>
            <w:tcW w:w="3543" w:type="dxa"/>
            <w:tcBorders>
              <w:top w:val="single" w:sz="4" w:space="0" w:color="auto"/>
              <w:left w:val="nil"/>
              <w:bottom w:val="single" w:sz="4" w:space="0" w:color="auto"/>
              <w:right w:val="single" w:sz="4" w:space="0" w:color="auto"/>
            </w:tcBorders>
            <w:shd w:val="clear" w:color="auto" w:fill="C6EFCE"/>
            <w:noWrap/>
            <w:vAlign w:val="center"/>
          </w:tcPr>
          <w:p w14:paraId="4524D10C" w14:textId="2EA39325"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Финансови или инвестиционни операции в размер на 100 % от общия размер на одобреното целево финансиране или инвестиция от определения от правителството на България инвестиционен комитет, в съответствие с изискванията, посочени в ключов етап 43.</w:t>
            </w:r>
          </w:p>
          <w:p w14:paraId="30748DCF" w14:textId="77777777" w:rsidR="007D338F" w:rsidRPr="008A0F8A" w:rsidRDefault="007D338F" w:rsidP="00C937A7">
            <w:pPr>
              <w:spacing w:after="0" w:line="240" w:lineRule="auto"/>
              <w:rPr>
                <w:rFonts w:ascii="Times New Roman" w:hAnsi="Times New Roman" w:cs="Times New Roman"/>
                <w:noProof/>
                <w:color w:val="006100"/>
                <w:sz w:val="20"/>
                <w:szCs w:val="20"/>
                <w:lang w:val="ru-RU"/>
              </w:rPr>
            </w:pPr>
          </w:p>
        </w:tc>
      </w:tr>
      <w:tr w:rsidR="005A12E7" w:rsidRPr="005241FC" w14:paraId="43919934" w14:textId="77777777" w:rsidTr="008E16C0">
        <w:trPr>
          <w:trHeight w:val="307"/>
        </w:trPr>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3BA7716" w14:textId="24A2FE80" w:rsidR="007D338F" w:rsidRPr="00D26611" w:rsidRDefault="00DE4AB0" w:rsidP="00C937A7">
            <w:pPr>
              <w:spacing w:after="0" w:line="240" w:lineRule="auto"/>
              <w:jc w:val="center"/>
              <w:rPr>
                <w:rFonts w:ascii="Times New Roman" w:hAnsi="Times New Roman" w:cs="Times New Roman"/>
                <w:noProof/>
                <w:color w:val="006100"/>
                <w:sz w:val="20"/>
                <w:szCs w:val="20"/>
              </w:rPr>
            </w:pPr>
            <w:r>
              <w:rPr>
                <w:rFonts w:ascii="Times New Roman" w:hAnsi="Times New Roman"/>
                <w:noProof/>
                <w:color w:val="006100"/>
                <w:sz w:val="20"/>
              </w:rPr>
              <w:t>46</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4C25B8C9" w14:textId="77777777" w:rsidR="00183158" w:rsidRPr="00D26611" w:rsidRDefault="0073609B"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К3.И2: </w:t>
            </w:r>
          </w:p>
          <w:p w14:paraId="6377616E" w14:textId="065D80E0"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Инвестиция 2.1.в — Схема за отпускане на безвъзмездни средства за технологична модернизация </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75E1B304" w14:textId="77777777"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Ключов етап</w:t>
            </w:r>
          </w:p>
        </w:tc>
        <w:tc>
          <w:tcPr>
            <w:tcW w:w="1785" w:type="dxa"/>
            <w:tcBorders>
              <w:top w:val="single" w:sz="4" w:space="0" w:color="auto"/>
              <w:left w:val="nil"/>
              <w:bottom w:val="single" w:sz="4" w:space="0" w:color="auto"/>
              <w:right w:val="single" w:sz="4" w:space="0" w:color="auto"/>
            </w:tcBorders>
            <w:shd w:val="clear" w:color="auto" w:fill="C6EFCE"/>
            <w:noWrap/>
            <w:vAlign w:val="center"/>
          </w:tcPr>
          <w:p w14:paraId="6E9D9C88" w14:textId="77777777"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Приключили процедури за подбор </w:t>
            </w:r>
          </w:p>
        </w:tc>
        <w:tc>
          <w:tcPr>
            <w:tcW w:w="1587" w:type="dxa"/>
            <w:tcBorders>
              <w:top w:val="single" w:sz="4" w:space="0" w:color="auto"/>
              <w:left w:val="nil"/>
              <w:bottom w:val="single" w:sz="4" w:space="0" w:color="auto"/>
              <w:right w:val="single" w:sz="4" w:space="0" w:color="auto"/>
            </w:tcBorders>
            <w:shd w:val="clear" w:color="auto" w:fill="C6EFCE"/>
            <w:noWrap/>
            <w:vAlign w:val="center"/>
          </w:tcPr>
          <w:p w14:paraId="2F8B05D1" w14:textId="2C06EDE3" w:rsidR="007D338F" w:rsidRPr="00D26611" w:rsidRDefault="00A82C9E"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Публикуван списък с одобрени за финансиране проекти и резервен списък </w:t>
            </w:r>
          </w:p>
        </w:tc>
        <w:tc>
          <w:tcPr>
            <w:tcW w:w="1301" w:type="dxa"/>
            <w:tcBorders>
              <w:top w:val="single" w:sz="4" w:space="0" w:color="auto"/>
              <w:left w:val="nil"/>
              <w:bottom w:val="single" w:sz="4" w:space="0" w:color="auto"/>
              <w:right w:val="single" w:sz="4" w:space="0" w:color="auto"/>
            </w:tcBorders>
            <w:shd w:val="clear" w:color="auto" w:fill="C6EFCE"/>
            <w:noWrap/>
            <w:vAlign w:val="center"/>
          </w:tcPr>
          <w:p w14:paraId="036AF8DF" w14:textId="77777777" w:rsidR="007D338F" w:rsidRPr="008A0F8A" w:rsidRDefault="007D338F" w:rsidP="00C937A7">
            <w:pPr>
              <w:spacing w:after="0" w:line="240" w:lineRule="auto"/>
              <w:rPr>
                <w:rFonts w:ascii="Times New Roman" w:hAnsi="Times New Roman" w:cs="Times New Roman"/>
                <w:noProof/>
                <w:color w:val="006100"/>
                <w:sz w:val="20"/>
                <w:szCs w:val="20"/>
                <w:lang w:val="ru-RU"/>
              </w:rPr>
            </w:pP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39DA439A" w14:textId="77777777" w:rsidR="007D338F" w:rsidRPr="008A0F8A" w:rsidRDefault="007D338F" w:rsidP="00C937A7">
            <w:pPr>
              <w:spacing w:after="0" w:line="240" w:lineRule="auto"/>
              <w:rPr>
                <w:rFonts w:ascii="Times New Roman" w:hAnsi="Times New Roman" w:cs="Times New Roman"/>
                <w:noProof/>
                <w:color w:val="006100"/>
                <w:sz w:val="20"/>
                <w:szCs w:val="20"/>
                <w:lang w:val="ru-RU"/>
              </w:rPr>
            </w:pPr>
          </w:p>
        </w:tc>
        <w:tc>
          <w:tcPr>
            <w:tcW w:w="851" w:type="dxa"/>
            <w:tcBorders>
              <w:top w:val="single" w:sz="4" w:space="0" w:color="auto"/>
              <w:left w:val="nil"/>
              <w:bottom w:val="single" w:sz="4" w:space="0" w:color="auto"/>
              <w:right w:val="single" w:sz="4" w:space="0" w:color="auto"/>
            </w:tcBorders>
            <w:shd w:val="clear" w:color="auto" w:fill="C6EFCE"/>
            <w:noWrap/>
            <w:vAlign w:val="center"/>
          </w:tcPr>
          <w:p w14:paraId="05603474" w14:textId="77777777" w:rsidR="007D338F" w:rsidRPr="008A0F8A" w:rsidRDefault="007D338F" w:rsidP="00C937A7">
            <w:pPr>
              <w:spacing w:after="0" w:line="240" w:lineRule="auto"/>
              <w:rPr>
                <w:rFonts w:ascii="Times New Roman" w:hAnsi="Times New Roman" w:cs="Times New Roman"/>
                <w:noProof/>
                <w:color w:val="006100"/>
                <w:sz w:val="20"/>
                <w:szCs w:val="20"/>
                <w:lang w:val="ru-RU"/>
              </w:rPr>
            </w:pP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56C900E2" w14:textId="550127D7" w:rsidR="007D338F" w:rsidRPr="00D26611" w:rsidRDefault="00B75019" w:rsidP="00C937A7">
            <w:pPr>
              <w:spacing w:after="0" w:line="240" w:lineRule="auto"/>
              <w:jc w:val="center"/>
              <w:rPr>
                <w:rFonts w:ascii="Times New Roman" w:hAnsi="Times New Roman" w:cs="Times New Roman"/>
                <w:noProof/>
                <w:color w:val="006100"/>
                <w:sz w:val="20"/>
                <w:szCs w:val="20"/>
              </w:rPr>
            </w:pPr>
            <w:r>
              <w:rPr>
                <w:rFonts w:ascii="Times New Roman" w:hAnsi="Times New Roman"/>
                <w:noProof/>
                <w:color w:val="006100"/>
                <w:sz w:val="20"/>
              </w:rPr>
              <w:t>T4</w:t>
            </w: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7833C786" w14:textId="77777777" w:rsidR="007D338F" w:rsidRPr="00D26611" w:rsidRDefault="007D338F" w:rsidP="00C937A7">
            <w:pPr>
              <w:spacing w:after="0" w:line="240" w:lineRule="auto"/>
              <w:jc w:val="center"/>
              <w:rPr>
                <w:rFonts w:ascii="Times New Roman" w:hAnsi="Times New Roman" w:cs="Times New Roman"/>
                <w:noProof/>
                <w:color w:val="006100"/>
                <w:sz w:val="20"/>
                <w:szCs w:val="20"/>
              </w:rPr>
            </w:pPr>
            <w:r>
              <w:rPr>
                <w:rFonts w:ascii="Times New Roman" w:hAnsi="Times New Roman"/>
                <w:noProof/>
                <w:color w:val="006100"/>
                <w:sz w:val="20"/>
              </w:rPr>
              <w:t>2022</w:t>
            </w:r>
          </w:p>
        </w:tc>
        <w:tc>
          <w:tcPr>
            <w:tcW w:w="3543" w:type="dxa"/>
            <w:tcBorders>
              <w:top w:val="single" w:sz="4" w:space="0" w:color="auto"/>
              <w:left w:val="nil"/>
              <w:bottom w:val="single" w:sz="4" w:space="0" w:color="auto"/>
              <w:right w:val="single" w:sz="4" w:space="0" w:color="auto"/>
            </w:tcBorders>
            <w:shd w:val="clear" w:color="auto" w:fill="C6EFCE"/>
            <w:noWrap/>
            <w:vAlign w:val="center"/>
          </w:tcPr>
          <w:p w14:paraId="757A4F52" w14:textId="77777777"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Процедурите за подбор ще са открити и конкурентни. </w:t>
            </w:r>
          </w:p>
          <w:p w14:paraId="7041EF80" w14:textId="77777777" w:rsidR="007D338F" w:rsidRPr="008A0F8A" w:rsidRDefault="007D338F" w:rsidP="00C937A7">
            <w:pPr>
              <w:spacing w:after="0" w:line="240" w:lineRule="auto"/>
              <w:rPr>
                <w:rFonts w:ascii="Times New Roman" w:hAnsi="Times New Roman" w:cs="Times New Roman"/>
                <w:noProof/>
                <w:color w:val="006100"/>
                <w:sz w:val="20"/>
                <w:szCs w:val="20"/>
                <w:lang w:val="ru-RU"/>
              </w:rPr>
            </w:pPr>
          </w:p>
          <w:p w14:paraId="2C8E054D" w14:textId="77777777"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Бенефициерите ще са МСП. Проектите ще подкрепят придобиването на нови технологии с акцент върху цифровизацията на производствените процеси (покупка на ново техническо оборудване с акцент върху цифровизацията на производствените процеси с цел постигане на пазарно предимство, персонализиране на продуктите, гъвкавост, ефикасност и оригиналност с оглед на разширяване или разнообразяване на продуктовата гама).</w:t>
            </w:r>
          </w:p>
          <w:p w14:paraId="5F6E21EE" w14:textId="77777777" w:rsidR="007D338F" w:rsidRPr="008A0F8A" w:rsidRDefault="007D338F" w:rsidP="00C937A7">
            <w:pPr>
              <w:spacing w:after="0" w:line="240" w:lineRule="auto"/>
              <w:rPr>
                <w:rFonts w:ascii="Times New Roman" w:hAnsi="Times New Roman" w:cs="Times New Roman"/>
                <w:noProof/>
                <w:color w:val="006100"/>
                <w:sz w:val="20"/>
                <w:szCs w:val="20"/>
                <w:lang w:val="ru-RU"/>
              </w:rPr>
            </w:pPr>
          </w:p>
          <w:p w14:paraId="2F26A8C9" w14:textId="12D24A68" w:rsidR="00BF6646"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Най-малко 50 % от разходите по проекта ще се съфинансират от бенефициера.</w:t>
            </w:r>
          </w:p>
          <w:p w14:paraId="1CF63C2E" w14:textId="77777777" w:rsidR="00BF6646" w:rsidRPr="008A0F8A" w:rsidRDefault="00BF6646" w:rsidP="00C937A7">
            <w:pPr>
              <w:spacing w:after="0" w:line="240" w:lineRule="auto"/>
              <w:rPr>
                <w:rFonts w:ascii="Times New Roman" w:hAnsi="Times New Roman" w:cs="Times New Roman"/>
                <w:noProof/>
                <w:color w:val="006100"/>
                <w:sz w:val="20"/>
                <w:szCs w:val="20"/>
                <w:lang w:val="ru-RU"/>
              </w:rPr>
            </w:pPr>
          </w:p>
          <w:p w14:paraId="1F1881D4" w14:textId="4CFF5D53" w:rsidR="007D338F" w:rsidRPr="00D26611" w:rsidRDefault="00BF6646"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Общото финансиране за одобрените проекти ще е най-малко 120 млн. евро. </w:t>
            </w:r>
          </w:p>
          <w:p w14:paraId="0A3957BE" w14:textId="77777777" w:rsidR="007D338F" w:rsidRPr="008A0F8A" w:rsidRDefault="007D338F" w:rsidP="00C937A7">
            <w:pPr>
              <w:spacing w:after="0" w:line="240" w:lineRule="auto"/>
              <w:rPr>
                <w:rFonts w:ascii="Times New Roman" w:hAnsi="Times New Roman" w:cs="Times New Roman"/>
                <w:noProof/>
                <w:color w:val="006100"/>
                <w:sz w:val="20"/>
                <w:szCs w:val="20"/>
                <w:lang w:val="ru-RU"/>
              </w:rPr>
            </w:pPr>
          </w:p>
          <w:p w14:paraId="7FC7462E" w14:textId="33E86A61" w:rsidR="007D338F" w:rsidRPr="00D26611" w:rsidRDefault="00A82C9E"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С оглед на съответствието на мярката с техническите насоки „Ненанасяне на значителни вреди“ (2021/C58/01), критериите за допустимост в техническите спецификации на предстоящите покани за представяне на проекти ще изключат дейностите и активите от посочения в описанието на мярката списък на изключените дейности/активи и ще изискат да могат да бъдат избирани само дейности, които съблюдават съответното законодателство на ЕС и национално законодателство в областта на околната среда.</w:t>
            </w:r>
          </w:p>
          <w:p w14:paraId="11ECC6C1" w14:textId="69F5257F" w:rsidR="007D338F" w:rsidRPr="008A0F8A" w:rsidRDefault="007D338F" w:rsidP="00C937A7">
            <w:pPr>
              <w:spacing w:after="0" w:line="240" w:lineRule="auto"/>
              <w:rPr>
                <w:rFonts w:ascii="Times New Roman" w:hAnsi="Times New Roman" w:cs="Times New Roman"/>
                <w:noProof/>
                <w:color w:val="006100"/>
                <w:sz w:val="20"/>
                <w:szCs w:val="20"/>
                <w:lang w:val="ru-RU"/>
              </w:rPr>
            </w:pPr>
          </w:p>
        </w:tc>
      </w:tr>
      <w:tr w:rsidR="005A12E7" w:rsidRPr="005241FC" w14:paraId="432D1655" w14:textId="77777777" w:rsidTr="008E16C0">
        <w:trPr>
          <w:trHeight w:val="307"/>
        </w:trPr>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3AF377B" w14:textId="4D5CB428" w:rsidR="007D338F" w:rsidRPr="00D26611" w:rsidRDefault="00DE4AB0" w:rsidP="00C937A7">
            <w:pPr>
              <w:spacing w:after="0" w:line="240" w:lineRule="auto"/>
              <w:jc w:val="center"/>
              <w:rPr>
                <w:rFonts w:ascii="Times New Roman" w:hAnsi="Times New Roman" w:cs="Times New Roman"/>
                <w:noProof/>
                <w:color w:val="006100"/>
                <w:sz w:val="20"/>
                <w:szCs w:val="20"/>
              </w:rPr>
            </w:pPr>
            <w:r>
              <w:rPr>
                <w:rFonts w:ascii="Times New Roman" w:hAnsi="Times New Roman"/>
                <w:noProof/>
                <w:color w:val="006100"/>
                <w:sz w:val="20"/>
              </w:rPr>
              <w:t>47</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1291C673" w14:textId="77777777" w:rsidR="00183158" w:rsidRPr="00D26611" w:rsidRDefault="0073609B"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К3.И2: </w:t>
            </w:r>
          </w:p>
          <w:p w14:paraId="33F0507C" w14:textId="4C090F03"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Инвестиция 2.1.в — Схема за отпускане на безвъзмездни средства за технологична модернизация</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254C86FB" w14:textId="77777777"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Цел</w:t>
            </w:r>
          </w:p>
        </w:tc>
        <w:tc>
          <w:tcPr>
            <w:tcW w:w="1785" w:type="dxa"/>
            <w:tcBorders>
              <w:top w:val="single" w:sz="4" w:space="0" w:color="auto"/>
              <w:left w:val="nil"/>
              <w:bottom w:val="single" w:sz="4" w:space="0" w:color="auto"/>
              <w:right w:val="single" w:sz="4" w:space="0" w:color="auto"/>
            </w:tcBorders>
            <w:shd w:val="clear" w:color="auto" w:fill="C6EFCE"/>
            <w:noWrap/>
            <w:vAlign w:val="center"/>
          </w:tcPr>
          <w:p w14:paraId="03E30E2C" w14:textId="77777777"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Завършени проекти в подкрепа на технологичната модернизация </w:t>
            </w:r>
          </w:p>
        </w:tc>
        <w:tc>
          <w:tcPr>
            <w:tcW w:w="1587" w:type="dxa"/>
            <w:tcBorders>
              <w:top w:val="single" w:sz="4" w:space="0" w:color="auto"/>
              <w:left w:val="nil"/>
              <w:bottom w:val="single" w:sz="4" w:space="0" w:color="auto"/>
              <w:right w:val="single" w:sz="4" w:space="0" w:color="auto"/>
            </w:tcBorders>
            <w:shd w:val="clear" w:color="auto" w:fill="C6EFCE"/>
            <w:noWrap/>
            <w:vAlign w:val="center"/>
          </w:tcPr>
          <w:p w14:paraId="38A3704C" w14:textId="77777777" w:rsidR="007D338F" w:rsidRPr="008A0F8A" w:rsidRDefault="007D338F" w:rsidP="00C937A7">
            <w:pPr>
              <w:spacing w:after="0" w:line="240" w:lineRule="auto"/>
              <w:rPr>
                <w:rFonts w:ascii="Times New Roman" w:hAnsi="Times New Roman" w:cs="Times New Roman"/>
                <w:noProof/>
                <w:color w:val="006100"/>
                <w:sz w:val="20"/>
                <w:szCs w:val="20"/>
                <w:lang w:val="ru-RU"/>
              </w:rPr>
            </w:pPr>
          </w:p>
        </w:tc>
        <w:tc>
          <w:tcPr>
            <w:tcW w:w="1301" w:type="dxa"/>
            <w:tcBorders>
              <w:top w:val="single" w:sz="4" w:space="0" w:color="auto"/>
              <w:left w:val="nil"/>
              <w:bottom w:val="single" w:sz="4" w:space="0" w:color="auto"/>
              <w:right w:val="single" w:sz="4" w:space="0" w:color="auto"/>
            </w:tcBorders>
            <w:shd w:val="clear" w:color="auto" w:fill="C6EFCE"/>
            <w:noWrap/>
            <w:vAlign w:val="center"/>
          </w:tcPr>
          <w:p w14:paraId="7117E3EE" w14:textId="77777777"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Брой</w:t>
            </w: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3C9016E0" w14:textId="122DA1FB"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0</w:t>
            </w:r>
          </w:p>
        </w:tc>
        <w:tc>
          <w:tcPr>
            <w:tcW w:w="851" w:type="dxa"/>
            <w:tcBorders>
              <w:top w:val="single" w:sz="4" w:space="0" w:color="auto"/>
              <w:left w:val="nil"/>
              <w:bottom w:val="single" w:sz="4" w:space="0" w:color="auto"/>
              <w:right w:val="single" w:sz="4" w:space="0" w:color="auto"/>
            </w:tcBorders>
            <w:shd w:val="clear" w:color="auto" w:fill="C6EFCE"/>
            <w:noWrap/>
            <w:vAlign w:val="center"/>
          </w:tcPr>
          <w:p w14:paraId="7ECA5B20" w14:textId="2F012666" w:rsidR="007D338F" w:rsidRPr="00D26611" w:rsidRDefault="00A82C9E"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665</w:t>
            </w: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3416CCF7" w14:textId="5A2ADDF0" w:rsidR="007D338F" w:rsidRPr="00D26611" w:rsidRDefault="007D338F" w:rsidP="00C937A7">
            <w:pPr>
              <w:spacing w:after="0" w:line="240" w:lineRule="auto"/>
              <w:jc w:val="center"/>
              <w:rPr>
                <w:rFonts w:ascii="Times New Roman" w:hAnsi="Times New Roman" w:cs="Times New Roman"/>
                <w:noProof/>
                <w:color w:val="006100"/>
                <w:sz w:val="20"/>
                <w:szCs w:val="20"/>
              </w:rPr>
            </w:pPr>
            <w:r>
              <w:rPr>
                <w:rFonts w:ascii="Times New Roman" w:hAnsi="Times New Roman"/>
                <w:noProof/>
                <w:color w:val="006100"/>
                <w:sz w:val="20"/>
              </w:rPr>
              <w:t>T3</w:t>
            </w: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69C200C3" w14:textId="77777777" w:rsidR="007D338F" w:rsidRPr="00D26611" w:rsidRDefault="007D338F" w:rsidP="00C937A7">
            <w:pPr>
              <w:spacing w:after="0" w:line="240" w:lineRule="auto"/>
              <w:jc w:val="center"/>
              <w:rPr>
                <w:rFonts w:ascii="Times New Roman" w:hAnsi="Times New Roman" w:cs="Times New Roman"/>
                <w:noProof/>
                <w:color w:val="006100"/>
                <w:sz w:val="20"/>
                <w:szCs w:val="20"/>
              </w:rPr>
            </w:pPr>
            <w:r>
              <w:rPr>
                <w:rFonts w:ascii="Times New Roman" w:hAnsi="Times New Roman"/>
                <w:noProof/>
                <w:color w:val="006100"/>
                <w:sz w:val="20"/>
              </w:rPr>
              <w:t>2024</w:t>
            </w:r>
          </w:p>
        </w:tc>
        <w:tc>
          <w:tcPr>
            <w:tcW w:w="3543" w:type="dxa"/>
            <w:tcBorders>
              <w:top w:val="single" w:sz="4" w:space="0" w:color="auto"/>
              <w:left w:val="nil"/>
              <w:bottom w:val="single" w:sz="4" w:space="0" w:color="auto"/>
              <w:right w:val="single" w:sz="4" w:space="0" w:color="auto"/>
            </w:tcBorders>
            <w:shd w:val="clear" w:color="auto" w:fill="C6EFCE"/>
            <w:noWrap/>
            <w:vAlign w:val="center"/>
          </w:tcPr>
          <w:p w14:paraId="52A41B4B" w14:textId="1D78EDC4"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Завършени проекти с придобиването на нови технологии с акцент върху цифровизацията на производствените процеси от страна на дадените дружества, в съответствие с изискванията на ключов етап 46.</w:t>
            </w:r>
          </w:p>
          <w:p w14:paraId="7CB80002" w14:textId="77777777" w:rsidR="007D338F" w:rsidRPr="008A0F8A" w:rsidRDefault="007D338F" w:rsidP="00C937A7">
            <w:pPr>
              <w:spacing w:after="0" w:line="240" w:lineRule="auto"/>
              <w:rPr>
                <w:rFonts w:ascii="Times New Roman" w:hAnsi="Times New Roman" w:cs="Times New Roman"/>
                <w:noProof/>
                <w:color w:val="006100"/>
                <w:sz w:val="20"/>
                <w:szCs w:val="20"/>
                <w:lang w:val="ru-RU"/>
              </w:rPr>
            </w:pPr>
          </w:p>
          <w:p w14:paraId="12CC5031" w14:textId="1AA326A6"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В края на инвестицията ще бъде представен изготвен от независим одитор технически доклад за удостоверяване на спазването на техническите насоки „Ненанасяне на значителни вреди“ (2021/C58/01).</w:t>
            </w:r>
          </w:p>
        </w:tc>
      </w:tr>
      <w:tr w:rsidR="005A12E7" w:rsidRPr="005241FC" w14:paraId="5EBEA1B4" w14:textId="77777777" w:rsidTr="008E16C0">
        <w:trPr>
          <w:trHeight w:val="307"/>
        </w:trPr>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3BE8D00" w14:textId="768F49C4" w:rsidR="007D338F" w:rsidRPr="00D26611" w:rsidRDefault="00DE4AB0" w:rsidP="00C937A7">
            <w:pPr>
              <w:spacing w:after="0" w:line="240" w:lineRule="auto"/>
              <w:jc w:val="center"/>
              <w:rPr>
                <w:rFonts w:ascii="Times New Roman" w:hAnsi="Times New Roman" w:cs="Times New Roman"/>
                <w:noProof/>
                <w:color w:val="006100"/>
                <w:sz w:val="20"/>
                <w:szCs w:val="20"/>
              </w:rPr>
            </w:pPr>
            <w:r>
              <w:rPr>
                <w:rFonts w:ascii="Times New Roman" w:hAnsi="Times New Roman"/>
                <w:noProof/>
                <w:color w:val="006100"/>
                <w:sz w:val="20"/>
              </w:rPr>
              <w:t>48</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031F4BFA" w14:textId="77777777" w:rsidR="00183158" w:rsidRPr="00D26611" w:rsidRDefault="0073609B"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К3.И2: </w:t>
            </w:r>
          </w:p>
          <w:p w14:paraId="303415D6" w14:textId="38CF488E"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Инвестиция 2.1.г — Схема за безвъзмездни средства за решения в областта на информационните и комуникационните технологии и киберсигурността в МСП</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59368E9A" w14:textId="77777777"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Ключов етап</w:t>
            </w:r>
          </w:p>
        </w:tc>
        <w:tc>
          <w:tcPr>
            <w:tcW w:w="1785" w:type="dxa"/>
            <w:tcBorders>
              <w:top w:val="single" w:sz="4" w:space="0" w:color="auto"/>
              <w:left w:val="nil"/>
              <w:bottom w:val="single" w:sz="4" w:space="0" w:color="auto"/>
              <w:right w:val="single" w:sz="4" w:space="0" w:color="auto"/>
            </w:tcBorders>
            <w:shd w:val="clear" w:color="auto" w:fill="C6EFCE"/>
            <w:noWrap/>
            <w:vAlign w:val="center"/>
          </w:tcPr>
          <w:p w14:paraId="1D099E50" w14:textId="77777777"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Приключили процедури за подбор </w:t>
            </w:r>
          </w:p>
        </w:tc>
        <w:tc>
          <w:tcPr>
            <w:tcW w:w="1587" w:type="dxa"/>
            <w:tcBorders>
              <w:top w:val="single" w:sz="4" w:space="0" w:color="auto"/>
              <w:left w:val="nil"/>
              <w:bottom w:val="single" w:sz="4" w:space="0" w:color="auto"/>
              <w:right w:val="single" w:sz="4" w:space="0" w:color="auto"/>
            </w:tcBorders>
            <w:shd w:val="clear" w:color="auto" w:fill="C6EFCE"/>
            <w:noWrap/>
            <w:vAlign w:val="center"/>
          </w:tcPr>
          <w:p w14:paraId="150B19EA" w14:textId="39911395" w:rsidR="007D338F" w:rsidRPr="00D26611" w:rsidRDefault="00A82C9E"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Публикуван списък с одобрени за финансиране проекти и резервен списък</w:t>
            </w:r>
          </w:p>
        </w:tc>
        <w:tc>
          <w:tcPr>
            <w:tcW w:w="1301" w:type="dxa"/>
            <w:tcBorders>
              <w:top w:val="single" w:sz="4" w:space="0" w:color="auto"/>
              <w:left w:val="nil"/>
              <w:bottom w:val="single" w:sz="4" w:space="0" w:color="auto"/>
              <w:right w:val="single" w:sz="4" w:space="0" w:color="auto"/>
            </w:tcBorders>
            <w:shd w:val="clear" w:color="auto" w:fill="C6EFCE"/>
            <w:noWrap/>
            <w:vAlign w:val="center"/>
          </w:tcPr>
          <w:p w14:paraId="65EDD7FC" w14:textId="77777777" w:rsidR="007D338F" w:rsidRPr="008A0F8A" w:rsidRDefault="007D338F" w:rsidP="00C937A7">
            <w:pPr>
              <w:spacing w:after="0" w:line="240" w:lineRule="auto"/>
              <w:rPr>
                <w:rFonts w:ascii="Times New Roman" w:hAnsi="Times New Roman" w:cs="Times New Roman"/>
                <w:noProof/>
                <w:color w:val="006100"/>
                <w:sz w:val="20"/>
                <w:szCs w:val="20"/>
                <w:lang w:val="ru-RU"/>
              </w:rPr>
            </w:pP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7083BE4D" w14:textId="77777777" w:rsidR="007D338F" w:rsidRPr="008A0F8A" w:rsidRDefault="007D338F" w:rsidP="00C937A7">
            <w:pPr>
              <w:spacing w:after="0" w:line="240" w:lineRule="auto"/>
              <w:rPr>
                <w:rFonts w:ascii="Times New Roman" w:hAnsi="Times New Roman" w:cs="Times New Roman"/>
                <w:noProof/>
                <w:color w:val="006100"/>
                <w:sz w:val="20"/>
                <w:szCs w:val="20"/>
                <w:lang w:val="ru-RU"/>
              </w:rPr>
            </w:pPr>
          </w:p>
        </w:tc>
        <w:tc>
          <w:tcPr>
            <w:tcW w:w="851" w:type="dxa"/>
            <w:tcBorders>
              <w:top w:val="single" w:sz="4" w:space="0" w:color="auto"/>
              <w:left w:val="nil"/>
              <w:bottom w:val="single" w:sz="4" w:space="0" w:color="auto"/>
              <w:right w:val="single" w:sz="4" w:space="0" w:color="auto"/>
            </w:tcBorders>
            <w:shd w:val="clear" w:color="auto" w:fill="C6EFCE"/>
            <w:noWrap/>
            <w:vAlign w:val="center"/>
          </w:tcPr>
          <w:p w14:paraId="0928956C" w14:textId="77777777" w:rsidR="007D338F" w:rsidRPr="008A0F8A" w:rsidRDefault="007D338F" w:rsidP="00C937A7">
            <w:pPr>
              <w:spacing w:after="0" w:line="240" w:lineRule="auto"/>
              <w:rPr>
                <w:rFonts w:ascii="Times New Roman" w:hAnsi="Times New Roman" w:cs="Times New Roman"/>
                <w:noProof/>
                <w:color w:val="006100"/>
                <w:sz w:val="20"/>
                <w:szCs w:val="20"/>
                <w:lang w:val="ru-RU"/>
              </w:rPr>
            </w:pP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74F9170A" w14:textId="77777777" w:rsidR="007D338F" w:rsidRPr="00D26611" w:rsidRDefault="007D338F" w:rsidP="00C937A7">
            <w:pPr>
              <w:spacing w:after="0" w:line="240" w:lineRule="auto"/>
              <w:jc w:val="center"/>
              <w:rPr>
                <w:rFonts w:ascii="Times New Roman" w:hAnsi="Times New Roman" w:cs="Times New Roman"/>
                <w:noProof/>
                <w:color w:val="006100"/>
                <w:sz w:val="20"/>
                <w:szCs w:val="20"/>
              </w:rPr>
            </w:pPr>
            <w:r>
              <w:rPr>
                <w:rFonts w:ascii="Times New Roman" w:hAnsi="Times New Roman"/>
                <w:noProof/>
                <w:color w:val="006100"/>
                <w:sz w:val="20"/>
              </w:rPr>
              <w:t>T4</w:t>
            </w: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12F5CD6D" w14:textId="77777777" w:rsidR="007D338F" w:rsidRPr="00D26611" w:rsidRDefault="007D338F" w:rsidP="00C937A7">
            <w:pPr>
              <w:spacing w:after="0" w:line="240" w:lineRule="auto"/>
              <w:jc w:val="center"/>
              <w:rPr>
                <w:rFonts w:ascii="Times New Roman" w:hAnsi="Times New Roman" w:cs="Times New Roman"/>
                <w:noProof/>
                <w:color w:val="006100"/>
                <w:sz w:val="20"/>
                <w:szCs w:val="20"/>
              </w:rPr>
            </w:pPr>
            <w:r>
              <w:rPr>
                <w:rFonts w:ascii="Times New Roman" w:hAnsi="Times New Roman"/>
                <w:noProof/>
                <w:color w:val="006100"/>
                <w:sz w:val="20"/>
              </w:rPr>
              <w:t>2022</w:t>
            </w:r>
          </w:p>
        </w:tc>
        <w:tc>
          <w:tcPr>
            <w:tcW w:w="3543" w:type="dxa"/>
            <w:tcBorders>
              <w:top w:val="single" w:sz="4" w:space="0" w:color="auto"/>
              <w:left w:val="nil"/>
              <w:bottom w:val="single" w:sz="4" w:space="0" w:color="auto"/>
              <w:right w:val="single" w:sz="4" w:space="0" w:color="auto"/>
            </w:tcBorders>
            <w:shd w:val="clear" w:color="auto" w:fill="C6EFCE"/>
            <w:noWrap/>
            <w:vAlign w:val="center"/>
          </w:tcPr>
          <w:p w14:paraId="7AD68C8F" w14:textId="77777777"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Процедурите за подбор ще са открити и конкурентни. </w:t>
            </w:r>
          </w:p>
          <w:p w14:paraId="13DB5279" w14:textId="77777777" w:rsidR="007D338F" w:rsidRPr="008A0F8A" w:rsidRDefault="007D338F" w:rsidP="00C937A7">
            <w:pPr>
              <w:spacing w:after="0" w:line="240" w:lineRule="auto"/>
              <w:rPr>
                <w:rFonts w:ascii="Times New Roman" w:hAnsi="Times New Roman" w:cs="Times New Roman"/>
                <w:noProof/>
                <w:color w:val="006100"/>
                <w:sz w:val="20"/>
                <w:szCs w:val="20"/>
                <w:lang w:val="ru-RU"/>
              </w:rPr>
            </w:pPr>
          </w:p>
          <w:p w14:paraId="5FF79DA2" w14:textId="05E7DFCD"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Подбраните бенефициери ще са МСП. Проектите ще подкрепят придобиването и внедряването на цифрови технологии в дружествата, които се намират на първите основни нива на цифровизация („компютъризация“ и „свързаност“). Проектите ще подкрепят дейности като: предоставяне на цифрови маркетингови услуги с помощта на ИКТ, предоставяне на информационни услуги онлайн за платформи, изготвяне на уебсайтове, разработване на приложения за мобилни телефони, придобиване на програмни продукти за оптимизиране на управленските, производствените и логистичните процеси, въвеждане на мерки за интегрирането на информационното осигуряване и киберсигурността като важен елемент от цифровизирането на стопанската дейност, покупка на хардуера, необходим за функционирането на новите приложения и програмни продукти.</w:t>
            </w:r>
          </w:p>
          <w:p w14:paraId="2B818055" w14:textId="525A4628" w:rsidR="00BF6646" w:rsidRPr="008A0F8A" w:rsidRDefault="00BF6646" w:rsidP="00C937A7">
            <w:pPr>
              <w:spacing w:after="0" w:line="240" w:lineRule="auto"/>
              <w:rPr>
                <w:rFonts w:ascii="Times New Roman" w:hAnsi="Times New Roman" w:cs="Times New Roman"/>
                <w:noProof/>
                <w:color w:val="006100"/>
                <w:sz w:val="20"/>
                <w:szCs w:val="20"/>
                <w:lang w:val="ru-RU"/>
              </w:rPr>
            </w:pPr>
          </w:p>
          <w:p w14:paraId="3808F897" w14:textId="41E7B9E7" w:rsidR="00BF6646" w:rsidRPr="00D26611" w:rsidRDefault="00BF6646" w:rsidP="00BF6646">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Общото финансиране за одобрените проекти ще е най-малко 14 млн. евро. </w:t>
            </w:r>
          </w:p>
          <w:p w14:paraId="06C1B640" w14:textId="5B056A61" w:rsidR="007D338F" w:rsidRPr="00D26611" w:rsidRDefault="00A82C9E"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С оглед на съответствието на мярката с техническите насоки „Ненанасяне на значителни вреди“ (2021/C58/01), критериите за допустимост в техническите спецификации на предстоящите покани за представяне на проекти ще изключат дейностите и активите от посочения в описанието на мярката списък на изключените дейности/активи и ще изискат да могат да бъдат избирани само дейности, които съблюдават съответното законодателство на ЕС и национално законодателство в областта на околната среда. </w:t>
            </w:r>
          </w:p>
          <w:p w14:paraId="5079765D" w14:textId="77777777" w:rsidR="007D338F" w:rsidRPr="008A0F8A" w:rsidRDefault="007D338F" w:rsidP="00C937A7">
            <w:pPr>
              <w:spacing w:after="0" w:line="240" w:lineRule="auto"/>
              <w:rPr>
                <w:rFonts w:ascii="Times New Roman" w:hAnsi="Times New Roman" w:cs="Times New Roman"/>
                <w:noProof/>
                <w:color w:val="006100"/>
                <w:sz w:val="20"/>
                <w:szCs w:val="20"/>
                <w:lang w:val="ru-RU"/>
              </w:rPr>
            </w:pPr>
          </w:p>
        </w:tc>
      </w:tr>
      <w:tr w:rsidR="005A12E7" w:rsidRPr="005241FC" w14:paraId="22B2B5CE" w14:textId="77777777" w:rsidTr="008E16C0">
        <w:trPr>
          <w:trHeight w:val="307"/>
        </w:trPr>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24E6103" w14:textId="30AE42D6" w:rsidR="007D338F" w:rsidRPr="00D26611" w:rsidRDefault="00DE4AB0" w:rsidP="00C937A7">
            <w:pPr>
              <w:spacing w:after="0" w:line="240" w:lineRule="auto"/>
              <w:jc w:val="center"/>
              <w:rPr>
                <w:rFonts w:ascii="Times New Roman" w:hAnsi="Times New Roman" w:cs="Times New Roman"/>
                <w:noProof/>
                <w:color w:val="006100"/>
                <w:sz w:val="20"/>
                <w:szCs w:val="20"/>
              </w:rPr>
            </w:pPr>
            <w:r>
              <w:rPr>
                <w:rFonts w:ascii="Times New Roman" w:hAnsi="Times New Roman"/>
                <w:noProof/>
                <w:color w:val="006100"/>
                <w:sz w:val="20"/>
              </w:rPr>
              <w:t>49</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40722E14" w14:textId="77777777" w:rsidR="00183158" w:rsidRPr="00D26611" w:rsidRDefault="0073609B"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К3.И2: </w:t>
            </w:r>
          </w:p>
          <w:p w14:paraId="23EC9C23" w14:textId="4564A09B"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Инвестиция 2.1.г — Схема за безвъзмездни средства за решения в областта на информационните и комуникационните технологии и киберсигурността в МСП</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472EC1B5" w14:textId="77777777"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Цел</w:t>
            </w:r>
          </w:p>
        </w:tc>
        <w:tc>
          <w:tcPr>
            <w:tcW w:w="1785" w:type="dxa"/>
            <w:tcBorders>
              <w:top w:val="single" w:sz="4" w:space="0" w:color="auto"/>
              <w:left w:val="nil"/>
              <w:bottom w:val="single" w:sz="4" w:space="0" w:color="auto"/>
              <w:right w:val="single" w:sz="4" w:space="0" w:color="auto"/>
            </w:tcBorders>
            <w:shd w:val="clear" w:color="auto" w:fill="C6EFCE"/>
            <w:noWrap/>
            <w:vAlign w:val="center"/>
          </w:tcPr>
          <w:p w14:paraId="67CA122C" w14:textId="77777777"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Завършени проекти за подпомагане на базово цифровизиране на дружествата </w:t>
            </w:r>
          </w:p>
        </w:tc>
        <w:tc>
          <w:tcPr>
            <w:tcW w:w="1587" w:type="dxa"/>
            <w:tcBorders>
              <w:top w:val="single" w:sz="4" w:space="0" w:color="auto"/>
              <w:left w:val="nil"/>
              <w:bottom w:val="single" w:sz="4" w:space="0" w:color="auto"/>
              <w:right w:val="single" w:sz="4" w:space="0" w:color="auto"/>
            </w:tcBorders>
            <w:shd w:val="clear" w:color="auto" w:fill="C6EFCE"/>
            <w:noWrap/>
            <w:vAlign w:val="center"/>
          </w:tcPr>
          <w:p w14:paraId="4E27FE85" w14:textId="77777777" w:rsidR="007D338F" w:rsidRPr="008A0F8A" w:rsidRDefault="007D338F" w:rsidP="00C937A7">
            <w:pPr>
              <w:spacing w:after="0" w:line="240" w:lineRule="auto"/>
              <w:rPr>
                <w:rFonts w:ascii="Times New Roman" w:hAnsi="Times New Roman" w:cs="Times New Roman"/>
                <w:noProof/>
                <w:color w:val="006100"/>
                <w:sz w:val="20"/>
                <w:szCs w:val="20"/>
                <w:lang w:val="ru-RU"/>
              </w:rPr>
            </w:pPr>
          </w:p>
        </w:tc>
        <w:tc>
          <w:tcPr>
            <w:tcW w:w="1301" w:type="dxa"/>
            <w:tcBorders>
              <w:top w:val="single" w:sz="4" w:space="0" w:color="auto"/>
              <w:left w:val="nil"/>
              <w:bottom w:val="single" w:sz="4" w:space="0" w:color="auto"/>
              <w:right w:val="single" w:sz="4" w:space="0" w:color="auto"/>
            </w:tcBorders>
            <w:shd w:val="clear" w:color="auto" w:fill="C6EFCE"/>
            <w:noWrap/>
            <w:vAlign w:val="center"/>
          </w:tcPr>
          <w:p w14:paraId="6F5C1AAA" w14:textId="7EA063C6"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Брой</w:t>
            </w: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3B77F09B" w14:textId="77777777"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0</w:t>
            </w:r>
          </w:p>
        </w:tc>
        <w:tc>
          <w:tcPr>
            <w:tcW w:w="851" w:type="dxa"/>
            <w:tcBorders>
              <w:top w:val="single" w:sz="4" w:space="0" w:color="auto"/>
              <w:left w:val="nil"/>
              <w:bottom w:val="single" w:sz="4" w:space="0" w:color="auto"/>
              <w:right w:val="single" w:sz="4" w:space="0" w:color="auto"/>
            </w:tcBorders>
            <w:shd w:val="clear" w:color="auto" w:fill="C6EFCE"/>
            <w:noWrap/>
            <w:vAlign w:val="center"/>
          </w:tcPr>
          <w:p w14:paraId="0356461A" w14:textId="77777777"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1492</w:t>
            </w: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1FCBF41E" w14:textId="77777777" w:rsidR="007D338F" w:rsidRPr="00D26611" w:rsidRDefault="007D338F" w:rsidP="00C937A7">
            <w:pPr>
              <w:spacing w:after="0" w:line="240" w:lineRule="auto"/>
              <w:jc w:val="center"/>
              <w:rPr>
                <w:rFonts w:ascii="Times New Roman" w:hAnsi="Times New Roman" w:cs="Times New Roman"/>
                <w:noProof/>
                <w:color w:val="006100"/>
                <w:sz w:val="20"/>
                <w:szCs w:val="20"/>
              </w:rPr>
            </w:pPr>
            <w:r>
              <w:rPr>
                <w:rFonts w:ascii="Times New Roman" w:hAnsi="Times New Roman"/>
                <w:noProof/>
                <w:color w:val="006100"/>
                <w:sz w:val="20"/>
              </w:rPr>
              <w:t>T4</w:t>
            </w: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6E60DDDD" w14:textId="77777777" w:rsidR="007D338F" w:rsidRPr="00D26611" w:rsidRDefault="007D338F" w:rsidP="00C937A7">
            <w:pPr>
              <w:spacing w:after="0" w:line="240" w:lineRule="auto"/>
              <w:jc w:val="center"/>
              <w:rPr>
                <w:rFonts w:ascii="Times New Roman" w:hAnsi="Times New Roman" w:cs="Times New Roman"/>
                <w:noProof/>
                <w:color w:val="006100"/>
                <w:sz w:val="20"/>
                <w:szCs w:val="20"/>
              </w:rPr>
            </w:pPr>
            <w:r>
              <w:rPr>
                <w:rFonts w:ascii="Times New Roman" w:hAnsi="Times New Roman"/>
                <w:noProof/>
                <w:color w:val="006100"/>
                <w:sz w:val="20"/>
              </w:rPr>
              <w:t>2024</w:t>
            </w:r>
          </w:p>
        </w:tc>
        <w:tc>
          <w:tcPr>
            <w:tcW w:w="3543" w:type="dxa"/>
            <w:tcBorders>
              <w:top w:val="single" w:sz="4" w:space="0" w:color="auto"/>
              <w:left w:val="nil"/>
              <w:bottom w:val="single" w:sz="4" w:space="0" w:color="auto"/>
              <w:right w:val="single" w:sz="4" w:space="0" w:color="auto"/>
            </w:tcBorders>
            <w:shd w:val="clear" w:color="auto" w:fill="C6EFCE"/>
            <w:noWrap/>
            <w:vAlign w:val="center"/>
          </w:tcPr>
          <w:p w14:paraId="152C659E" w14:textId="5508D052"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Съобщени от министерството на иновациите и растежа завършени от дружествата проекти в съответствие с изискванията на ключов етап 49.</w:t>
            </w:r>
          </w:p>
          <w:p w14:paraId="63431B77" w14:textId="77777777" w:rsidR="007D338F" w:rsidRPr="008A0F8A" w:rsidRDefault="007D338F" w:rsidP="00C937A7">
            <w:pPr>
              <w:spacing w:after="0" w:line="240" w:lineRule="auto"/>
              <w:rPr>
                <w:rFonts w:ascii="Times New Roman" w:hAnsi="Times New Roman" w:cs="Times New Roman"/>
                <w:noProof/>
                <w:color w:val="006100"/>
                <w:sz w:val="20"/>
                <w:szCs w:val="20"/>
                <w:lang w:val="ru-RU"/>
              </w:rPr>
            </w:pPr>
          </w:p>
          <w:p w14:paraId="0E3BAEEF" w14:textId="3D3E910D"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В края на инвестицията ще бъде представен изготвен от независим одитор технически доклад за удостоверяване на спазването на техническите насоки „Ненанасяне на значителни вреди“ (2021/C58/01).</w:t>
            </w:r>
          </w:p>
        </w:tc>
      </w:tr>
      <w:tr w:rsidR="005A12E7" w:rsidRPr="005241FC" w14:paraId="1F24156B" w14:textId="77777777" w:rsidTr="008E16C0">
        <w:trPr>
          <w:trHeight w:val="307"/>
        </w:trPr>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CF57568" w14:textId="75CF35EB" w:rsidR="007D338F" w:rsidRPr="00D26611" w:rsidRDefault="00DE4AB0" w:rsidP="00C937A7">
            <w:pPr>
              <w:spacing w:after="0" w:line="240" w:lineRule="auto"/>
              <w:jc w:val="center"/>
              <w:rPr>
                <w:rFonts w:ascii="Times New Roman" w:hAnsi="Times New Roman" w:cs="Times New Roman"/>
                <w:noProof/>
                <w:color w:val="006100"/>
                <w:sz w:val="20"/>
                <w:szCs w:val="20"/>
              </w:rPr>
            </w:pPr>
            <w:r>
              <w:rPr>
                <w:rFonts w:ascii="Times New Roman" w:hAnsi="Times New Roman"/>
                <w:noProof/>
                <w:color w:val="006100"/>
                <w:sz w:val="20"/>
              </w:rPr>
              <w:t>50</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2911FD60" w14:textId="77777777" w:rsidR="00183158" w:rsidRPr="00D26611" w:rsidRDefault="0073609B"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К3.И2: </w:t>
            </w:r>
          </w:p>
          <w:p w14:paraId="2FA5DAE4" w14:textId="696A2B74"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Инвестиция 2.1.д — Иновационен фонд (капиталов инструмент за иновации)</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08CB3AF1" w14:textId="77777777"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Ключов етап</w:t>
            </w:r>
          </w:p>
        </w:tc>
        <w:tc>
          <w:tcPr>
            <w:tcW w:w="1785" w:type="dxa"/>
            <w:tcBorders>
              <w:top w:val="single" w:sz="4" w:space="0" w:color="auto"/>
              <w:left w:val="nil"/>
              <w:bottom w:val="single" w:sz="4" w:space="0" w:color="auto"/>
              <w:right w:val="single" w:sz="4" w:space="0" w:color="auto"/>
            </w:tcBorders>
            <w:shd w:val="clear" w:color="auto" w:fill="C6EFCE"/>
            <w:noWrap/>
            <w:vAlign w:val="center"/>
          </w:tcPr>
          <w:p w14:paraId="77A0E86B" w14:textId="77777777"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Подписване на споразумение за финансиране между Европейския инвестиционен фонд и правителството на България</w:t>
            </w:r>
          </w:p>
        </w:tc>
        <w:tc>
          <w:tcPr>
            <w:tcW w:w="1587" w:type="dxa"/>
            <w:tcBorders>
              <w:top w:val="single" w:sz="4" w:space="0" w:color="auto"/>
              <w:left w:val="nil"/>
              <w:bottom w:val="single" w:sz="4" w:space="0" w:color="auto"/>
              <w:right w:val="single" w:sz="4" w:space="0" w:color="auto"/>
            </w:tcBorders>
            <w:shd w:val="clear" w:color="auto" w:fill="C6EFCE"/>
            <w:noWrap/>
            <w:vAlign w:val="center"/>
          </w:tcPr>
          <w:p w14:paraId="73014BE7" w14:textId="77777777"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Подписано споразумение и приета инвестиционна политика </w:t>
            </w:r>
          </w:p>
        </w:tc>
        <w:tc>
          <w:tcPr>
            <w:tcW w:w="1301" w:type="dxa"/>
            <w:tcBorders>
              <w:top w:val="single" w:sz="4" w:space="0" w:color="auto"/>
              <w:left w:val="nil"/>
              <w:bottom w:val="single" w:sz="4" w:space="0" w:color="auto"/>
              <w:right w:val="single" w:sz="4" w:space="0" w:color="auto"/>
            </w:tcBorders>
            <w:shd w:val="clear" w:color="auto" w:fill="C6EFCE"/>
            <w:noWrap/>
            <w:vAlign w:val="center"/>
          </w:tcPr>
          <w:p w14:paraId="13C9C0A7" w14:textId="77777777" w:rsidR="007D338F" w:rsidRPr="008A0F8A" w:rsidRDefault="007D338F" w:rsidP="00C937A7">
            <w:pPr>
              <w:spacing w:after="0" w:line="240" w:lineRule="auto"/>
              <w:rPr>
                <w:rFonts w:ascii="Times New Roman" w:hAnsi="Times New Roman" w:cs="Times New Roman"/>
                <w:noProof/>
                <w:color w:val="006100"/>
                <w:sz w:val="20"/>
                <w:szCs w:val="20"/>
                <w:lang w:val="ru-RU"/>
              </w:rPr>
            </w:pP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3DF07127" w14:textId="77777777" w:rsidR="007D338F" w:rsidRPr="008A0F8A" w:rsidRDefault="007D338F" w:rsidP="00C937A7">
            <w:pPr>
              <w:spacing w:after="0" w:line="240" w:lineRule="auto"/>
              <w:rPr>
                <w:rFonts w:ascii="Times New Roman" w:hAnsi="Times New Roman" w:cs="Times New Roman"/>
                <w:noProof/>
                <w:color w:val="006100"/>
                <w:sz w:val="20"/>
                <w:szCs w:val="20"/>
                <w:lang w:val="ru-RU"/>
              </w:rPr>
            </w:pPr>
          </w:p>
        </w:tc>
        <w:tc>
          <w:tcPr>
            <w:tcW w:w="851" w:type="dxa"/>
            <w:tcBorders>
              <w:top w:val="single" w:sz="4" w:space="0" w:color="auto"/>
              <w:left w:val="nil"/>
              <w:bottom w:val="single" w:sz="4" w:space="0" w:color="auto"/>
              <w:right w:val="single" w:sz="4" w:space="0" w:color="auto"/>
            </w:tcBorders>
            <w:shd w:val="clear" w:color="auto" w:fill="C6EFCE"/>
            <w:noWrap/>
            <w:vAlign w:val="center"/>
          </w:tcPr>
          <w:p w14:paraId="4C31BEA2" w14:textId="77777777" w:rsidR="007D338F" w:rsidRPr="008A0F8A" w:rsidRDefault="007D338F" w:rsidP="00C937A7">
            <w:pPr>
              <w:spacing w:after="0" w:line="240" w:lineRule="auto"/>
              <w:rPr>
                <w:rFonts w:ascii="Times New Roman" w:hAnsi="Times New Roman" w:cs="Times New Roman"/>
                <w:noProof/>
                <w:color w:val="006100"/>
                <w:sz w:val="20"/>
                <w:szCs w:val="20"/>
                <w:lang w:val="ru-RU"/>
              </w:rPr>
            </w:pP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2B6B220C" w14:textId="77777777" w:rsidR="007D338F" w:rsidRPr="00D26611" w:rsidRDefault="007D338F" w:rsidP="00C937A7">
            <w:pPr>
              <w:spacing w:after="0" w:line="240" w:lineRule="auto"/>
              <w:jc w:val="center"/>
              <w:rPr>
                <w:rFonts w:ascii="Times New Roman" w:hAnsi="Times New Roman" w:cs="Times New Roman"/>
                <w:noProof/>
                <w:color w:val="006100"/>
                <w:sz w:val="20"/>
                <w:szCs w:val="20"/>
              </w:rPr>
            </w:pPr>
            <w:r>
              <w:rPr>
                <w:rFonts w:ascii="Times New Roman" w:hAnsi="Times New Roman"/>
                <w:noProof/>
                <w:color w:val="006100"/>
                <w:sz w:val="20"/>
              </w:rPr>
              <w:t>T3</w:t>
            </w: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4805EDFE" w14:textId="77777777" w:rsidR="007D338F" w:rsidRPr="00D26611" w:rsidRDefault="007D338F" w:rsidP="00C937A7">
            <w:pPr>
              <w:spacing w:after="0" w:line="240" w:lineRule="auto"/>
              <w:jc w:val="center"/>
              <w:rPr>
                <w:rFonts w:ascii="Times New Roman" w:hAnsi="Times New Roman" w:cs="Times New Roman"/>
                <w:noProof/>
                <w:color w:val="006100"/>
                <w:sz w:val="20"/>
                <w:szCs w:val="20"/>
              </w:rPr>
            </w:pPr>
            <w:r>
              <w:rPr>
                <w:rFonts w:ascii="Times New Roman" w:hAnsi="Times New Roman"/>
                <w:noProof/>
                <w:color w:val="006100"/>
                <w:sz w:val="20"/>
              </w:rPr>
              <w:t>2022</w:t>
            </w:r>
          </w:p>
        </w:tc>
        <w:tc>
          <w:tcPr>
            <w:tcW w:w="3543" w:type="dxa"/>
            <w:tcBorders>
              <w:top w:val="single" w:sz="4" w:space="0" w:color="auto"/>
              <w:left w:val="nil"/>
              <w:bottom w:val="single" w:sz="4" w:space="0" w:color="auto"/>
              <w:right w:val="single" w:sz="4" w:space="0" w:color="auto"/>
            </w:tcBorders>
            <w:shd w:val="clear" w:color="auto" w:fill="C6EFCE"/>
            <w:noWrap/>
            <w:vAlign w:val="center"/>
          </w:tcPr>
          <w:p w14:paraId="2687F5A1" w14:textId="4E2CC646"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Сключване на споразумение за финансиране между ЕИФ и правителството на България и приемане на инвестиционната политика на фонда. Инвестиционната политика:</w:t>
            </w:r>
          </w:p>
          <w:p w14:paraId="48E6D87C" w14:textId="6265F5C7" w:rsidR="007D338F" w:rsidRPr="00D26611" w:rsidRDefault="007D338F" w:rsidP="004C1305">
            <w:pPr>
              <w:pStyle w:val="ListParagraph"/>
              <w:numPr>
                <w:ilvl w:val="0"/>
                <w:numId w:val="92"/>
              </w:num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ще се приема от ръководните органи на финансовия инструмент;</w:t>
            </w:r>
          </w:p>
          <w:p w14:paraId="5B0BF353" w14:textId="281D3A2F" w:rsidR="007D338F" w:rsidRPr="00D26611" w:rsidRDefault="007D338F" w:rsidP="004C1305">
            <w:pPr>
              <w:pStyle w:val="ListParagraph"/>
              <w:numPr>
                <w:ilvl w:val="0"/>
                <w:numId w:val="92"/>
              </w:num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ще спазва указанията на Комисията от 22 януари 2021 г. относно финансовите инструменти (SWD(2021) 12 final);</w:t>
            </w:r>
          </w:p>
          <w:p w14:paraId="0BA691C4" w14:textId="2769CAA1" w:rsidR="00B2067F" w:rsidRPr="00D26611" w:rsidRDefault="007D338F" w:rsidP="004C1305">
            <w:pPr>
              <w:pStyle w:val="ListParagraph"/>
              <w:numPr>
                <w:ilvl w:val="0"/>
                <w:numId w:val="92"/>
              </w:num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ще включи критерии за подбор с оглед на спазването на техническите насоки „Ненанасяне на значителни вреди“ (2021/C58/01) на подпомаганите операции по тази мярка: </w:t>
            </w:r>
          </w:p>
          <w:p w14:paraId="1AAB89C6" w14:textId="2E8137C1" w:rsidR="0051445B" w:rsidRPr="00D26611" w:rsidRDefault="00B2067F" w:rsidP="003C4D40">
            <w:pPr>
              <w:pStyle w:val="ListParagraph"/>
              <w:spacing w:after="0" w:line="240" w:lineRule="auto"/>
              <w:ind w:left="360"/>
              <w:rPr>
                <w:rFonts w:ascii="Times New Roman" w:hAnsi="Times New Roman" w:cs="Times New Roman"/>
                <w:noProof/>
                <w:color w:val="006100"/>
                <w:sz w:val="20"/>
                <w:szCs w:val="20"/>
              </w:rPr>
            </w:pPr>
            <w:r>
              <w:rPr>
                <w:rFonts w:ascii="Times New Roman" w:hAnsi="Times New Roman"/>
                <w:noProof/>
                <w:color w:val="006100"/>
                <w:sz w:val="20"/>
              </w:rPr>
              <w:t>- чрез проверка на устойчивостта;</w:t>
            </w:r>
          </w:p>
          <w:p w14:paraId="1CDFA102" w14:textId="7D739157" w:rsidR="00B2067F" w:rsidRDefault="003C4D40" w:rsidP="003C4D40">
            <w:pPr>
              <w:pStyle w:val="ListParagraph"/>
              <w:spacing w:after="0" w:line="240" w:lineRule="auto"/>
              <w:ind w:left="360"/>
              <w:rPr>
                <w:rFonts w:ascii="Times New Roman" w:hAnsi="Times New Roman" w:cs="Times New Roman"/>
                <w:noProof/>
                <w:color w:val="006100"/>
                <w:sz w:val="20"/>
                <w:szCs w:val="20"/>
              </w:rPr>
            </w:pPr>
            <w:r>
              <w:rPr>
                <w:rFonts w:ascii="Times New Roman" w:hAnsi="Times New Roman"/>
                <w:noProof/>
                <w:color w:val="006100"/>
                <w:sz w:val="20"/>
              </w:rPr>
              <w:t>- чрез изискване от бенефициерите, които през предходната финансова година са реализирали над 50 % от преките си приходи от дейности или активи, включени в списъка по-долу, да приемат и публикуват планове за преход към екосъобразна дейност: i) дейностите, свързани с изкопаеми горива, включително използване надолу по веригата; ii) дейностите по схемата на ЕС за търговия с емисии (СТЕ), с които се постигат прогнозираните емисии на парникови газове, които не са по-ниски от съответните референтни стойности; iii) дейностите, свързани с депата за отпадъци, инсталациите за изгаряне на отпадъци и заводите за механично-биологично третиране; и iv) дейностите, при които дългосрочното обезвреждане на отпадъци може да причини вреда на околната среда. Това изискване може да се приложи, като например се вземат предвид новите подложени на ограничения сектори, в които оперира ЕИФ (капиталови участия извън инфраструктурни проекти – нормативна уредба за съобразяване с Парижкото споразумение), като могат да се добавят допълнителни ограничения за секторите, обхванати от схемата за търговия с емисии, и за някои транспортни дейности; както и чрез изискване за проверка от ЕИФ за всички операции на бенефициера, в т.ч. освободените от проверка на устойчивостта, на правното съблюдаване на съответното законодателство на ЕС и национално законодателство в областта на околната среда.</w:t>
            </w:r>
          </w:p>
          <w:p w14:paraId="57D929CE" w14:textId="77777777" w:rsidR="003C4D40" w:rsidRPr="008A0F8A" w:rsidRDefault="003C4D40" w:rsidP="003C4D40">
            <w:pPr>
              <w:pStyle w:val="ListParagraph"/>
              <w:spacing w:after="0" w:line="240" w:lineRule="auto"/>
              <w:ind w:left="360"/>
              <w:rPr>
                <w:rFonts w:ascii="Times New Roman" w:hAnsi="Times New Roman" w:cs="Times New Roman"/>
                <w:noProof/>
                <w:color w:val="006100"/>
                <w:sz w:val="20"/>
                <w:szCs w:val="20"/>
                <w:lang w:val="ru-RU"/>
              </w:rPr>
            </w:pPr>
          </w:p>
          <w:p w14:paraId="56CF35AA" w14:textId="2820F8A8" w:rsidR="007D338F" w:rsidRPr="00D26611" w:rsidRDefault="00835452"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Фондът ще подкрепя с (капиталови) финансови инструменти МСП и малките дружества със средна пазарна капитализация (до 499 служители вкл.), в т.ч. новосъздадени дружества и дружества на ранен етап на развитие. Основните целеви сектори ще бъдат ИКТ, автоматизация в промишлеността, изкуствен интелект, роботика, блокови вериги, финансово-технологични дружества, квантови технологии, интернет на предметите, изчисляване „в облак“, чисти и устойчиви технологии, социално предприемачество, както и биотехнология. Финансирането ще подкрепя инвестиции в човешкия капитал, в технологии, свързани с опазването на околната среда, в цифрови технологии, в научноизследователска и развойна дейност, както и в трансфер на технологии. Инструментът ще включва компонент за трансфер на технологии / създаване и развитие на технологични дружества. Подкрепата ще се предоставя чрез фондове за рисков капитал и фондове за дялово участие. </w:t>
            </w:r>
          </w:p>
          <w:p w14:paraId="664AADFF" w14:textId="77777777" w:rsidR="007D338F" w:rsidRPr="008A0F8A" w:rsidRDefault="007D338F" w:rsidP="00C937A7">
            <w:pPr>
              <w:spacing w:after="0" w:line="240" w:lineRule="auto"/>
              <w:rPr>
                <w:rFonts w:ascii="Times New Roman" w:hAnsi="Times New Roman" w:cs="Times New Roman"/>
                <w:noProof/>
                <w:color w:val="006100"/>
                <w:sz w:val="20"/>
                <w:szCs w:val="20"/>
                <w:lang w:val="ru-RU"/>
              </w:rPr>
            </w:pPr>
          </w:p>
          <w:p w14:paraId="5A01F769" w14:textId="6674523C" w:rsidR="007D338F" w:rsidRPr="00D26611" w:rsidRDefault="00E0423D"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Очаква се инструментът да подпомогне най-малко 30 бенефициери.</w:t>
            </w:r>
          </w:p>
          <w:p w14:paraId="187D66F1" w14:textId="77777777" w:rsidR="007D338F" w:rsidRPr="008A0F8A" w:rsidRDefault="007D338F" w:rsidP="00C937A7">
            <w:pPr>
              <w:spacing w:after="0" w:line="240" w:lineRule="auto"/>
              <w:rPr>
                <w:rFonts w:ascii="Times New Roman" w:hAnsi="Times New Roman" w:cs="Times New Roman"/>
                <w:noProof/>
                <w:color w:val="006100"/>
                <w:sz w:val="20"/>
                <w:szCs w:val="20"/>
                <w:lang w:val="ru-RU"/>
              </w:rPr>
            </w:pPr>
          </w:p>
          <w:p w14:paraId="1DE2DF54" w14:textId="632A2EF9"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Управлението на фонда ще се възложи на Европейския инвестиционен фонд (ЕИФ). Между ЕИФ и правителството на България ще се подпише специално споразумение за финансиране по МВУ с оглед на управлението на подпомаганите от МВУ капиталови операции. Инвестиционният комитет ще одобрява операциите с посредници, предложени от управителя на фонда (ЕИФ), въз основа на пазарните нужди и по открит и съобразен с пазарните практики начин.</w:t>
            </w:r>
          </w:p>
          <w:p w14:paraId="239E60B3" w14:textId="77777777" w:rsidR="007D338F" w:rsidRPr="008A0F8A" w:rsidRDefault="007D338F" w:rsidP="00C937A7">
            <w:pPr>
              <w:spacing w:after="0" w:line="240" w:lineRule="auto"/>
              <w:rPr>
                <w:rFonts w:ascii="Times New Roman" w:hAnsi="Times New Roman" w:cs="Times New Roman"/>
                <w:noProof/>
                <w:color w:val="006100"/>
                <w:sz w:val="20"/>
                <w:szCs w:val="20"/>
                <w:lang w:val="ru-RU"/>
              </w:rPr>
            </w:pPr>
          </w:p>
          <w:p w14:paraId="0DF07BF0" w14:textId="77777777"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Общото финансиране по инструмента ще е 75 млн. евро.</w:t>
            </w:r>
          </w:p>
          <w:p w14:paraId="5DCF4F8C" w14:textId="77777777" w:rsidR="007D338F" w:rsidRPr="008A0F8A" w:rsidRDefault="007D338F" w:rsidP="00C937A7">
            <w:pPr>
              <w:spacing w:after="0" w:line="240" w:lineRule="auto"/>
              <w:rPr>
                <w:rFonts w:ascii="Times New Roman" w:hAnsi="Times New Roman" w:cs="Times New Roman"/>
                <w:noProof/>
                <w:color w:val="006100"/>
                <w:sz w:val="20"/>
                <w:szCs w:val="20"/>
                <w:lang w:val="ru-RU"/>
              </w:rPr>
            </w:pPr>
          </w:p>
          <w:p w14:paraId="752B91E3" w14:textId="77777777"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Структурата на фонда ще позволява набиране на частни средства. </w:t>
            </w:r>
          </w:p>
          <w:p w14:paraId="23889E1D" w14:textId="77777777" w:rsidR="007D338F" w:rsidRPr="008A0F8A" w:rsidRDefault="007D338F" w:rsidP="00C937A7">
            <w:pPr>
              <w:spacing w:after="0" w:line="240" w:lineRule="auto"/>
              <w:rPr>
                <w:rFonts w:ascii="Times New Roman" w:hAnsi="Times New Roman" w:cs="Times New Roman"/>
                <w:noProof/>
                <w:color w:val="006100"/>
                <w:sz w:val="20"/>
                <w:szCs w:val="20"/>
                <w:lang w:val="ru-RU"/>
              </w:rPr>
            </w:pPr>
          </w:p>
          <w:p w14:paraId="4B2680B2" w14:textId="236A9116"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Всички приходи за фонда или финансовите инструменти, включително от погасяванията, както и печалбата от използването на финансирането по МВУ, минус възнаграждението на управителя на фонда и финансовите посредници, ще се използват за същите цели на политиката, включително след 2026 г.</w:t>
            </w:r>
          </w:p>
        </w:tc>
      </w:tr>
      <w:tr w:rsidR="005A12E7" w:rsidRPr="005241FC" w14:paraId="23CF7941" w14:textId="77777777" w:rsidTr="008E16C0">
        <w:trPr>
          <w:trHeight w:val="307"/>
        </w:trPr>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6565ACD" w14:textId="4F2A21B4" w:rsidR="007D338F" w:rsidRPr="00D26611" w:rsidRDefault="00DE4AB0" w:rsidP="00C937A7">
            <w:pPr>
              <w:spacing w:after="0" w:line="240" w:lineRule="auto"/>
              <w:jc w:val="center"/>
              <w:rPr>
                <w:rFonts w:ascii="Times New Roman" w:hAnsi="Times New Roman" w:cs="Times New Roman"/>
                <w:noProof/>
                <w:color w:val="006100"/>
                <w:sz w:val="20"/>
                <w:szCs w:val="20"/>
              </w:rPr>
            </w:pPr>
            <w:r>
              <w:rPr>
                <w:rFonts w:ascii="Times New Roman" w:hAnsi="Times New Roman"/>
                <w:noProof/>
                <w:color w:val="006100"/>
                <w:sz w:val="20"/>
              </w:rPr>
              <w:t>51</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741AC614" w14:textId="77777777" w:rsidR="00183158" w:rsidRPr="00D26611" w:rsidRDefault="0073609B"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К3.И2: </w:t>
            </w:r>
          </w:p>
          <w:p w14:paraId="79E63566" w14:textId="5A907D10"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Инвестиция 2.1.д — Иновационен фонд (капиталов инструмент за иновации)</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0F9B7C79" w14:textId="77777777"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Цел</w:t>
            </w:r>
          </w:p>
        </w:tc>
        <w:tc>
          <w:tcPr>
            <w:tcW w:w="1785" w:type="dxa"/>
            <w:tcBorders>
              <w:top w:val="single" w:sz="4" w:space="0" w:color="auto"/>
              <w:left w:val="nil"/>
              <w:bottom w:val="single" w:sz="4" w:space="0" w:color="auto"/>
              <w:right w:val="single" w:sz="4" w:space="0" w:color="auto"/>
            </w:tcBorders>
            <w:shd w:val="clear" w:color="auto" w:fill="C6EFCE"/>
            <w:noWrap/>
            <w:vAlign w:val="center"/>
          </w:tcPr>
          <w:p w14:paraId="5B02EF85" w14:textId="77777777"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Операции в размер на 50 % от общото предвидено финансиране, одобрено от инвестиционния комитет</w:t>
            </w:r>
          </w:p>
        </w:tc>
        <w:tc>
          <w:tcPr>
            <w:tcW w:w="1587" w:type="dxa"/>
            <w:tcBorders>
              <w:top w:val="single" w:sz="4" w:space="0" w:color="auto"/>
              <w:left w:val="nil"/>
              <w:bottom w:val="single" w:sz="4" w:space="0" w:color="auto"/>
              <w:right w:val="single" w:sz="4" w:space="0" w:color="auto"/>
            </w:tcBorders>
            <w:shd w:val="clear" w:color="auto" w:fill="C6EFCE"/>
            <w:noWrap/>
            <w:vAlign w:val="center"/>
          </w:tcPr>
          <w:p w14:paraId="1AAB98AF" w14:textId="77777777" w:rsidR="007D338F" w:rsidRPr="008A0F8A" w:rsidRDefault="007D338F" w:rsidP="00C937A7">
            <w:pPr>
              <w:spacing w:after="0" w:line="240" w:lineRule="auto"/>
              <w:rPr>
                <w:rFonts w:ascii="Times New Roman" w:hAnsi="Times New Roman" w:cs="Times New Roman"/>
                <w:noProof/>
                <w:color w:val="006100"/>
                <w:sz w:val="20"/>
                <w:szCs w:val="20"/>
                <w:lang w:val="ru-RU"/>
              </w:rPr>
            </w:pPr>
          </w:p>
        </w:tc>
        <w:tc>
          <w:tcPr>
            <w:tcW w:w="1301" w:type="dxa"/>
            <w:tcBorders>
              <w:top w:val="single" w:sz="4" w:space="0" w:color="auto"/>
              <w:left w:val="nil"/>
              <w:bottom w:val="single" w:sz="4" w:space="0" w:color="auto"/>
              <w:right w:val="single" w:sz="4" w:space="0" w:color="auto"/>
            </w:tcBorders>
            <w:shd w:val="clear" w:color="auto" w:fill="C6EFCE"/>
            <w:noWrap/>
            <w:vAlign w:val="center"/>
          </w:tcPr>
          <w:p w14:paraId="440D4379" w14:textId="77777777"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(процент)</w:t>
            </w: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4BE240E3" w14:textId="77777777"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0</w:t>
            </w:r>
          </w:p>
        </w:tc>
        <w:tc>
          <w:tcPr>
            <w:tcW w:w="851" w:type="dxa"/>
            <w:tcBorders>
              <w:top w:val="single" w:sz="4" w:space="0" w:color="auto"/>
              <w:left w:val="nil"/>
              <w:bottom w:val="single" w:sz="4" w:space="0" w:color="auto"/>
              <w:right w:val="single" w:sz="4" w:space="0" w:color="auto"/>
            </w:tcBorders>
            <w:shd w:val="clear" w:color="auto" w:fill="C6EFCE"/>
            <w:noWrap/>
            <w:vAlign w:val="center"/>
          </w:tcPr>
          <w:p w14:paraId="41E02CB1" w14:textId="77777777"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50</w:t>
            </w: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501F4F2D" w14:textId="3AD3CFF4" w:rsidR="007D338F" w:rsidRPr="00D26611" w:rsidRDefault="003C104E" w:rsidP="003C104E">
            <w:pPr>
              <w:spacing w:after="0" w:line="240" w:lineRule="auto"/>
              <w:jc w:val="center"/>
              <w:rPr>
                <w:rFonts w:ascii="Times New Roman" w:hAnsi="Times New Roman" w:cs="Times New Roman"/>
                <w:noProof/>
                <w:color w:val="006100"/>
                <w:sz w:val="20"/>
                <w:szCs w:val="20"/>
              </w:rPr>
            </w:pPr>
            <w:r>
              <w:rPr>
                <w:rFonts w:ascii="Times New Roman" w:hAnsi="Times New Roman"/>
                <w:noProof/>
                <w:color w:val="006100"/>
                <w:sz w:val="20"/>
              </w:rPr>
              <w:t>T2</w:t>
            </w: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5C2D591F" w14:textId="6ADD9409" w:rsidR="007D338F" w:rsidRPr="00D26611" w:rsidRDefault="003C104E" w:rsidP="003C104E">
            <w:pPr>
              <w:spacing w:after="0" w:line="240" w:lineRule="auto"/>
              <w:jc w:val="center"/>
              <w:rPr>
                <w:rFonts w:ascii="Times New Roman" w:hAnsi="Times New Roman" w:cs="Times New Roman"/>
                <w:noProof/>
                <w:color w:val="006100"/>
                <w:sz w:val="20"/>
                <w:szCs w:val="20"/>
              </w:rPr>
            </w:pPr>
            <w:r>
              <w:rPr>
                <w:rFonts w:ascii="Times New Roman" w:hAnsi="Times New Roman"/>
                <w:noProof/>
                <w:color w:val="006100"/>
                <w:sz w:val="20"/>
              </w:rPr>
              <w:t>2025</w:t>
            </w:r>
          </w:p>
        </w:tc>
        <w:tc>
          <w:tcPr>
            <w:tcW w:w="3543" w:type="dxa"/>
            <w:tcBorders>
              <w:top w:val="single" w:sz="4" w:space="0" w:color="auto"/>
              <w:left w:val="nil"/>
              <w:bottom w:val="single" w:sz="4" w:space="0" w:color="auto"/>
              <w:right w:val="single" w:sz="4" w:space="0" w:color="auto"/>
            </w:tcBorders>
            <w:shd w:val="clear" w:color="auto" w:fill="C6EFCE"/>
            <w:noWrap/>
            <w:vAlign w:val="center"/>
          </w:tcPr>
          <w:p w14:paraId="52C0EA0E" w14:textId="6520176A"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Финансови или инвестиционни операции в размер на 50 % от общия размер на одобреното от инвестиционен комитет целево финансиране или инвестиция, в съответствие с изискванията, посочени в ключов етап 50.</w:t>
            </w:r>
          </w:p>
          <w:p w14:paraId="4DDFF539" w14:textId="77777777" w:rsidR="007D338F" w:rsidRPr="008A0F8A" w:rsidRDefault="007D338F" w:rsidP="00C937A7">
            <w:pPr>
              <w:spacing w:after="0" w:line="240" w:lineRule="auto"/>
              <w:rPr>
                <w:rFonts w:ascii="Times New Roman" w:hAnsi="Times New Roman" w:cs="Times New Roman"/>
                <w:noProof/>
                <w:color w:val="006100"/>
                <w:sz w:val="20"/>
                <w:szCs w:val="20"/>
                <w:lang w:val="ru-RU"/>
              </w:rPr>
            </w:pPr>
          </w:p>
        </w:tc>
      </w:tr>
      <w:tr w:rsidR="005A12E7" w:rsidRPr="005241FC" w14:paraId="1B362536" w14:textId="77777777" w:rsidTr="008E16C0">
        <w:trPr>
          <w:trHeight w:val="307"/>
        </w:trPr>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96B7B84" w14:textId="280A2389" w:rsidR="007D338F" w:rsidRPr="00D26611" w:rsidRDefault="004C20B5" w:rsidP="00DE4AB0">
            <w:pPr>
              <w:spacing w:after="0" w:line="240" w:lineRule="auto"/>
              <w:jc w:val="center"/>
              <w:rPr>
                <w:rFonts w:ascii="Times New Roman" w:hAnsi="Times New Roman" w:cs="Times New Roman"/>
                <w:noProof/>
                <w:color w:val="006100"/>
                <w:sz w:val="20"/>
                <w:szCs w:val="20"/>
              </w:rPr>
            </w:pPr>
            <w:r>
              <w:rPr>
                <w:rFonts w:ascii="Times New Roman" w:hAnsi="Times New Roman"/>
                <w:noProof/>
                <w:color w:val="006100"/>
                <w:sz w:val="20"/>
              </w:rPr>
              <w:t>52</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57937B5F" w14:textId="77777777" w:rsidR="00183158" w:rsidRPr="00D26611" w:rsidRDefault="0073609B"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К3.И2: </w:t>
            </w:r>
          </w:p>
          <w:p w14:paraId="5B6E6D0A" w14:textId="0D999270"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Инвестиция 2.1.д — Иновационен фонд (капиталов инструмент за иновации)</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3659FCAA" w14:textId="77777777"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Цел</w:t>
            </w:r>
          </w:p>
        </w:tc>
        <w:tc>
          <w:tcPr>
            <w:tcW w:w="1785" w:type="dxa"/>
            <w:tcBorders>
              <w:top w:val="single" w:sz="4" w:space="0" w:color="auto"/>
              <w:left w:val="nil"/>
              <w:bottom w:val="single" w:sz="4" w:space="0" w:color="auto"/>
              <w:right w:val="single" w:sz="4" w:space="0" w:color="auto"/>
            </w:tcBorders>
            <w:shd w:val="clear" w:color="auto" w:fill="C6EFCE"/>
            <w:noWrap/>
            <w:vAlign w:val="center"/>
          </w:tcPr>
          <w:p w14:paraId="353ECC0B" w14:textId="77777777"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Операции в размер на 100 % от общото предвидено финансиране, одобрено от инвестиционния комитет</w:t>
            </w:r>
          </w:p>
        </w:tc>
        <w:tc>
          <w:tcPr>
            <w:tcW w:w="1587" w:type="dxa"/>
            <w:tcBorders>
              <w:top w:val="single" w:sz="4" w:space="0" w:color="auto"/>
              <w:left w:val="nil"/>
              <w:bottom w:val="single" w:sz="4" w:space="0" w:color="auto"/>
              <w:right w:val="single" w:sz="4" w:space="0" w:color="auto"/>
            </w:tcBorders>
            <w:shd w:val="clear" w:color="auto" w:fill="C6EFCE"/>
            <w:noWrap/>
            <w:vAlign w:val="center"/>
          </w:tcPr>
          <w:p w14:paraId="45268402" w14:textId="77777777" w:rsidR="007D338F" w:rsidRPr="008A0F8A" w:rsidRDefault="007D338F" w:rsidP="00C937A7">
            <w:pPr>
              <w:spacing w:after="0" w:line="240" w:lineRule="auto"/>
              <w:rPr>
                <w:rFonts w:ascii="Times New Roman" w:hAnsi="Times New Roman" w:cs="Times New Roman"/>
                <w:noProof/>
                <w:color w:val="006100"/>
                <w:sz w:val="20"/>
                <w:szCs w:val="20"/>
                <w:lang w:val="ru-RU"/>
              </w:rPr>
            </w:pPr>
          </w:p>
        </w:tc>
        <w:tc>
          <w:tcPr>
            <w:tcW w:w="1301" w:type="dxa"/>
            <w:tcBorders>
              <w:top w:val="single" w:sz="4" w:space="0" w:color="auto"/>
              <w:left w:val="nil"/>
              <w:bottom w:val="single" w:sz="4" w:space="0" w:color="auto"/>
              <w:right w:val="single" w:sz="4" w:space="0" w:color="auto"/>
            </w:tcBorders>
            <w:shd w:val="clear" w:color="auto" w:fill="C6EFCE"/>
            <w:noWrap/>
            <w:vAlign w:val="center"/>
          </w:tcPr>
          <w:p w14:paraId="71A31B89" w14:textId="77777777"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(процент)</w:t>
            </w: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19645CAB" w14:textId="77777777"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50</w:t>
            </w:r>
          </w:p>
        </w:tc>
        <w:tc>
          <w:tcPr>
            <w:tcW w:w="851" w:type="dxa"/>
            <w:tcBorders>
              <w:top w:val="single" w:sz="4" w:space="0" w:color="auto"/>
              <w:left w:val="nil"/>
              <w:bottom w:val="single" w:sz="4" w:space="0" w:color="auto"/>
              <w:right w:val="single" w:sz="4" w:space="0" w:color="auto"/>
            </w:tcBorders>
            <w:shd w:val="clear" w:color="auto" w:fill="C6EFCE"/>
            <w:noWrap/>
            <w:vAlign w:val="center"/>
          </w:tcPr>
          <w:p w14:paraId="3A43D660" w14:textId="77777777"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100</w:t>
            </w: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5783FAF0" w14:textId="77777777" w:rsidR="007D338F" w:rsidRPr="00D26611" w:rsidRDefault="007D338F" w:rsidP="00C937A7">
            <w:pPr>
              <w:spacing w:after="0" w:line="240" w:lineRule="auto"/>
              <w:jc w:val="center"/>
              <w:rPr>
                <w:rFonts w:ascii="Times New Roman" w:hAnsi="Times New Roman" w:cs="Times New Roman"/>
                <w:noProof/>
                <w:color w:val="006100"/>
                <w:sz w:val="20"/>
                <w:szCs w:val="20"/>
              </w:rPr>
            </w:pPr>
            <w:r>
              <w:rPr>
                <w:rFonts w:ascii="Times New Roman" w:hAnsi="Times New Roman"/>
                <w:noProof/>
                <w:color w:val="006100"/>
                <w:sz w:val="20"/>
              </w:rPr>
              <w:t>T2</w:t>
            </w: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7D3EAFC3" w14:textId="77777777" w:rsidR="007D338F" w:rsidRPr="00D26611" w:rsidRDefault="007D338F" w:rsidP="00C937A7">
            <w:pPr>
              <w:spacing w:after="0" w:line="240" w:lineRule="auto"/>
              <w:jc w:val="center"/>
              <w:rPr>
                <w:rFonts w:ascii="Times New Roman" w:hAnsi="Times New Roman" w:cs="Times New Roman"/>
                <w:noProof/>
                <w:color w:val="006100"/>
                <w:sz w:val="20"/>
                <w:szCs w:val="20"/>
              </w:rPr>
            </w:pPr>
            <w:r>
              <w:rPr>
                <w:rFonts w:ascii="Times New Roman" w:hAnsi="Times New Roman"/>
                <w:noProof/>
                <w:color w:val="006100"/>
                <w:sz w:val="20"/>
              </w:rPr>
              <w:t>2026</w:t>
            </w:r>
          </w:p>
        </w:tc>
        <w:tc>
          <w:tcPr>
            <w:tcW w:w="3543" w:type="dxa"/>
            <w:tcBorders>
              <w:top w:val="single" w:sz="4" w:space="0" w:color="auto"/>
              <w:left w:val="nil"/>
              <w:bottom w:val="single" w:sz="4" w:space="0" w:color="auto"/>
              <w:right w:val="single" w:sz="4" w:space="0" w:color="auto"/>
            </w:tcBorders>
            <w:shd w:val="clear" w:color="auto" w:fill="C6EFCE"/>
            <w:noWrap/>
            <w:vAlign w:val="center"/>
          </w:tcPr>
          <w:p w14:paraId="68E9BF3A" w14:textId="38979BA9"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Финансови или инвестиционни операции в размер на 100 % от общия размер на одобреното от инвестиционен комитет целево финансиране или инвестиция, в съответствие с изискванията, посочени в ключов етап 50.</w:t>
            </w:r>
          </w:p>
          <w:p w14:paraId="6A5A09C8" w14:textId="77777777" w:rsidR="007D338F" w:rsidRPr="008A0F8A" w:rsidRDefault="007D338F" w:rsidP="00C937A7">
            <w:pPr>
              <w:spacing w:after="0" w:line="240" w:lineRule="auto"/>
              <w:rPr>
                <w:rFonts w:ascii="Times New Roman" w:hAnsi="Times New Roman" w:cs="Times New Roman"/>
                <w:noProof/>
                <w:color w:val="006100"/>
                <w:sz w:val="20"/>
                <w:szCs w:val="20"/>
                <w:lang w:val="ru-RU"/>
              </w:rPr>
            </w:pPr>
          </w:p>
        </w:tc>
      </w:tr>
      <w:tr w:rsidR="005A12E7" w:rsidRPr="005241FC" w14:paraId="34718218" w14:textId="77777777" w:rsidTr="008E16C0">
        <w:trPr>
          <w:trHeight w:val="307"/>
        </w:trPr>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73E3D25" w14:textId="0D144060" w:rsidR="007D338F" w:rsidRPr="00D26611" w:rsidRDefault="00DE4AB0" w:rsidP="00C937A7">
            <w:pPr>
              <w:spacing w:after="0" w:line="240" w:lineRule="auto"/>
              <w:jc w:val="center"/>
              <w:rPr>
                <w:rFonts w:ascii="Times New Roman" w:hAnsi="Times New Roman" w:cs="Times New Roman"/>
                <w:noProof/>
                <w:color w:val="006100"/>
                <w:sz w:val="20"/>
                <w:szCs w:val="20"/>
              </w:rPr>
            </w:pPr>
            <w:r>
              <w:rPr>
                <w:rFonts w:ascii="Times New Roman" w:hAnsi="Times New Roman"/>
                <w:noProof/>
                <w:color w:val="006100"/>
                <w:sz w:val="20"/>
              </w:rPr>
              <w:t>53</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0874661F" w14:textId="77777777" w:rsidR="00183158" w:rsidRPr="00D26611" w:rsidRDefault="0073609B"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К3.И2: </w:t>
            </w:r>
          </w:p>
          <w:p w14:paraId="79BC7494" w14:textId="48AF4EF2"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Инвестиция 2.2.а — Схема за безвъзмездна помощ за комбиниране на възобновяеми енергийни източници с местно съхранение</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4DD13E30" w14:textId="77777777"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Ключов етап</w:t>
            </w:r>
          </w:p>
        </w:tc>
        <w:tc>
          <w:tcPr>
            <w:tcW w:w="1785" w:type="dxa"/>
            <w:tcBorders>
              <w:top w:val="single" w:sz="4" w:space="0" w:color="auto"/>
              <w:left w:val="nil"/>
              <w:bottom w:val="single" w:sz="4" w:space="0" w:color="auto"/>
              <w:right w:val="single" w:sz="4" w:space="0" w:color="auto"/>
            </w:tcBorders>
            <w:shd w:val="clear" w:color="auto" w:fill="C6EFCE"/>
            <w:noWrap/>
            <w:vAlign w:val="center"/>
          </w:tcPr>
          <w:p w14:paraId="6F4B8AFB" w14:textId="77777777"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Приключили процедури за подбор </w:t>
            </w:r>
          </w:p>
        </w:tc>
        <w:tc>
          <w:tcPr>
            <w:tcW w:w="1587" w:type="dxa"/>
            <w:tcBorders>
              <w:top w:val="single" w:sz="4" w:space="0" w:color="auto"/>
              <w:left w:val="nil"/>
              <w:bottom w:val="single" w:sz="4" w:space="0" w:color="auto"/>
              <w:right w:val="single" w:sz="4" w:space="0" w:color="auto"/>
            </w:tcBorders>
            <w:shd w:val="clear" w:color="auto" w:fill="C6EFCE"/>
            <w:noWrap/>
            <w:vAlign w:val="center"/>
          </w:tcPr>
          <w:p w14:paraId="401FAD54" w14:textId="77777777" w:rsidR="007D338F" w:rsidRPr="008A0F8A" w:rsidRDefault="007D338F" w:rsidP="00C937A7">
            <w:pPr>
              <w:spacing w:after="0" w:line="240" w:lineRule="auto"/>
              <w:rPr>
                <w:rFonts w:ascii="Times New Roman" w:hAnsi="Times New Roman" w:cs="Times New Roman"/>
                <w:noProof/>
                <w:color w:val="006100"/>
                <w:sz w:val="20"/>
                <w:szCs w:val="20"/>
                <w:lang w:val="ru-RU"/>
              </w:rPr>
            </w:pPr>
          </w:p>
          <w:p w14:paraId="1A4949F5" w14:textId="0187049F" w:rsidR="007D338F" w:rsidRPr="00D26611" w:rsidRDefault="002B751E"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Публикуван списък с одобрени за финансиране проекти и резервен списък</w:t>
            </w:r>
          </w:p>
        </w:tc>
        <w:tc>
          <w:tcPr>
            <w:tcW w:w="1301" w:type="dxa"/>
            <w:tcBorders>
              <w:top w:val="single" w:sz="4" w:space="0" w:color="auto"/>
              <w:left w:val="nil"/>
              <w:bottom w:val="single" w:sz="4" w:space="0" w:color="auto"/>
              <w:right w:val="single" w:sz="4" w:space="0" w:color="auto"/>
            </w:tcBorders>
            <w:shd w:val="clear" w:color="auto" w:fill="C6EFCE"/>
            <w:noWrap/>
            <w:vAlign w:val="center"/>
          </w:tcPr>
          <w:p w14:paraId="08A6F8B3" w14:textId="77777777" w:rsidR="007D338F" w:rsidRPr="008A0F8A" w:rsidRDefault="007D338F" w:rsidP="00C937A7">
            <w:pPr>
              <w:spacing w:after="0" w:line="240" w:lineRule="auto"/>
              <w:rPr>
                <w:rFonts w:ascii="Times New Roman" w:hAnsi="Times New Roman" w:cs="Times New Roman"/>
                <w:noProof/>
                <w:color w:val="006100"/>
                <w:sz w:val="20"/>
                <w:szCs w:val="20"/>
                <w:lang w:val="ru-RU"/>
              </w:rPr>
            </w:pP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089FA374" w14:textId="77777777" w:rsidR="007D338F" w:rsidRPr="008A0F8A" w:rsidRDefault="007D338F" w:rsidP="00C937A7">
            <w:pPr>
              <w:spacing w:after="0" w:line="240" w:lineRule="auto"/>
              <w:rPr>
                <w:rFonts w:ascii="Times New Roman" w:hAnsi="Times New Roman" w:cs="Times New Roman"/>
                <w:noProof/>
                <w:color w:val="006100"/>
                <w:sz w:val="20"/>
                <w:szCs w:val="20"/>
                <w:lang w:val="ru-RU"/>
              </w:rPr>
            </w:pPr>
          </w:p>
        </w:tc>
        <w:tc>
          <w:tcPr>
            <w:tcW w:w="851" w:type="dxa"/>
            <w:tcBorders>
              <w:top w:val="single" w:sz="4" w:space="0" w:color="auto"/>
              <w:left w:val="nil"/>
              <w:bottom w:val="single" w:sz="4" w:space="0" w:color="auto"/>
              <w:right w:val="single" w:sz="4" w:space="0" w:color="auto"/>
            </w:tcBorders>
            <w:shd w:val="clear" w:color="auto" w:fill="C6EFCE"/>
            <w:noWrap/>
            <w:vAlign w:val="center"/>
          </w:tcPr>
          <w:p w14:paraId="6F4E43FF" w14:textId="77777777" w:rsidR="007D338F" w:rsidRPr="008A0F8A" w:rsidRDefault="007D338F" w:rsidP="00C937A7">
            <w:pPr>
              <w:spacing w:after="0" w:line="240" w:lineRule="auto"/>
              <w:rPr>
                <w:rFonts w:ascii="Times New Roman" w:hAnsi="Times New Roman" w:cs="Times New Roman"/>
                <w:noProof/>
                <w:color w:val="006100"/>
                <w:sz w:val="20"/>
                <w:szCs w:val="20"/>
                <w:lang w:val="ru-RU"/>
              </w:rPr>
            </w:pP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289389F2" w14:textId="77777777" w:rsidR="007D338F" w:rsidRPr="00D26611" w:rsidRDefault="007D338F" w:rsidP="00C937A7">
            <w:pPr>
              <w:spacing w:after="0" w:line="240" w:lineRule="auto"/>
              <w:jc w:val="center"/>
              <w:rPr>
                <w:rFonts w:ascii="Times New Roman" w:hAnsi="Times New Roman" w:cs="Times New Roman"/>
                <w:noProof/>
                <w:color w:val="006100"/>
                <w:sz w:val="20"/>
                <w:szCs w:val="20"/>
              </w:rPr>
            </w:pPr>
            <w:r>
              <w:rPr>
                <w:rFonts w:ascii="Times New Roman" w:hAnsi="Times New Roman"/>
                <w:noProof/>
                <w:color w:val="006100"/>
                <w:sz w:val="20"/>
              </w:rPr>
              <w:t>T3</w:t>
            </w: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3F1FC994" w14:textId="77777777" w:rsidR="007D338F" w:rsidRPr="00D26611" w:rsidRDefault="007D338F" w:rsidP="00C937A7">
            <w:pPr>
              <w:spacing w:after="0" w:line="240" w:lineRule="auto"/>
              <w:jc w:val="center"/>
              <w:rPr>
                <w:rFonts w:ascii="Times New Roman" w:hAnsi="Times New Roman" w:cs="Times New Roman"/>
                <w:noProof/>
                <w:color w:val="006100"/>
                <w:sz w:val="20"/>
                <w:szCs w:val="20"/>
              </w:rPr>
            </w:pPr>
            <w:r>
              <w:rPr>
                <w:rFonts w:ascii="Times New Roman" w:hAnsi="Times New Roman"/>
                <w:noProof/>
                <w:color w:val="006100"/>
                <w:sz w:val="20"/>
              </w:rPr>
              <w:t>2023</w:t>
            </w:r>
          </w:p>
        </w:tc>
        <w:tc>
          <w:tcPr>
            <w:tcW w:w="3543" w:type="dxa"/>
            <w:tcBorders>
              <w:top w:val="single" w:sz="4" w:space="0" w:color="auto"/>
              <w:left w:val="nil"/>
              <w:bottom w:val="single" w:sz="4" w:space="0" w:color="auto"/>
              <w:right w:val="single" w:sz="4" w:space="0" w:color="auto"/>
            </w:tcBorders>
            <w:shd w:val="clear" w:color="auto" w:fill="C6EFCE"/>
            <w:noWrap/>
            <w:vAlign w:val="center"/>
          </w:tcPr>
          <w:p w14:paraId="4185033D" w14:textId="77777777"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Процедурите за подбор ще са открити и конкурентни. </w:t>
            </w:r>
          </w:p>
          <w:p w14:paraId="26DA1826" w14:textId="77777777" w:rsidR="007D338F" w:rsidRPr="008A0F8A" w:rsidRDefault="007D338F" w:rsidP="00C937A7">
            <w:pPr>
              <w:spacing w:after="0" w:line="240" w:lineRule="auto"/>
              <w:rPr>
                <w:rFonts w:ascii="Times New Roman" w:hAnsi="Times New Roman" w:cs="Times New Roman"/>
                <w:noProof/>
                <w:color w:val="006100"/>
                <w:sz w:val="20"/>
                <w:szCs w:val="20"/>
                <w:lang w:val="ru-RU"/>
              </w:rPr>
            </w:pPr>
          </w:p>
          <w:p w14:paraId="17DD2D3E" w14:textId="77777777"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Бенефициерите ще са МСП, малките дружества със средна пазарна капитализация и дружествата със средна пазарна капитализация. Подбраните проекти ще подпомагат придобиването и привеждането в експлоатация на инсталации за производство на енергия от възобновяеми източници, като ще включват и капацитет за съхранение на място. </w:t>
            </w:r>
          </w:p>
          <w:p w14:paraId="1B1D6949" w14:textId="77777777" w:rsidR="007D338F" w:rsidRPr="008A0F8A" w:rsidRDefault="007D338F" w:rsidP="00C937A7">
            <w:pPr>
              <w:spacing w:after="0" w:line="240" w:lineRule="auto"/>
              <w:rPr>
                <w:rFonts w:ascii="Times New Roman" w:hAnsi="Times New Roman" w:cs="Times New Roman"/>
                <w:noProof/>
                <w:color w:val="006100"/>
                <w:sz w:val="20"/>
                <w:szCs w:val="20"/>
                <w:lang w:val="ru-RU"/>
              </w:rPr>
            </w:pPr>
          </w:p>
          <w:p w14:paraId="525CCD1E" w14:textId="6458E1B8"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Проектите ще са в съответствие с област на интервенция 033 от приложение VII към Регламент (ЕС) 2021/241. Общият инсталиран капацитет за дружество трябва да не надхвърля 1 MW. Бенефициерите ще бъдат дружества с дейност във всички раздели по NACE с изключение на A „Селско, горско и рибно стопанство“ и D „Производство и разпределение на електрическа и топлинна енергия и на газообразни горива“.</w:t>
            </w:r>
          </w:p>
          <w:p w14:paraId="4D35C932" w14:textId="77777777" w:rsidR="007D338F" w:rsidRPr="008A0F8A" w:rsidRDefault="007D338F" w:rsidP="00C937A7">
            <w:pPr>
              <w:spacing w:after="0" w:line="240" w:lineRule="auto"/>
              <w:rPr>
                <w:rFonts w:ascii="Times New Roman" w:hAnsi="Times New Roman" w:cs="Times New Roman"/>
                <w:noProof/>
                <w:color w:val="006100"/>
                <w:sz w:val="20"/>
                <w:szCs w:val="20"/>
                <w:lang w:val="ru-RU"/>
              </w:rPr>
            </w:pPr>
          </w:p>
          <w:p w14:paraId="23746014" w14:textId="2B00239F"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 Най-малко 50 % от стойността на проекта ще се съфинансира от бенефициера.</w:t>
            </w:r>
          </w:p>
          <w:p w14:paraId="3F635E9B" w14:textId="379C5BD8" w:rsidR="00102472" w:rsidRPr="008A0F8A" w:rsidRDefault="00102472" w:rsidP="00C937A7">
            <w:pPr>
              <w:spacing w:after="0" w:line="240" w:lineRule="auto"/>
              <w:rPr>
                <w:rFonts w:ascii="Times New Roman" w:hAnsi="Times New Roman" w:cs="Times New Roman"/>
                <w:noProof/>
                <w:color w:val="006100"/>
                <w:sz w:val="20"/>
                <w:szCs w:val="20"/>
                <w:lang w:val="ru-RU"/>
              </w:rPr>
            </w:pPr>
          </w:p>
          <w:p w14:paraId="22CFCB26" w14:textId="015B7AFD" w:rsidR="00102472" w:rsidRPr="00D26611" w:rsidRDefault="5C60C3DE" w:rsidP="00102472">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Общото финансиране за одобрените проекти ще е най-малко 52 млн. евро. </w:t>
            </w:r>
          </w:p>
          <w:p w14:paraId="047C3B2C" w14:textId="77777777" w:rsidR="00102472" w:rsidRPr="008A0F8A" w:rsidRDefault="00102472" w:rsidP="00C937A7">
            <w:pPr>
              <w:spacing w:after="0" w:line="240" w:lineRule="auto"/>
              <w:rPr>
                <w:rFonts w:ascii="Times New Roman" w:hAnsi="Times New Roman" w:cs="Times New Roman"/>
                <w:noProof/>
                <w:color w:val="006100"/>
                <w:sz w:val="20"/>
                <w:szCs w:val="20"/>
                <w:lang w:val="ru-RU"/>
              </w:rPr>
            </w:pPr>
          </w:p>
          <w:p w14:paraId="5EC17035" w14:textId="40D832D3" w:rsidR="002B751E" w:rsidRPr="00D26611" w:rsidRDefault="60A7DE00" w:rsidP="002B751E">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С оглед на съответствието на мярката с техническите насоки „Ненанасяне на значителни вреди“ (2021/C58/01), критериите за допустимост в техническите спецификации на предстоящите покани за представяне на проекти ще изключат дейностите и активите от посочения в описанието на мярката списък на изключените дейности/активи и ще изискат да могат да бъдат избирани само дейности, които съблюдават съответното законодателство на ЕС и национално законодателство в областта на околната среда.</w:t>
            </w:r>
          </w:p>
          <w:p w14:paraId="2C2221A5" w14:textId="4EE7B390" w:rsidR="007D338F" w:rsidRPr="008A0F8A" w:rsidRDefault="007D338F" w:rsidP="00C937A7">
            <w:pPr>
              <w:spacing w:after="0" w:line="240" w:lineRule="auto"/>
              <w:rPr>
                <w:rFonts w:ascii="Times New Roman" w:hAnsi="Times New Roman" w:cs="Times New Roman"/>
                <w:noProof/>
                <w:color w:val="006100"/>
                <w:sz w:val="20"/>
                <w:szCs w:val="20"/>
                <w:lang w:val="ru-RU"/>
              </w:rPr>
            </w:pPr>
          </w:p>
        </w:tc>
      </w:tr>
      <w:tr w:rsidR="005A12E7" w:rsidRPr="005241FC" w14:paraId="4276E670" w14:textId="77777777" w:rsidTr="008E16C0">
        <w:trPr>
          <w:trHeight w:val="307"/>
        </w:trPr>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198B3AE" w14:textId="74AB7EE6" w:rsidR="007D338F" w:rsidRPr="00D26611" w:rsidRDefault="63E0CB0D" w:rsidP="00C937A7">
            <w:pPr>
              <w:spacing w:after="0" w:line="240" w:lineRule="auto"/>
              <w:jc w:val="center"/>
              <w:rPr>
                <w:rFonts w:ascii="Times New Roman" w:hAnsi="Times New Roman" w:cs="Times New Roman"/>
                <w:noProof/>
                <w:color w:val="006100"/>
                <w:sz w:val="20"/>
                <w:szCs w:val="20"/>
              </w:rPr>
            </w:pPr>
            <w:r>
              <w:rPr>
                <w:rFonts w:ascii="Times New Roman" w:hAnsi="Times New Roman"/>
                <w:noProof/>
                <w:color w:val="006100"/>
                <w:sz w:val="20"/>
              </w:rPr>
              <w:t>54</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194E0F91" w14:textId="77777777" w:rsidR="00183158" w:rsidRPr="00D26611" w:rsidRDefault="0073609B"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К3.И2: </w:t>
            </w:r>
          </w:p>
          <w:p w14:paraId="5A31CF55" w14:textId="3FC23A94"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Инвестиция 2.2.а — Схема за безвъзмездна помощ за комбиниране на възобновяеми енергийни източници с местно съхранение</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43EBE7C4" w14:textId="77777777"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Цел</w:t>
            </w:r>
          </w:p>
        </w:tc>
        <w:tc>
          <w:tcPr>
            <w:tcW w:w="1785" w:type="dxa"/>
            <w:tcBorders>
              <w:top w:val="single" w:sz="4" w:space="0" w:color="auto"/>
              <w:left w:val="nil"/>
              <w:bottom w:val="single" w:sz="4" w:space="0" w:color="auto"/>
              <w:right w:val="single" w:sz="4" w:space="0" w:color="auto"/>
            </w:tcBorders>
            <w:shd w:val="clear" w:color="auto" w:fill="C6EFCE"/>
            <w:noWrap/>
            <w:vAlign w:val="center"/>
          </w:tcPr>
          <w:p w14:paraId="4C27211F" w14:textId="77777777"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Оперативен капацитет на инсталирани съоръжения за съхранение</w:t>
            </w:r>
          </w:p>
        </w:tc>
        <w:tc>
          <w:tcPr>
            <w:tcW w:w="1587" w:type="dxa"/>
            <w:tcBorders>
              <w:top w:val="single" w:sz="4" w:space="0" w:color="auto"/>
              <w:left w:val="nil"/>
              <w:bottom w:val="single" w:sz="4" w:space="0" w:color="auto"/>
              <w:right w:val="single" w:sz="4" w:space="0" w:color="auto"/>
            </w:tcBorders>
            <w:shd w:val="clear" w:color="auto" w:fill="C6EFCE"/>
            <w:noWrap/>
            <w:vAlign w:val="center"/>
          </w:tcPr>
          <w:p w14:paraId="142E70B7" w14:textId="77777777" w:rsidR="007D338F" w:rsidRPr="008A0F8A" w:rsidRDefault="007D338F" w:rsidP="00C937A7">
            <w:pPr>
              <w:spacing w:after="0" w:line="240" w:lineRule="auto"/>
              <w:rPr>
                <w:rFonts w:ascii="Times New Roman" w:hAnsi="Times New Roman" w:cs="Times New Roman"/>
                <w:noProof/>
                <w:color w:val="006100"/>
                <w:sz w:val="20"/>
                <w:szCs w:val="20"/>
                <w:lang w:val="ru-RU"/>
              </w:rPr>
            </w:pPr>
          </w:p>
        </w:tc>
        <w:tc>
          <w:tcPr>
            <w:tcW w:w="1301" w:type="dxa"/>
            <w:tcBorders>
              <w:top w:val="single" w:sz="4" w:space="0" w:color="auto"/>
              <w:left w:val="nil"/>
              <w:bottom w:val="single" w:sz="4" w:space="0" w:color="auto"/>
              <w:right w:val="single" w:sz="4" w:space="0" w:color="auto"/>
            </w:tcBorders>
            <w:shd w:val="clear" w:color="auto" w:fill="C6EFCE"/>
            <w:noWrap/>
            <w:vAlign w:val="center"/>
          </w:tcPr>
          <w:p w14:paraId="54A6D6C6" w14:textId="77777777"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Брой</w:t>
            </w:r>
          </w:p>
          <w:p w14:paraId="1F8A4FE9" w14:textId="77777777"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(kW)</w:t>
            </w: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1828594A" w14:textId="77777777" w:rsidR="007D338F" w:rsidRPr="008F1F69" w:rsidRDefault="007D338F" w:rsidP="008F1F69">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0</w:t>
            </w:r>
          </w:p>
        </w:tc>
        <w:tc>
          <w:tcPr>
            <w:tcW w:w="851" w:type="dxa"/>
            <w:tcBorders>
              <w:top w:val="single" w:sz="4" w:space="0" w:color="auto"/>
              <w:left w:val="nil"/>
              <w:bottom w:val="single" w:sz="4" w:space="0" w:color="auto"/>
              <w:right w:val="single" w:sz="4" w:space="0" w:color="auto"/>
            </w:tcBorders>
            <w:shd w:val="clear" w:color="auto" w:fill="C6EFCE"/>
            <w:noWrap/>
            <w:vAlign w:val="center"/>
          </w:tcPr>
          <w:p w14:paraId="5EF635D6" w14:textId="108F5D50" w:rsidR="007D338F" w:rsidRPr="008F1F69" w:rsidRDefault="007D338F" w:rsidP="008F1F69">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27048</w:t>
            </w: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267C374C" w14:textId="77777777" w:rsidR="007D338F" w:rsidRPr="00D26611" w:rsidRDefault="007D338F" w:rsidP="00C937A7">
            <w:pPr>
              <w:spacing w:after="0" w:line="240" w:lineRule="auto"/>
              <w:jc w:val="center"/>
              <w:rPr>
                <w:rFonts w:ascii="Times New Roman" w:hAnsi="Times New Roman" w:cs="Times New Roman"/>
                <w:noProof/>
                <w:color w:val="006100"/>
                <w:sz w:val="20"/>
                <w:szCs w:val="20"/>
              </w:rPr>
            </w:pPr>
            <w:r>
              <w:rPr>
                <w:rFonts w:ascii="Times New Roman" w:hAnsi="Times New Roman"/>
                <w:noProof/>
                <w:color w:val="006100"/>
                <w:sz w:val="20"/>
              </w:rPr>
              <w:t>T1</w:t>
            </w: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06622F50" w14:textId="77777777" w:rsidR="007D338F" w:rsidRPr="00D26611" w:rsidRDefault="007D338F" w:rsidP="00C937A7">
            <w:pPr>
              <w:spacing w:after="0" w:line="240" w:lineRule="auto"/>
              <w:jc w:val="center"/>
              <w:rPr>
                <w:rFonts w:ascii="Times New Roman" w:hAnsi="Times New Roman" w:cs="Times New Roman"/>
                <w:noProof/>
                <w:color w:val="006100"/>
                <w:sz w:val="20"/>
                <w:szCs w:val="20"/>
              </w:rPr>
            </w:pPr>
            <w:r>
              <w:rPr>
                <w:rFonts w:ascii="Times New Roman" w:hAnsi="Times New Roman"/>
                <w:noProof/>
                <w:color w:val="006100"/>
                <w:sz w:val="20"/>
              </w:rPr>
              <w:t>2025</w:t>
            </w:r>
          </w:p>
        </w:tc>
        <w:tc>
          <w:tcPr>
            <w:tcW w:w="3543" w:type="dxa"/>
            <w:tcBorders>
              <w:top w:val="single" w:sz="4" w:space="0" w:color="auto"/>
              <w:left w:val="nil"/>
              <w:bottom w:val="single" w:sz="4" w:space="0" w:color="auto"/>
              <w:right w:val="single" w:sz="4" w:space="0" w:color="auto"/>
            </w:tcBorders>
            <w:shd w:val="clear" w:color="auto" w:fill="C6EFCE"/>
            <w:noWrap/>
            <w:vAlign w:val="center"/>
          </w:tcPr>
          <w:p w14:paraId="7FBDB539" w14:textId="735AA000"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27 048 kW допълнителен капацитет на новоинсталираните и оперативните съоръжения за съхранение, в съответствие с изискванията на ключов етап 53. </w:t>
            </w:r>
          </w:p>
          <w:p w14:paraId="0A9CF530" w14:textId="1449D927" w:rsidR="007D338F" w:rsidRPr="008A0F8A" w:rsidRDefault="007D338F" w:rsidP="00C937A7">
            <w:pPr>
              <w:spacing w:after="0" w:line="240" w:lineRule="auto"/>
              <w:rPr>
                <w:rFonts w:ascii="Times New Roman" w:hAnsi="Times New Roman" w:cs="Times New Roman"/>
                <w:noProof/>
                <w:color w:val="006100"/>
                <w:sz w:val="20"/>
                <w:szCs w:val="20"/>
                <w:lang w:val="ru-RU"/>
              </w:rPr>
            </w:pPr>
          </w:p>
        </w:tc>
      </w:tr>
      <w:tr w:rsidR="005A12E7" w:rsidRPr="005241FC" w14:paraId="4B4CFB86" w14:textId="77777777" w:rsidTr="008E16C0">
        <w:trPr>
          <w:trHeight w:val="307"/>
        </w:trPr>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67332C6" w14:textId="446FC2E9" w:rsidR="007D338F" w:rsidRPr="00D26611" w:rsidRDefault="00DE4AB0" w:rsidP="00C937A7">
            <w:pPr>
              <w:spacing w:after="0" w:line="240" w:lineRule="auto"/>
              <w:jc w:val="center"/>
              <w:rPr>
                <w:rFonts w:ascii="Times New Roman" w:hAnsi="Times New Roman" w:cs="Times New Roman"/>
                <w:noProof/>
                <w:color w:val="006100"/>
                <w:sz w:val="20"/>
                <w:szCs w:val="20"/>
              </w:rPr>
            </w:pPr>
            <w:r>
              <w:rPr>
                <w:rFonts w:ascii="Times New Roman" w:hAnsi="Times New Roman"/>
                <w:noProof/>
                <w:color w:val="006100"/>
                <w:sz w:val="20"/>
              </w:rPr>
              <w:t>55</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788032DA" w14:textId="77777777" w:rsidR="00183158" w:rsidRPr="00D26611" w:rsidRDefault="0073609B"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К3.И2: </w:t>
            </w:r>
          </w:p>
          <w:p w14:paraId="6C6FB8D5" w14:textId="6724593C"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Инвестиция 2.2.а — Схема за безвъзмездна помощ за комбиниране на възобновяеми енергийни източници с местно съхранение</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1512BA98" w14:textId="77777777"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Цел</w:t>
            </w:r>
          </w:p>
        </w:tc>
        <w:tc>
          <w:tcPr>
            <w:tcW w:w="1785" w:type="dxa"/>
            <w:tcBorders>
              <w:top w:val="single" w:sz="4" w:space="0" w:color="auto"/>
              <w:left w:val="nil"/>
              <w:bottom w:val="single" w:sz="4" w:space="0" w:color="auto"/>
              <w:right w:val="single" w:sz="4" w:space="0" w:color="auto"/>
            </w:tcBorders>
            <w:shd w:val="clear" w:color="auto" w:fill="C6EFCE"/>
            <w:noWrap/>
            <w:vAlign w:val="center"/>
          </w:tcPr>
          <w:p w14:paraId="0A8D0C66" w14:textId="77777777"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Оперативен капацитет на инсталирани съоръжения за съхранение</w:t>
            </w:r>
          </w:p>
        </w:tc>
        <w:tc>
          <w:tcPr>
            <w:tcW w:w="1587" w:type="dxa"/>
            <w:tcBorders>
              <w:top w:val="single" w:sz="4" w:space="0" w:color="auto"/>
              <w:left w:val="nil"/>
              <w:bottom w:val="single" w:sz="4" w:space="0" w:color="auto"/>
              <w:right w:val="single" w:sz="4" w:space="0" w:color="auto"/>
            </w:tcBorders>
            <w:shd w:val="clear" w:color="auto" w:fill="C6EFCE"/>
            <w:noWrap/>
            <w:vAlign w:val="center"/>
          </w:tcPr>
          <w:p w14:paraId="60215ADA" w14:textId="77777777" w:rsidR="007D338F" w:rsidRPr="008A0F8A" w:rsidRDefault="007D338F" w:rsidP="00C937A7">
            <w:pPr>
              <w:spacing w:after="0" w:line="240" w:lineRule="auto"/>
              <w:rPr>
                <w:rFonts w:ascii="Times New Roman" w:hAnsi="Times New Roman" w:cs="Times New Roman"/>
                <w:noProof/>
                <w:color w:val="006100"/>
                <w:sz w:val="20"/>
                <w:szCs w:val="20"/>
                <w:lang w:val="ru-RU"/>
              </w:rPr>
            </w:pPr>
          </w:p>
        </w:tc>
        <w:tc>
          <w:tcPr>
            <w:tcW w:w="1301" w:type="dxa"/>
            <w:tcBorders>
              <w:top w:val="single" w:sz="4" w:space="0" w:color="auto"/>
              <w:left w:val="nil"/>
              <w:bottom w:val="single" w:sz="4" w:space="0" w:color="auto"/>
              <w:right w:val="single" w:sz="4" w:space="0" w:color="auto"/>
            </w:tcBorders>
            <w:shd w:val="clear" w:color="auto" w:fill="C6EFCE"/>
            <w:noWrap/>
            <w:vAlign w:val="center"/>
          </w:tcPr>
          <w:p w14:paraId="7AA74711" w14:textId="77777777"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Брой</w:t>
            </w:r>
          </w:p>
          <w:p w14:paraId="7E5E4A43" w14:textId="77777777"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(kW)</w:t>
            </w: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0253EC8C" w14:textId="7AC58F6D" w:rsidR="007D338F" w:rsidRPr="008F1F69" w:rsidRDefault="007D338F" w:rsidP="008F1F69">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27048</w:t>
            </w:r>
          </w:p>
        </w:tc>
        <w:tc>
          <w:tcPr>
            <w:tcW w:w="851" w:type="dxa"/>
            <w:tcBorders>
              <w:top w:val="single" w:sz="4" w:space="0" w:color="auto"/>
              <w:left w:val="nil"/>
              <w:bottom w:val="single" w:sz="4" w:space="0" w:color="auto"/>
              <w:right w:val="single" w:sz="4" w:space="0" w:color="auto"/>
            </w:tcBorders>
            <w:shd w:val="clear" w:color="auto" w:fill="C6EFCE"/>
            <w:noWrap/>
            <w:vAlign w:val="center"/>
          </w:tcPr>
          <w:p w14:paraId="68A6623E" w14:textId="23B50DED" w:rsidR="007D338F" w:rsidRPr="008F1F69" w:rsidRDefault="007D338F" w:rsidP="008F1F69">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54096</w:t>
            </w: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5213C4E2" w14:textId="7EDE9E72" w:rsidR="007D338F" w:rsidRPr="007C6CE4" w:rsidRDefault="002B751E" w:rsidP="002B751E">
            <w:pPr>
              <w:spacing w:after="0" w:line="240" w:lineRule="auto"/>
              <w:jc w:val="center"/>
              <w:rPr>
                <w:rFonts w:ascii="Times New Roman" w:hAnsi="Times New Roman" w:cs="Times New Roman"/>
                <w:noProof/>
                <w:color w:val="006100"/>
                <w:sz w:val="20"/>
                <w:szCs w:val="20"/>
              </w:rPr>
            </w:pPr>
            <w:r>
              <w:rPr>
                <w:rFonts w:ascii="Times New Roman" w:hAnsi="Times New Roman"/>
                <w:noProof/>
                <w:color w:val="006100"/>
                <w:sz w:val="20"/>
              </w:rPr>
              <w:t>T1</w:t>
            </w: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5B74F335" w14:textId="77777777" w:rsidR="007D338F" w:rsidRPr="007C6CE4" w:rsidRDefault="007D338F" w:rsidP="00C937A7">
            <w:pPr>
              <w:spacing w:after="0" w:line="240" w:lineRule="auto"/>
              <w:jc w:val="center"/>
              <w:rPr>
                <w:rFonts w:ascii="Times New Roman" w:hAnsi="Times New Roman" w:cs="Times New Roman"/>
                <w:noProof/>
                <w:color w:val="006100"/>
                <w:sz w:val="20"/>
                <w:szCs w:val="20"/>
              </w:rPr>
            </w:pPr>
            <w:r>
              <w:rPr>
                <w:rFonts w:ascii="Times New Roman" w:hAnsi="Times New Roman"/>
                <w:noProof/>
                <w:color w:val="006100"/>
                <w:sz w:val="20"/>
              </w:rPr>
              <w:t>2026</w:t>
            </w:r>
          </w:p>
        </w:tc>
        <w:tc>
          <w:tcPr>
            <w:tcW w:w="3543" w:type="dxa"/>
            <w:tcBorders>
              <w:top w:val="single" w:sz="4" w:space="0" w:color="auto"/>
              <w:left w:val="nil"/>
              <w:bottom w:val="single" w:sz="4" w:space="0" w:color="auto"/>
              <w:right w:val="single" w:sz="4" w:space="0" w:color="auto"/>
            </w:tcBorders>
            <w:shd w:val="clear" w:color="auto" w:fill="C6EFCE"/>
            <w:noWrap/>
            <w:vAlign w:val="center"/>
          </w:tcPr>
          <w:p w14:paraId="30A321AE" w14:textId="0D7C07E9" w:rsidR="007D338F" w:rsidRPr="007C6CE4"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27 048 kW допълнителен капацитет на новоинсталираните и оперативните съоръжения за съхранение, в съответствие с изискванията на ключов етап 53. </w:t>
            </w:r>
          </w:p>
          <w:p w14:paraId="7D4FD97D" w14:textId="77777777" w:rsidR="007D338F" w:rsidRPr="008A0F8A" w:rsidRDefault="007D338F" w:rsidP="00C937A7">
            <w:pPr>
              <w:spacing w:after="0" w:line="240" w:lineRule="auto"/>
              <w:rPr>
                <w:rFonts w:ascii="Times New Roman" w:hAnsi="Times New Roman" w:cs="Times New Roman"/>
                <w:noProof/>
                <w:color w:val="006100"/>
                <w:sz w:val="20"/>
                <w:szCs w:val="20"/>
                <w:lang w:val="ru-RU"/>
              </w:rPr>
            </w:pPr>
          </w:p>
          <w:p w14:paraId="636F98FD" w14:textId="79FFD216" w:rsidR="007D338F" w:rsidRPr="007C6CE4" w:rsidRDefault="007D338F" w:rsidP="006A1C53">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В края на инвестицията изготвен от независим одитор технически доклад ще удостовери спазването на техническите насоки „Ненанасяне на значителни вреди“ (2021/C58/01).</w:t>
            </w:r>
          </w:p>
        </w:tc>
      </w:tr>
      <w:tr w:rsidR="005A12E7" w:rsidRPr="005241FC" w14:paraId="62ADA72D" w14:textId="77777777" w:rsidTr="008E16C0">
        <w:trPr>
          <w:trHeight w:val="307"/>
        </w:trPr>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35A26CF" w14:textId="37002F36" w:rsidR="007D338F" w:rsidRPr="00D26611" w:rsidRDefault="00DE4AB0" w:rsidP="00C937A7">
            <w:pPr>
              <w:spacing w:after="0" w:line="240" w:lineRule="auto"/>
              <w:jc w:val="center"/>
              <w:rPr>
                <w:rFonts w:ascii="Times New Roman" w:hAnsi="Times New Roman" w:cs="Times New Roman"/>
                <w:noProof/>
                <w:color w:val="006100"/>
                <w:sz w:val="20"/>
                <w:szCs w:val="20"/>
              </w:rPr>
            </w:pPr>
            <w:r>
              <w:rPr>
                <w:rFonts w:ascii="Times New Roman" w:hAnsi="Times New Roman"/>
                <w:noProof/>
                <w:color w:val="006100"/>
                <w:sz w:val="20"/>
              </w:rPr>
              <w:t>56</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57FD284B" w14:textId="77777777" w:rsidR="00183158" w:rsidRPr="00D26611" w:rsidRDefault="0073609B"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К3.И2: </w:t>
            </w:r>
          </w:p>
          <w:p w14:paraId="148FB8F4" w14:textId="79E81867"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Инвестиция 2.2.б — Гаранционен инструмент за енергийна ефективност и възобновяема енергия</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68B735BD" w14:textId="77777777"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Ключов етап</w:t>
            </w:r>
          </w:p>
        </w:tc>
        <w:tc>
          <w:tcPr>
            <w:tcW w:w="1785" w:type="dxa"/>
            <w:tcBorders>
              <w:top w:val="single" w:sz="4" w:space="0" w:color="auto"/>
              <w:left w:val="nil"/>
              <w:bottom w:val="single" w:sz="4" w:space="0" w:color="auto"/>
              <w:right w:val="single" w:sz="4" w:space="0" w:color="auto"/>
            </w:tcBorders>
            <w:shd w:val="clear" w:color="auto" w:fill="C6EFCE"/>
            <w:noWrap/>
            <w:vAlign w:val="center"/>
          </w:tcPr>
          <w:p w14:paraId="57959057" w14:textId="77777777"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Сключване на споразумение за финансов принос между Европейската комисия и правителството на Република България</w:t>
            </w:r>
          </w:p>
        </w:tc>
        <w:tc>
          <w:tcPr>
            <w:tcW w:w="1587" w:type="dxa"/>
            <w:tcBorders>
              <w:top w:val="single" w:sz="4" w:space="0" w:color="auto"/>
              <w:left w:val="nil"/>
              <w:bottom w:val="single" w:sz="4" w:space="0" w:color="auto"/>
              <w:right w:val="single" w:sz="4" w:space="0" w:color="auto"/>
            </w:tcBorders>
            <w:shd w:val="clear" w:color="auto" w:fill="C6EFCE"/>
            <w:noWrap/>
            <w:vAlign w:val="center"/>
          </w:tcPr>
          <w:p w14:paraId="1FCF3D0A" w14:textId="77777777"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Подписано споразумение</w:t>
            </w:r>
          </w:p>
        </w:tc>
        <w:tc>
          <w:tcPr>
            <w:tcW w:w="1301" w:type="dxa"/>
            <w:tcBorders>
              <w:top w:val="single" w:sz="4" w:space="0" w:color="auto"/>
              <w:left w:val="nil"/>
              <w:bottom w:val="single" w:sz="4" w:space="0" w:color="auto"/>
              <w:right w:val="single" w:sz="4" w:space="0" w:color="auto"/>
            </w:tcBorders>
            <w:shd w:val="clear" w:color="auto" w:fill="C6EFCE"/>
            <w:noWrap/>
            <w:vAlign w:val="center"/>
          </w:tcPr>
          <w:p w14:paraId="6C655D88" w14:textId="77777777" w:rsidR="007D338F" w:rsidRPr="00D26611" w:rsidRDefault="007D338F" w:rsidP="00C937A7">
            <w:pPr>
              <w:spacing w:after="0" w:line="240" w:lineRule="auto"/>
              <w:rPr>
                <w:rFonts w:ascii="Times New Roman" w:hAnsi="Times New Roman" w:cs="Times New Roman"/>
                <w:noProof/>
                <w:color w:val="006100"/>
                <w:sz w:val="20"/>
                <w:szCs w:val="20"/>
                <w:lang w:val="en-US"/>
              </w:rPr>
            </w:pP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07C20D64" w14:textId="77777777" w:rsidR="007D338F" w:rsidRPr="00D26611" w:rsidRDefault="007D338F" w:rsidP="00C937A7">
            <w:pPr>
              <w:spacing w:after="0" w:line="240" w:lineRule="auto"/>
              <w:rPr>
                <w:rFonts w:ascii="Times New Roman" w:hAnsi="Times New Roman" w:cs="Times New Roman"/>
                <w:noProof/>
                <w:color w:val="006100"/>
                <w:sz w:val="20"/>
                <w:szCs w:val="20"/>
                <w:lang w:val="en-US"/>
              </w:rPr>
            </w:pPr>
          </w:p>
        </w:tc>
        <w:tc>
          <w:tcPr>
            <w:tcW w:w="851" w:type="dxa"/>
            <w:tcBorders>
              <w:top w:val="single" w:sz="4" w:space="0" w:color="auto"/>
              <w:left w:val="nil"/>
              <w:bottom w:val="single" w:sz="4" w:space="0" w:color="auto"/>
              <w:right w:val="single" w:sz="4" w:space="0" w:color="auto"/>
            </w:tcBorders>
            <w:shd w:val="clear" w:color="auto" w:fill="C6EFCE"/>
            <w:noWrap/>
            <w:vAlign w:val="center"/>
          </w:tcPr>
          <w:p w14:paraId="3A8866DB" w14:textId="77777777" w:rsidR="007D338F" w:rsidRPr="00D26611" w:rsidRDefault="007D338F" w:rsidP="00C937A7">
            <w:pPr>
              <w:spacing w:after="0" w:line="240" w:lineRule="auto"/>
              <w:rPr>
                <w:rFonts w:ascii="Times New Roman" w:hAnsi="Times New Roman" w:cs="Times New Roman"/>
                <w:noProof/>
                <w:color w:val="006100"/>
                <w:sz w:val="20"/>
                <w:szCs w:val="20"/>
                <w:lang w:val="en-US"/>
              </w:rPr>
            </w:pP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1DDEBBDF" w14:textId="77777777" w:rsidR="007D338F" w:rsidRPr="00D26611" w:rsidRDefault="007D338F" w:rsidP="00C937A7">
            <w:pPr>
              <w:spacing w:after="0" w:line="240" w:lineRule="auto"/>
              <w:jc w:val="center"/>
              <w:rPr>
                <w:rFonts w:ascii="Times New Roman" w:hAnsi="Times New Roman" w:cs="Times New Roman"/>
                <w:noProof/>
                <w:color w:val="006100"/>
                <w:sz w:val="20"/>
                <w:szCs w:val="20"/>
              </w:rPr>
            </w:pPr>
            <w:r>
              <w:rPr>
                <w:rFonts w:ascii="Times New Roman" w:hAnsi="Times New Roman"/>
                <w:noProof/>
                <w:color w:val="006100"/>
                <w:sz w:val="20"/>
              </w:rPr>
              <w:t>T3</w:t>
            </w: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04DA2B76" w14:textId="77777777" w:rsidR="007D338F" w:rsidRPr="00D26611" w:rsidRDefault="007D338F" w:rsidP="00C937A7">
            <w:pPr>
              <w:spacing w:after="0" w:line="240" w:lineRule="auto"/>
              <w:jc w:val="center"/>
              <w:rPr>
                <w:rFonts w:ascii="Times New Roman" w:hAnsi="Times New Roman" w:cs="Times New Roman"/>
                <w:noProof/>
                <w:color w:val="006100"/>
                <w:sz w:val="20"/>
                <w:szCs w:val="20"/>
              </w:rPr>
            </w:pPr>
            <w:r>
              <w:rPr>
                <w:rFonts w:ascii="Times New Roman" w:hAnsi="Times New Roman"/>
                <w:noProof/>
                <w:color w:val="006100"/>
                <w:sz w:val="20"/>
              </w:rPr>
              <w:t>2022</w:t>
            </w:r>
          </w:p>
        </w:tc>
        <w:tc>
          <w:tcPr>
            <w:tcW w:w="3543" w:type="dxa"/>
            <w:tcBorders>
              <w:top w:val="single" w:sz="4" w:space="0" w:color="auto"/>
              <w:left w:val="nil"/>
              <w:bottom w:val="single" w:sz="4" w:space="0" w:color="auto"/>
              <w:right w:val="single" w:sz="4" w:space="0" w:color="auto"/>
            </w:tcBorders>
            <w:shd w:val="clear" w:color="auto" w:fill="C6EFCE"/>
            <w:noWrap/>
            <w:vAlign w:val="center"/>
          </w:tcPr>
          <w:p w14:paraId="40C2125A" w14:textId="6CAF3AFC"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Споразумението за финансово участие между Европейската комисия и правителството на Република България:</w:t>
            </w:r>
          </w:p>
          <w:p w14:paraId="1DB0595B" w14:textId="77777777" w:rsidR="00DD1B5F" w:rsidRPr="006A1C53" w:rsidRDefault="00DD1B5F" w:rsidP="006A1C53">
            <w:pPr>
              <w:pStyle w:val="ListParagraph"/>
              <w:numPr>
                <w:ilvl w:val="0"/>
                <w:numId w:val="67"/>
              </w:numPr>
              <w:spacing w:after="0" w:line="240" w:lineRule="auto"/>
              <w:ind w:left="360"/>
              <w:rPr>
                <w:rFonts w:ascii="Times New Roman" w:hAnsi="Times New Roman" w:cs="Times New Roman"/>
                <w:noProof/>
                <w:color w:val="006100"/>
                <w:sz w:val="20"/>
                <w:szCs w:val="20"/>
              </w:rPr>
            </w:pPr>
            <w:r>
              <w:rPr>
                <w:rFonts w:ascii="Times New Roman" w:hAnsi="Times New Roman"/>
                <w:noProof/>
                <w:color w:val="006100"/>
                <w:sz w:val="20"/>
              </w:rPr>
              <w:t xml:space="preserve">ще изиска прилагане на техническите насоки на Комисията относно проверката на устойчивостта на фонд InvestEU; </w:t>
            </w:r>
          </w:p>
          <w:p w14:paraId="1160C22A" w14:textId="77777777" w:rsidR="00DD1B5F" w:rsidRPr="006A1C53" w:rsidRDefault="00DD1B5F" w:rsidP="006A1C53">
            <w:pPr>
              <w:pStyle w:val="ListParagraph"/>
              <w:numPr>
                <w:ilvl w:val="0"/>
                <w:numId w:val="67"/>
              </w:numPr>
              <w:spacing w:after="0" w:line="240" w:lineRule="auto"/>
              <w:ind w:left="360"/>
              <w:rPr>
                <w:rFonts w:ascii="Times New Roman" w:hAnsi="Times New Roman" w:cs="Times New Roman"/>
                <w:noProof/>
                <w:color w:val="006100"/>
                <w:sz w:val="20"/>
                <w:szCs w:val="20"/>
              </w:rPr>
            </w:pPr>
            <w:r>
              <w:rPr>
                <w:rFonts w:ascii="Times New Roman" w:hAnsi="Times New Roman"/>
                <w:noProof/>
                <w:color w:val="006100"/>
                <w:sz w:val="20"/>
              </w:rPr>
              <w:t>ще изключи от допустимостта дейностите и активите от посочения в описанието на мярката списък на изключените дейности/активи;</w:t>
            </w:r>
          </w:p>
          <w:p w14:paraId="0C10F9AA" w14:textId="77777777" w:rsidR="00DD1B5F" w:rsidRPr="006A1C53" w:rsidRDefault="00DD1B5F" w:rsidP="006A1C53">
            <w:pPr>
              <w:pStyle w:val="ListParagraph"/>
              <w:numPr>
                <w:ilvl w:val="0"/>
                <w:numId w:val="67"/>
              </w:numPr>
              <w:spacing w:after="0" w:line="240" w:lineRule="auto"/>
              <w:ind w:left="360"/>
              <w:rPr>
                <w:rFonts w:ascii="Times New Roman" w:hAnsi="Times New Roman" w:cs="Times New Roman"/>
                <w:noProof/>
                <w:color w:val="006100"/>
                <w:sz w:val="20"/>
                <w:szCs w:val="20"/>
              </w:rPr>
            </w:pPr>
            <w:r>
              <w:rPr>
                <w:rFonts w:ascii="Times New Roman" w:hAnsi="Times New Roman"/>
                <w:noProof/>
                <w:color w:val="006100"/>
                <w:sz w:val="20"/>
              </w:rPr>
              <w:t>ще включи критерии с оглед на спазването от финансовия инструмент на указанията на Комисията от 22 януари 2021 г. относно финансовите инструменти (SWD(2021) 12 final).</w:t>
            </w:r>
          </w:p>
          <w:p w14:paraId="04E0C84F" w14:textId="01D97874"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Предложеният инструмент ще бъде прилаган след вноска към InvestEU, поради което букви а) и б) по-горе ще се изпълняват чрез прилагане на разпоредбите на InvestEU, както и на политиката на избрания партньор по прилагането за отпускане на заеми и неговите критерии за изключване. В гаранционното споразумение между Европейската комисия и Европейския инвестиционен фонд (ЕИФ) ще се посочат допълнителните активи и дейности, в т.ч. във връзка с отпадъците, изключени с оглед на спазването на техническите насоки „Ненанасяне на значителни вреди“ (2021/C58/01). Финансовият инструмент ще е под формата на портфейлна гаранция;</w:t>
            </w:r>
          </w:p>
          <w:p w14:paraId="3E71273C" w14:textId="77777777" w:rsidR="007D338F" w:rsidRPr="008A0F8A" w:rsidRDefault="007D338F" w:rsidP="00C937A7">
            <w:pPr>
              <w:spacing w:after="0" w:line="240" w:lineRule="auto"/>
              <w:rPr>
                <w:rFonts w:ascii="Times New Roman" w:hAnsi="Times New Roman" w:cs="Times New Roman"/>
                <w:noProof/>
                <w:color w:val="006100"/>
                <w:sz w:val="20"/>
                <w:szCs w:val="20"/>
                <w:lang w:val="ru-RU"/>
              </w:rPr>
            </w:pPr>
          </w:p>
          <w:p w14:paraId="15FB0CE7" w14:textId="5365D59E"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той ще се прилага от ЕИФ и чрез оборотен капитал, в т.ч. револвиращи кредитни линии, инвестиционни заеми или лизинг ще предоставя финансиране и инвестиции на МСП, малки дружества със средна пазарна капитализация и физически лица за подобряване на енергийната ефективност и използване на енергия от възобновяеми източници. Подпомаганите сектори ще бъдат определени след подробна оценка на пазара. </w:t>
            </w:r>
          </w:p>
          <w:p w14:paraId="5B2AC72B" w14:textId="77777777" w:rsidR="007D338F" w:rsidRPr="008A0F8A" w:rsidRDefault="007D338F" w:rsidP="00C937A7">
            <w:pPr>
              <w:spacing w:after="0" w:line="240" w:lineRule="auto"/>
              <w:rPr>
                <w:rFonts w:ascii="Times New Roman" w:hAnsi="Times New Roman" w:cs="Times New Roman"/>
                <w:noProof/>
                <w:color w:val="006100"/>
                <w:sz w:val="20"/>
                <w:szCs w:val="20"/>
                <w:lang w:val="ru-RU"/>
              </w:rPr>
            </w:pPr>
          </w:p>
          <w:p w14:paraId="1327A0E1" w14:textId="79B40AA3" w:rsidR="007D338F" w:rsidRPr="00D26611" w:rsidRDefault="00E0423D"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Очаква се инструментът да подпомогне най-малко 450 бенефициери. </w:t>
            </w:r>
          </w:p>
          <w:p w14:paraId="72538C8F" w14:textId="77777777" w:rsidR="007D338F" w:rsidRPr="008A0F8A" w:rsidRDefault="007D338F" w:rsidP="00C937A7">
            <w:pPr>
              <w:spacing w:after="0" w:line="240" w:lineRule="auto"/>
              <w:rPr>
                <w:rFonts w:ascii="Times New Roman" w:hAnsi="Times New Roman" w:cs="Times New Roman"/>
                <w:noProof/>
                <w:color w:val="006100"/>
                <w:sz w:val="20"/>
                <w:szCs w:val="20"/>
                <w:lang w:val="ru-RU"/>
              </w:rPr>
            </w:pPr>
          </w:p>
          <w:p w14:paraId="0A444C54" w14:textId="77777777"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Общото финансиране по МВУ за инструмента ще е най-малко 75 млн. евро. </w:t>
            </w:r>
          </w:p>
          <w:p w14:paraId="7930E816" w14:textId="77777777" w:rsidR="007D338F" w:rsidRPr="008A0F8A" w:rsidRDefault="007D338F" w:rsidP="00C937A7">
            <w:pPr>
              <w:spacing w:after="0" w:line="240" w:lineRule="auto"/>
              <w:rPr>
                <w:rFonts w:ascii="Times New Roman" w:hAnsi="Times New Roman" w:cs="Times New Roman"/>
                <w:noProof/>
                <w:color w:val="006100"/>
                <w:sz w:val="20"/>
                <w:szCs w:val="20"/>
                <w:lang w:val="ru-RU"/>
              </w:rPr>
            </w:pPr>
          </w:p>
          <w:p w14:paraId="64448F53" w14:textId="48E8F1EB" w:rsidR="007D338F" w:rsidRPr="00D26611" w:rsidRDefault="005B71FC"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Структурата на инструмента ще позволява набиране на частни средства. </w:t>
            </w:r>
          </w:p>
          <w:p w14:paraId="353B3C65" w14:textId="77777777" w:rsidR="007D338F" w:rsidRPr="008A0F8A" w:rsidRDefault="007D338F" w:rsidP="00C937A7">
            <w:pPr>
              <w:spacing w:after="0" w:line="240" w:lineRule="auto"/>
              <w:rPr>
                <w:rFonts w:ascii="Times New Roman" w:hAnsi="Times New Roman" w:cs="Times New Roman"/>
                <w:noProof/>
                <w:color w:val="006100"/>
                <w:sz w:val="20"/>
                <w:szCs w:val="20"/>
                <w:lang w:val="ru-RU"/>
              </w:rPr>
            </w:pPr>
          </w:p>
          <w:p w14:paraId="3C88AEFB" w14:textId="3ABE45FF"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Всички приходи за финансовия инструмент, включително от погасяванията, както и печалбата от използването на средствата по МВУ, минус възнаграждението на управителя на фонда и финансовите посредници, ще се използват за същите цели на политиката, включително след 2026 г.</w:t>
            </w:r>
          </w:p>
        </w:tc>
      </w:tr>
      <w:tr w:rsidR="005A12E7" w:rsidRPr="005241FC" w14:paraId="4BEF9002" w14:textId="77777777" w:rsidTr="008E16C0">
        <w:trPr>
          <w:trHeight w:val="307"/>
        </w:trPr>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AF35AF1" w14:textId="798A2E70" w:rsidR="007D338F" w:rsidRPr="00D26611" w:rsidRDefault="00DE4AB0" w:rsidP="00C937A7">
            <w:pPr>
              <w:spacing w:after="0" w:line="240" w:lineRule="auto"/>
              <w:jc w:val="center"/>
              <w:rPr>
                <w:rFonts w:ascii="Times New Roman" w:hAnsi="Times New Roman" w:cs="Times New Roman"/>
                <w:noProof/>
                <w:color w:val="006100"/>
                <w:sz w:val="20"/>
                <w:szCs w:val="20"/>
              </w:rPr>
            </w:pPr>
            <w:r>
              <w:rPr>
                <w:rFonts w:ascii="Times New Roman" w:hAnsi="Times New Roman"/>
                <w:noProof/>
                <w:color w:val="006100"/>
                <w:sz w:val="20"/>
              </w:rPr>
              <w:t>57</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2D31E82B" w14:textId="77777777" w:rsidR="00183158" w:rsidRPr="00D26611" w:rsidRDefault="0073609B"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К3.И2: </w:t>
            </w:r>
          </w:p>
          <w:p w14:paraId="24F4911D" w14:textId="618E5A7A"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Инвестиция 2.2.б — Гаранционен инструмент за енергийна ефективност и възобновяема енергия</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556FDCE7" w14:textId="77777777"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Цел </w:t>
            </w:r>
          </w:p>
        </w:tc>
        <w:tc>
          <w:tcPr>
            <w:tcW w:w="1785" w:type="dxa"/>
            <w:tcBorders>
              <w:top w:val="single" w:sz="4" w:space="0" w:color="auto"/>
              <w:left w:val="nil"/>
              <w:bottom w:val="single" w:sz="4" w:space="0" w:color="auto"/>
              <w:right w:val="single" w:sz="4" w:space="0" w:color="auto"/>
            </w:tcBorders>
            <w:shd w:val="clear" w:color="auto" w:fill="C6EFCE"/>
            <w:noWrap/>
            <w:vAlign w:val="center"/>
          </w:tcPr>
          <w:p w14:paraId="3F7A5BD1" w14:textId="77777777"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Операции в размер най-малко на 50 % от общия размер на средствата, разпределени за инструмента, одобрени от инвестиционния комитет на InvestEU</w:t>
            </w:r>
          </w:p>
        </w:tc>
        <w:tc>
          <w:tcPr>
            <w:tcW w:w="1587" w:type="dxa"/>
            <w:tcBorders>
              <w:top w:val="single" w:sz="4" w:space="0" w:color="auto"/>
              <w:left w:val="nil"/>
              <w:bottom w:val="single" w:sz="4" w:space="0" w:color="auto"/>
              <w:right w:val="single" w:sz="4" w:space="0" w:color="auto"/>
            </w:tcBorders>
            <w:shd w:val="clear" w:color="auto" w:fill="C6EFCE"/>
            <w:noWrap/>
            <w:vAlign w:val="center"/>
          </w:tcPr>
          <w:p w14:paraId="542128DB" w14:textId="77777777" w:rsidR="007D338F" w:rsidRPr="008A0F8A" w:rsidRDefault="007D338F" w:rsidP="00C937A7">
            <w:pPr>
              <w:spacing w:after="0" w:line="240" w:lineRule="auto"/>
              <w:rPr>
                <w:rFonts w:ascii="Times New Roman" w:hAnsi="Times New Roman" w:cs="Times New Roman"/>
                <w:noProof/>
                <w:color w:val="006100"/>
                <w:sz w:val="20"/>
                <w:szCs w:val="20"/>
                <w:lang w:val="ru-RU"/>
              </w:rPr>
            </w:pPr>
          </w:p>
        </w:tc>
        <w:tc>
          <w:tcPr>
            <w:tcW w:w="1301" w:type="dxa"/>
            <w:tcBorders>
              <w:top w:val="single" w:sz="4" w:space="0" w:color="auto"/>
              <w:left w:val="nil"/>
              <w:bottom w:val="single" w:sz="4" w:space="0" w:color="auto"/>
              <w:right w:val="single" w:sz="4" w:space="0" w:color="auto"/>
            </w:tcBorders>
            <w:shd w:val="clear" w:color="auto" w:fill="C6EFCE"/>
            <w:noWrap/>
            <w:vAlign w:val="center"/>
          </w:tcPr>
          <w:p w14:paraId="172941C9" w14:textId="77777777"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(процент)</w:t>
            </w: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24CD88E6" w14:textId="77777777"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0</w:t>
            </w:r>
          </w:p>
        </w:tc>
        <w:tc>
          <w:tcPr>
            <w:tcW w:w="851" w:type="dxa"/>
            <w:tcBorders>
              <w:top w:val="single" w:sz="4" w:space="0" w:color="auto"/>
              <w:left w:val="nil"/>
              <w:bottom w:val="single" w:sz="4" w:space="0" w:color="auto"/>
              <w:right w:val="single" w:sz="4" w:space="0" w:color="auto"/>
            </w:tcBorders>
            <w:shd w:val="clear" w:color="auto" w:fill="C6EFCE"/>
            <w:noWrap/>
            <w:vAlign w:val="center"/>
          </w:tcPr>
          <w:p w14:paraId="7C09A0F7" w14:textId="77777777"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50</w:t>
            </w: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18711387" w14:textId="77777777" w:rsidR="007D338F" w:rsidRPr="00D26611" w:rsidRDefault="007D338F" w:rsidP="00C937A7">
            <w:pPr>
              <w:spacing w:after="0" w:line="240" w:lineRule="auto"/>
              <w:jc w:val="center"/>
              <w:rPr>
                <w:rFonts w:ascii="Times New Roman" w:hAnsi="Times New Roman" w:cs="Times New Roman"/>
                <w:noProof/>
                <w:color w:val="006100"/>
                <w:sz w:val="20"/>
                <w:szCs w:val="20"/>
              </w:rPr>
            </w:pPr>
            <w:r>
              <w:rPr>
                <w:rFonts w:ascii="Times New Roman" w:hAnsi="Times New Roman"/>
                <w:noProof/>
                <w:color w:val="006100"/>
                <w:sz w:val="20"/>
              </w:rPr>
              <w:t>T4</w:t>
            </w: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4506D5D2" w14:textId="77777777" w:rsidR="007D338F" w:rsidRPr="00D26611" w:rsidRDefault="007D338F" w:rsidP="00C937A7">
            <w:pPr>
              <w:spacing w:after="0" w:line="240" w:lineRule="auto"/>
              <w:jc w:val="center"/>
              <w:rPr>
                <w:rFonts w:ascii="Times New Roman" w:hAnsi="Times New Roman" w:cs="Times New Roman"/>
                <w:noProof/>
                <w:color w:val="006100"/>
                <w:sz w:val="20"/>
                <w:szCs w:val="20"/>
              </w:rPr>
            </w:pPr>
            <w:r>
              <w:rPr>
                <w:rFonts w:ascii="Times New Roman" w:hAnsi="Times New Roman"/>
                <w:noProof/>
                <w:color w:val="006100"/>
                <w:sz w:val="20"/>
              </w:rPr>
              <w:t>2023</w:t>
            </w:r>
          </w:p>
        </w:tc>
        <w:tc>
          <w:tcPr>
            <w:tcW w:w="3543" w:type="dxa"/>
            <w:tcBorders>
              <w:top w:val="single" w:sz="4" w:space="0" w:color="auto"/>
              <w:left w:val="nil"/>
              <w:bottom w:val="single" w:sz="4" w:space="0" w:color="auto"/>
              <w:right w:val="single" w:sz="4" w:space="0" w:color="auto"/>
            </w:tcBorders>
            <w:shd w:val="clear" w:color="auto" w:fill="C6EFCE"/>
            <w:noWrap/>
            <w:vAlign w:val="center"/>
          </w:tcPr>
          <w:p w14:paraId="342A0ADD" w14:textId="752E21EC" w:rsidR="007D338F" w:rsidRPr="00D26611" w:rsidRDefault="007D338F" w:rsidP="009D1C38">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Одобрени от инвестиционния комитет на InvestEU, в съответствие с посочените в ключов етап 56 изисквания, операции по финансиране или инвестиране в размер най-малко на 50 % от предвидената за България гаранция от ЕС в раздел „Държави членки“, без свързаните разходи и такси. </w:t>
            </w:r>
          </w:p>
        </w:tc>
      </w:tr>
      <w:tr w:rsidR="005A12E7" w:rsidRPr="005241FC" w14:paraId="40DE93B2" w14:textId="77777777" w:rsidTr="008E16C0">
        <w:trPr>
          <w:trHeight w:val="307"/>
        </w:trPr>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07480C2" w14:textId="4E2770EE" w:rsidR="007D338F" w:rsidRPr="00D26611" w:rsidRDefault="00DE4AB0" w:rsidP="00C937A7">
            <w:pPr>
              <w:spacing w:after="0" w:line="240" w:lineRule="auto"/>
              <w:jc w:val="center"/>
              <w:rPr>
                <w:rFonts w:ascii="Times New Roman" w:hAnsi="Times New Roman" w:cs="Times New Roman"/>
                <w:noProof/>
                <w:color w:val="006100"/>
                <w:sz w:val="20"/>
                <w:szCs w:val="20"/>
              </w:rPr>
            </w:pPr>
            <w:r>
              <w:rPr>
                <w:rFonts w:ascii="Times New Roman" w:hAnsi="Times New Roman"/>
                <w:noProof/>
                <w:color w:val="006100"/>
                <w:sz w:val="20"/>
              </w:rPr>
              <w:t>58</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05685DBD" w14:textId="77777777" w:rsidR="00183158" w:rsidRPr="00D26611" w:rsidRDefault="0073609B"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К3.И2: </w:t>
            </w:r>
          </w:p>
          <w:p w14:paraId="507C58C2" w14:textId="4061DD02"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Инвестиция 2.2.б — Гаранционен инструмент за енергийна ефективност и възобновяема енергия</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4D65F2DA" w14:textId="77777777"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Цел </w:t>
            </w:r>
          </w:p>
        </w:tc>
        <w:tc>
          <w:tcPr>
            <w:tcW w:w="1785" w:type="dxa"/>
            <w:tcBorders>
              <w:top w:val="single" w:sz="4" w:space="0" w:color="auto"/>
              <w:left w:val="nil"/>
              <w:bottom w:val="single" w:sz="4" w:space="0" w:color="auto"/>
              <w:right w:val="single" w:sz="4" w:space="0" w:color="auto"/>
            </w:tcBorders>
            <w:shd w:val="clear" w:color="auto" w:fill="C6EFCE"/>
            <w:noWrap/>
            <w:vAlign w:val="center"/>
          </w:tcPr>
          <w:p w14:paraId="5B227002" w14:textId="77777777"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Финансови или инвестиционни операции в размер най-малко на 100 % от общия размер на средствата, разпределени за инструмента, одобрени от инвестиционния комитет на InvestEU</w:t>
            </w:r>
          </w:p>
        </w:tc>
        <w:tc>
          <w:tcPr>
            <w:tcW w:w="1587" w:type="dxa"/>
            <w:tcBorders>
              <w:top w:val="single" w:sz="4" w:space="0" w:color="auto"/>
              <w:left w:val="nil"/>
              <w:bottom w:val="single" w:sz="4" w:space="0" w:color="auto"/>
              <w:right w:val="single" w:sz="4" w:space="0" w:color="auto"/>
            </w:tcBorders>
            <w:shd w:val="clear" w:color="auto" w:fill="C6EFCE"/>
            <w:noWrap/>
            <w:vAlign w:val="center"/>
          </w:tcPr>
          <w:p w14:paraId="532FDC42" w14:textId="77777777" w:rsidR="007D338F" w:rsidRPr="008A0F8A" w:rsidRDefault="007D338F" w:rsidP="00C937A7">
            <w:pPr>
              <w:spacing w:after="0" w:line="240" w:lineRule="auto"/>
              <w:rPr>
                <w:rFonts w:ascii="Times New Roman" w:hAnsi="Times New Roman" w:cs="Times New Roman"/>
                <w:noProof/>
                <w:color w:val="006100"/>
                <w:sz w:val="20"/>
                <w:szCs w:val="20"/>
                <w:lang w:val="ru-RU"/>
              </w:rPr>
            </w:pPr>
          </w:p>
        </w:tc>
        <w:tc>
          <w:tcPr>
            <w:tcW w:w="1301" w:type="dxa"/>
            <w:tcBorders>
              <w:top w:val="single" w:sz="4" w:space="0" w:color="auto"/>
              <w:left w:val="nil"/>
              <w:bottom w:val="single" w:sz="4" w:space="0" w:color="auto"/>
              <w:right w:val="single" w:sz="4" w:space="0" w:color="auto"/>
            </w:tcBorders>
            <w:shd w:val="clear" w:color="auto" w:fill="C6EFCE"/>
            <w:noWrap/>
            <w:vAlign w:val="center"/>
          </w:tcPr>
          <w:p w14:paraId="6E21C084" w14:textId="77777777"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(процент)</w:t>
            </w: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1FE3816A" w14:textId="77777777"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50</w:t>
            </w:r>
          </w:p>
        </w:tc>
        <w:tc>
          <w:tcPr>
            <w:tcW w:w="851" w:type="dxa"/>
            <w:tcBorders>
              <w:top w:val="single" w:sz="4" w:space="0" w:color="auto"/>
              <w:left w:val="nil"/>
              <w:bottom w:val="single" w:sz="4" w:space="0" w:color="auto"/>
              <w:right w:val="single" w:sz="4" w:space="0" w:color="auto"/>
            </w:tcBorders>
            <w:shd w:val="clear" w:color="auto" w:fill="C6EFCE"/>
            <w:noWrap/>
            <w:vAlign w:val="center"/>
          </w:tcPr>
          <w:p w14:paraId="75E883EA" w14:textId="77777777"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100</w:t>
            </w: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7419A1FD" w14:textId="77777777" w:rsidR="007D338F" w:rsidRPr="00D26611" w:rsidRDefault="007D338F" w:rsidP="00C937A7">
            <w:pPr>
              <w:spacing w:after="0" w:line="240" w:lineRule="auto"/>
              <w:jc w:val="center"/>
              <w:rPr>
                <w:rFonts w:ascii="Times New Roman" w:hAnsi="Times New Roman" w:cs="Times New Roman"/>
                <w:noProof/>
                <w:color w:val="006100"/>
                <w:sz w:val="20"/>
                <w:szCs w:val="20"/>
              </w:rPr>
            </w:pPr>
            <w:r>
              <w:rPr>
                <w:rFonts w:ascii="Times New Roman" w:hAnsi="Times New Roman"/>
                <w:noProof/>
                <w:color w:val="006100"/>
                <w:sz w:val="20"/>
              </w:rPr>
              <w:t>T4</w:t>
            </w: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16685C07" w14:textId="77777777" w:rsidR="007D338F" w:rsidRPr="00D26611" w:rsidRDefault="007D338F" w:rsidP="00C937A7">
            <w:pPr>
              <w:spacing w:after="0" w:line="240" w:lineRule="auto"/>
              <w:jc w:val="center"/>
              <w:rPr>
                <w:rFonts w:ascii="Times New Roman" w:hAnsi="Times New Roman" w:cs="Times New Roman"/>
                <w:noProof/>
                <w:color w:val="006100"/>
                <w:sz w:val="20"/>
                <w:szCs w:val="20"/>
              </w:rPr>
            </w:pPr>
            <w:r>
              <w:rPr>
                <w:rFonts w:ascii="Times New Roman" w:hAnsi="Times New Roman"/>
                <w:noProof/>
                <w:color w:val="006100"/>
                <w:sz w:val="20"/>
              </w:rPr>
              <w:t>2024</w:t>
            </w:r>
          </w:p>
        </w:tc>
        <w:tc>
          <w:tcPr>
            <w:tcW w:w="3543" w:type="dxa"/>
            <w:tcBorders>
              <w:top w:val="single" w:sz="4" w:space="0" w:color="auto"/>
              <w:left w:val="nil"/>
              <w:bottom w:val="single" w:sz="4" w:space="0" w:color="auto"/>
              <w:right w:val="single" w:sz="4" w:space="0" w:color="auto"/>
            </w:tcBorders>
            <w:shd w:val="clear" w:color="auto" w:fill="C6EFCE"/>
            <w:noWrap/>
            <w:vAlign w:val="center"/>
          </w:tcPr>
          <w:p w14:paraId="3C9F286C" w14:textId="490566CA" w:rsidR="007D338F" w:rsidRPr="00D26611" w:rsidRDefault="007D338F" w:rsidP="009D1C38">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Одобрени от инвестиционния комитет на InvestEU, в съответствие с посочените в ключов етап 56 изисквания, операции по финансиране или инвестиране в размер на 100 % от предвидената за България гаранция от ЕС в раздел „Държави членки“, без свързаните разходи и такси.</w:t>
            </w:r>
          </w:p>
        </w:tc>
      </w:tr>
      <w:tr w:rsidR="005A12E7" w:rsidRPr="005241FC" w14:paraId="7F15479E" w14:textId="77777777" w:rsidTr="008E16C0">
        <w:trPr>
          <w:trHeight w:val="307"/>
        </w:trPr>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5D4F30C" w14:textId="170E5ACE" w:rsidR="007D338F" w:rsidRPr="00D26611" w:rsidRDefault="00DE4AB0" w:rsidP="00C937A7">
            <w:pPr>
              <w:spacing w:after="0" w:line="240" w:lineRule="auto"/>
              <w:jc w:val="center"/>
              <w:rPr>
                <w:rFonts w:ascii="Times New Roman" w:hAnsi="Times New Roman" w:cs="Times New Roman"/>
                <w:noProof/>
                <w:color w:val="006100"/>
                <w:sz w:val="20"/>
                <w:szCs w:val="20"/>
              </w:rPr>
            </w:pPr>
            <w:r>
              <w:rPr>
                <w:rFonts w:ascii="Times New Roman" w:hAnsi="Times New Roman"/>
                <w:noProof/>
                <w:color w:val="006100"/>
                <w:sz w:val="20"/>
              </w:rPr>
              <w:t>59</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0D136874" w14:textId="77777777" w:rsidR="00183158" w:rsidRPr="00D26611" w:rsidRDefault="0073609B"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К3.И2: </w:t>
            </w:r>
          </w:p>
          <w:p w14:paraId="457CF5F7" w14:textId="7A35E339" w:rsidR="007D338F" w:rsidRPr="00D26611" w:rsidRDefault="007D338F" w:rsidP="00F0579C">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Инвестиция 2.2.в — Схема за безвъзмездни средства за подпомагане на предприятията в прехода към кръгова икономика</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65F4E011" w14:textId="77777777"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Ключов етап</w:t>
            </w:r>
          </w:p>
        </w:tc>
        <w:tc>
          <w:tcPr>
            <w:tcW w:w="1785" w:type="dxa"/>
            <w:tcBorders>
              <w:top w:val="single" w:sz="4" w:space="0" w:color="auto"/>
              <w:left w:val="nil"/>
              <w:bottom w:val="single" w:sz="4" w:space="0" w:color="auto"/>
              <w:right w:val="single" w:sz="4" w:space="0" w:color="auto"/>
            </w:tcBorders>
            <w:shd w:val="clear" w:color="auto" w:fill="C6EFCE"/>
            <w:noWrap/>
            <w:vAlign w:val="center"/>
          </w:tcPr>
          <w:p w14:paraId="7E44D61F" w14:textId="77777777"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Приключили процедури за подбор</w:t>
            </w:r>
          </w:p>
          <w:p w14:paraId="31D75D52" w14:textId="77777777" w:rsidR="007D338F" w:rsidRPr="00D26611" w:rsidRDefault="007D338F" w:rsidP="00C937A7">
            <w:pPr>
              <w:spacing w:after="0" w:line="240" w:lineRule="auto"/>
              <w:rPr>
                <w:rFonts w:ascii="Times New Roman" w:hAnsi="Times New Roman" w:cs="Times New Roman"/>
                <w:noProof/>
                <w:color w:val="006100"/>
                <w:sz w:val="20"/>
                <w:szCs w:val="20"/>
                <w:lang w:val="en-US"/>
              </w:rPr>
            </w:pPr>
          </w:p>
        </w:tc>
        <w:tc>
          <w:tcPr>
            <w:tcW w:w="1587" w:type="dxa"/>
            <w:tcBorders>
              <w:top w:val="single" w:sz="4" w:space="0" w:color="auto"/>
              <w:left w:val="nil"/>
              <w:bottom w:val="single" w:sz="4" w:space="0" w:color="auto"/>
              <w:right w:val="single" w:sz="4" w:space="0" w:color="auto"/>
            </w:tcBorders>
            <w:shd w:val="clear" w:color="auto" w:fill="C6EFCE"/>
            <w:noWrap/>
            <w:vAlign w:val="center"/>
          </w:tcPr>
          <w:p w14:paraId="2E23E895" w14:textId="77777777" w:rsidR="007D338F" w:rsidRPr="008A0F8A" w:rsidRDefault="007D338F" w:rsidP="00C937A7">
            <w:pPr>
              <w:spacing w:after="0" w:line="240" w:lineRule="auto"/>
              <w:rPr>
                <w:rFonts w:ascii="Times New Roman" w:hAnsi="Times New Roman" w:cs="Times New Roman"/>
                <w:noProof/>
                <w:color w:val="006100"/>
                <w:sz w:val="20"/>
                <w:szCs w:val="20"/>
                <w:lang w:val="ru-RU"/>
              </w:rPr>
            </w:pPr>
          </w:p>
          <w:p w14:paraId="6AA3C194" w14:textId="77777777" w:rsidR="00535164" w:rsidRPr="00D26611" w:rsidRDefault="00535164" w:rsidP="00535164">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Публикуван списък с одобрени за финансиране проекти и резервен списък</w:t>
            </w:r>
          </w:p>
          <w:p w14:paraId="329E7525" w14:textId="1D6181C8" w:rsidR="007D338F" w:rsidRPr="008A0F8A" w:rsidRDefault="007D338F" w:rsidP="00C937A7">
            <w:pPr>
              <w:spacing w:after="0" w:line="240" w:lineRule="auto"/>
              <w:rPr>
                <w:rFonts w:ascii="Times New Roman" w:hAnsi="Times New Roman" w:cs="Times New Roman"/>
                <w:noProof/>
                <w:color w:val="006100"/>
                <w:sz w:val="20"/>
                <w:szCs w:val="20"/>
                <w:lang w:val="ru-RU"/>
              </w:rPr>
            </w:pPr>
          </w:p>
        </w:tc>
        <w:tc>
          <w:tcPr>
            <w:tcW w:w="1301" w:type="dxa"/>
            <w:tcBorders>
              <w:top w:val="single" w:sz="4" w:space="0" w:color="auto"/>
              <w:left w:val="nil"/>
              <w:bottom w:val="single" w:sz="4" w:space="0" w:color="auto"/>
              <w:right w:val="single" w:sz="4" w:space="0" w:color="auto"/>
            </w:tcBorders>
            <w:shd w:val="clear" w:color="auto" w:fill="C6EFCE"/>
            <w:noWrap/>
            <w:vAlign w:val="center"/>
          </w:tcPr>
          <w:p w14:paraId="0400DE31" w14:textId="77777777" w:rsidR="007D338F" w:rsidRPr="008A0F8A" w:rsidRDefault="007D338F" w:rsidP="00C937A7">
            <w:pPr>
              <w:spacing w:after="0" w:line="240" w:lineRule="auto"/>
              <w:rPr>
                <w:rFonts w:ascii="Times New Roman" w:hAnsi="Times New Roman" w:cs="Times New Roman"/>
                <w:noProof/>
                <w:color w:val="006100"/>
                <w:sz w:val="20"/>
                <w:szCs w:val="20"/>
                <w:lang w:val="ru-RU"/>
              </w:rPr>
            </w:pP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3058B7CC" w14:textId="77777777" w:rsidR="007D338F" w:rsidRPr="008A0F8A" w:rsidRDefault="007D338F" w:rsidP="00C937A7">
            <w:pPr>
              <w:spacing w:after="0" w:line="240" w:lineRule="auto"/>
              <w:rPr>
                <w:rFonts w:ascii="Times New Roman" w:hAnsi="Times New Roman" w:cs="Times New Roman"/>
                <w:noProof/>
                <w:color w:val="006100"/>
                <w:sz w:val="20"/>
                <w:szCs w:val="20"/>
                <w:lang w:val="ru-RU"/>
              </w:rPr>
            </w:pPr>
          </w:p>
        </w:tc>
        <w:tc>
          <w:tcPr>
            <w:tcW w:w="851" w:type="dxa"/>
            <w:tcBorders>
              <w:top w:val="single" w:sz="4" w:space="0" w:color="auto"/>
              <w:left w:val="nil"/>
              <w:bottom w:val="single" w:sz="4" w:space="0" w:color="auto"/>
              <w:right w:val="single" w:sz="4" w:space="0" w:color="auto"/>
            </w:tcBorders>
            <w:shd w:val="clear" w:color="auto" w:fill="C6EFCE"/>
            <w:noWrap/>
            <w:vAlign w:val="center"/>
          </w:tcPr>
          <w:p w14:paraId="568FD736" w14:textId="77777777" w:rsidR="007D338F" w:rsidRPr="008A0F8A" w:rsidRDefault="007D338F" w:rsidP="00C937A7">
            <w:pPr>
              <w:spacing w:after="0" w:line="240" w:lineRule="auto"/>
              <w:rPr>
                <w:rFonts w:ascii="Times New Roman" w:hAnsi="Times New Roman" w:cs="Times New Roman"/>
                <w:noProof/>
                <w:color w:val="006100"/>
                <w:sz w:val="20"/>
                <w:szCs w:val="20"/>
                <w:lang w:val="ru-RU"/>
              </w:rPr>
            </w:pP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6740251B" w14:textId="77777777" w:rsidR="007D338F" w:rsidRPr="00D26611" w:rsidRDefault="007D338F" w:rsidP="00C937A7">
            <w:pPr>
              <w:spacing w:after="0" w:line="240" w:lineRule="auto"/>
              <w:jc w:val="center"/>
              <w:rPr>
                <w:rFonts w:ascii="Times New Roman" w:hAnsi="Times New Roman" w:cs="Times New Roman"/>
                <w:noProof/>
                <w:color w:val="006100"/>
                <w:sz w:val="20"/>
                <w:szCs w:val="20"/>
              </w:rPr>
            </w:pPr>
            <w:r>
              <w:rPr>
                <w:rFonts w:ascii="Times New Roman" w:hAnsi="Times New Roman"/>
                <w:noProof/>
                <w:color w:val="006100"/>
                <w:sz w:val="20"/>
              </w:rPr>
              <w:t>T2</w:t>
            </w: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22DC6BA1" w14:textId="77777777" w:rsidR="007D338F" w:rsidRPr="00D26611" w:rsidRDefault="007D338F" w:rsidP="00C937A7">
            <w:pPr>
              <w:spacing w:after="0" w:line="240" w:lineRule="auto"/>
              <w:jc w:val="center"/>
              <w:rPr>
                <w:rFonts w:ascii="Times New Roman" w:hAnsi="Times New Roman" w:cs="Times New Roman"/>
                <w:noProof/>
                <w:color w:val="006100"/>
                <w:sz w:val="20"/>
                <w:szCs w:val="20"/>
              </w:rPr>
            </w:pPr>
            <w:r>
              <w:rPr>
                <w:rFonts w:ascii="Times New Roman" w:hAnsi="Times New Roman"/>
                <w:noProof/>
                <w:color w:val="006100"/>
                <w:sz w:val="20"/>
              </w:rPr>
              <w:t>2023</w:t>
            </w:r>
          </w:p>
        </w:tc>
        <w:tc>
          <w:tcPr>
            <w:tcW w:w="3543" w:type="dxa"/>
            <w:tcBorders>
              <w:top w:val="single" w:sz="4" w:space="0" w:color="auto"/>
              <w:left w:val="nil"/>
              <w:bottom w:val="single" w:sz="4" w:space="0" w:color="auto"/>
              <w:right w:val="single" w:sz="4" w:space="0" w:color="auto"/>
            </w:tcBorders>
            <w:shd w:val="clear" w:color="auto" w:fill="C6EFCE"/>
            <w:noWrap/>
            <w:vAlign w:val="center"/>
          </w:tcPr>
          <w:p w14:paraId="7D19CBC3" w14:textId="77777777"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Процедурите за подбор ще са открити и конкурентни. </w:t>
            </w:r>
          </w:p>
          <w:p w14:paraId="61AAF498" w14:textId="77777777" w:rsidR="007D338F" w:rsidRPr="008A0F8A" w:rsidRDefault="007D338F" w:rsidP="00C937A7">
            <w:pPr>
              <w:spacing w:after="0" w:line="240" w:lineRule="auto"/>
              <w:rPr>
                <w:rFonts w:ascii="Times New Roman" w:hAnsi="Times New Roman" w:cs="Times New Roman"/>
                <w:noProof/>
                <w:color w:val="006100"/>
                <w:sz w:val="20"/>
                <w:szCs w:val="20"/>
                <w:lang w:val="ru-RU"/>
              </w:rPr>
            </w:pPr>
          </w:p>
          <w:p w14:paraId="767655B0" w14:textId="77777777"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Бенефициерите ще са МСП и големи дружества с дейност в раздел С „Преработваща промишленост“ по NACE. Подбраните проекти ще подпомагат дружествата при внедряването на производствени методи на кръговата икономика, в частност намаляване на отпадъците, ограничаване използването на пластмаси за еднократна употреба, използване на ресурси с биологичен произход, подобряване на стандартите за екосъобразност на изделията и енергийната им ефективност, както и информиране на потребителите за въздействието на въглеродния отпечатък. </w:t>
            </w:r>
          </w:p>
          <w:p w14:paraId="34C24569" w14:textId="77777777" w:rsidR="007D338F" w:rsidRPr="008A0F8A" w:rsidRDefault="007D338F" w:rsidP="00C937A7">
            <w:pPr>
              <w:spacing w:after="0" w:line="240" w:lineRule="auto"/>
              <w:rPr>
                <w:rFonts w:ascii="Times New Roman" w:hAnsi="Times New Roman" w:cs="Times New Roman"/>
                <w:noProof/>
                <w:color w:val="006100"/>
                <w:sz w:val="20"/>
                <w:szCs w:val="20"/>
                <w:lang w:val="ru-RU"/>
              </w:rPr>
            </w:pPr>
          </w:p>
          <w:p w14:paraId="1BEDAC62" w14:textId="77777777"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Проектите ще са в съответствие с област на интервенция 047 и 047а от приложение VII към Регламента за МВУ. Най-малко 50 % от стойността на проекта ще се съфинансира от бенефициера.</w:t>
            </w:r>
          </w:p>
          <w:p w14:paraId="07FAD9E9" w14:textId="77777777" w:rsidR="007D338F" w:rsidRPr="008A0F8A" w:rsidRDefault="007D338F" w:rsidP="00C937A7">
            <w:pPr>
              <w:spacing w:after="0" w:line="240" w:lineRule="auto"/>
              <w:rPr>
                <w:rFonts w:ascii="Times New Roman" w:hAnsi="Times New Roman" w:cs="Times New Roman"/>
                <w:noProof/>
                <w:color w:val="006100"/>
                <w:sz w:val="20"/>
                <w:szCs w:val="20"/>
                <w:lang w:val="ru-RU"/>
              </w:rPr>
            </w:pPr>
          </w:p>
          <w:p w14:paraId="3D867CDD" w14:textId="5FC58EDE"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Най-малко 50 % от стойността на проекта ще се съфинансира от бенефициера.</w:t>
            </w:r>
          </w:p>
          <w:p w14:paraId="3906CA4B" w14:textId="18E2DD61" w:rsidR="00102472" w:rsidRPr="008A0F8A" w:rsidRDefault="00102472" w:rsidP="00C937A7">
            <w:pPr>
              <w:spacing w:after="0" w:line="240" w:lineRule="auto"/>
              <w:rPr>
                <w:rFonts w:ascii="Times New Roman" w:hAnsi="Times New Roman" w:cs="Times New Roman"/>
                <w:noProof/>
                <w:color w:val="006100"/>
                <w:sz w:val="20"/>
                <w:szCs w:val="20"/>
                <w:lang w:val="ru-RU"/>
              </w:rPr>
            </w:pPr>
          </w:p>
          <w:p w14:paraId="496E2D71" w14:textId="527B55D3" w:rsidR="00102472" w:rsidRDefault="00102472" w:rsidP="00102472">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Общото финансиране за одобрените проекти ще е най-малко 83 млн. евро. </w:t>
            </w:r>
          </w:p>
          <w:p w14:paraId="60985BBD" w14:textId="77777777" w:rsidR="002614B5" w:rsidRPr="008A0F8A" w:rsidRDefault="002614B5" w:rsidP="00102472">
            <w:pPr>
              <w:spacing w:after="0" w:line="240" w:lineRule="auto"/>
              <w:rPr>
                <w:rFonts w:ascii="Times New Roman" w:hAnsi="Times New Roman" w:cs="Times New Roman"/>
                <w:noProof/>
                <w:color w:val="006100"/>
                <w:sz w:val="20"/>
                <w:szCs w:val="20"/>
                <w:lang w:val="ru-RU"/>
              </w:rPr>
            </w:pPr>
          </w:p>
          <w:p w14:paraId="0E94D753" w14:textId="504F1942" w:rsidR="007D338F" w:rsidRPr="00D26611" w:rsidRDefault="00535164"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С оглед на съответствието на мярката с техническите насоки „Ненанасяне на значителни вреди“ (2021/C58/01), критериите за допустимост в техническите спецификации на предстоящите покани за представяне на проекти ще изключат дейностите и активите от посочения в описанието на мярката списък на изключените дейности/активи и ще изискат да могат да бъдат избирани само дейности, които съблюдават съответното законодателство на ЕС и национално законодателство в областта на околната среда.</w:t>
            </w:r>
          </w:p>
        </w:tc>
      </w:tr>
      <w:tr w:rsidR="005A12E7" w:rsidRPr="005241FC" w14:paraId="1B4F3BDB" w14:textId="77777777" w:rsidTr="008E16C0">
        <w:trPr>
          <w:trHeight w:val="307"/>
        </w:trPr>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E6968A3" w14:textId="4A0BE0E5" w:rsidR="007D338F" w:rsidRPr="00D26611" w:rsidRDefault="00DE4AB0" w:rsidP="00C937A7">
            <w:pPr>
              <w:spacing w:after="0" w:line="240" w:lineRule="auto"/>
              <w:jc w:val="center"/>
              <w:rPr>
                <w:rFonts w:ascii="Times New Roman" w:hAnsi="Times New Roman" w:cs="Times New Roman"/>
                <w:noProof/>
                <w:color w:val="006100"/>
                <w:sz w:val="20"/>
                <w:szCs w:val="20"/>
              </w:rPr>
            </w:pPr>
            <w:r>
              <w:rPr>
                <w:rFonts w:ascii="Times New Roman" w:hAnsi="Times New Roman"/>
                <w:noProof/>
                <w:color w:val="006100"/>
                <w:sz w:val="20"/>
              </w:rPr>
              <w:t>60</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23E76DC8" w14:textId="77777777" w:rsidR="00183158" w:rsidRPr="00D26611" w:rsidRDefault="0073609B"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К3.И2: </w:t>
            </w:r>
          </w:p>
          <w:p w14:paraId="5CE03950" w14:textId="3B545CC6" w:rsidR="007D338F" w:rsidRPr="00D26611" w:rsidRDefault="007D338F" w:rsidP="00F0579C">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Инвестиция 2.2.в — Схема за безвъзмездни средства за подпомагане на предприятията в прехода към кръгова икономика</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210394E5" w14:textId="77777777"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Цел</w:t>
            </w:r>
          </w:p>
        </w:tc>
        <w:tc>
          <w:tcPr>
            <w:tcW w:w="1785" w:type="dxa"/>
            <w:tcBorders>
              <w:top w:val="single" w:sz="4" w:space="0" w:color="auto"/>
              <w:left w:val="nil"/>
              <w:bottom w:val="single" w:sz="4" w:space="0" w:color="auto"/>
              <w:right w:val="single" w:sz="4" w:space="0" w:color="auto"/>
            </w:tcBorders>
            <w:shd w:val="clear" w:color="auto" w:fill="C6EFCE"/>
            <w:noWrap/>
            <w:vAlign w:val="center"/>
          </w:tcPr>
          <w:p w14:paraId="2173DF13" w14:textId="77777777"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Завършени проекти в областта на кръговата икономика</w:t>
            </w:r>
          </w:p>
        </w:tc>
        <w:tc>
          <w:tcPr>
            <w:tcW w:w="1587" w:type="dxa"/>
            <w:tcBorders>
              <w:top w:val="single" w:sz="4" w:space="0" w:color="auto"/>
              <w:left w:val="nil"/>
              <w:bottom w:val="single" w:sz="4" w:space="0" w:color="auto"/>
              <w:right w:val="single" w:sz="4" w:space="0" w:color="auto"/>
            </w:tcBorders>
            <w:shd w:val="clear" w:color="auto" w:fill="C6EFCE"/>
            <w:noWrap/>
            <w:vAlign w:val="center"/>
          </w:tcPr>
          <w:p w14:paraId="7541931F" w14:textId="77777777" w:rsidR="007D338F" w:rsidRPr="008A0F8A" w:rsidRDefault="007D338F" w:rsidP="00C937A7">
            <w:pPr>
              <w:spacing w:after="0" w:line="240" w:lineRule="auto"/>
              <w:rPr>
                <w:rFonts w:ascii="Times New Roman" w:hAnsi="Times New Roman" w:cs="Times New Roman"/>
                <w:noProof/>
                <w:color w:val="006100"/>
                <w:sz w:val="20"/>
                <w:szCs w:val="20"/>
                <w:lang w:val="ru-RU"/>
              </w:rPr>
            </w:pPr>
          </w:p>
        </w:tc>
        <w:tc>
          <w:tcPr>
            <w:tcW w:w="1301" w:type="dxa"/>
            <w:tcBorders>
              <w:top w:val="single" w:sz="4" w:space="0" w:color="auto"/>
              <w:left w:val="nil"/>
              <w:bottom w:val="single" w:sz="4" w:space="0" w:color="auto"/>
              <w:right w:val="single" w:sz="4" w:space="0" w:color="auto"/>
            </w:tcBorders>
            <w:shd w:val="clear" w:color="auto" w:fill="C6EFCE"/>
            <w:noWrap/>
            <w:vAlign w:val="center"/>
          </w:tcPr>
          <w:p w14:paraId="6FB60771" w14:textId="77777777"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Брой</w:t>
            </w: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35486B91" w14:textId="77777777"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0</w:t>
            </w:r>
          </w:p>
        </w:tc>
        <w:tc>
          <w:tcPr>
            <w:tcW w:w="851" w:type="dxa"/>
            <w:tcBorders>
              <w:top w:val="single" w:sz="4" w:space="0" w:color="auto"/>
              <w:left w:val="nil"/>
              <w:bottom w:val="single" w:sz="4" w:space="0" w:color="auto"/>
              <w:right w:val="single" w:sz="4" w:space="0" w:color="auto"/>
            </w:tcBorders>
            <w:shd w:val="clear" w:color="auto" w:fill="C6EFCE"/>
            <w:noWrap/>
            <w:vAlign w:val="center"/>
          </w:tcPr>
          <w:p w14:paraId="36537AB5" w14:textId="38045666" w:rsidR="007D338F" w:rsidRPr="00D26611" w:rsidRDefault="00535164"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240</w:t>
            </w: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3B975436" w14:textId="77777777" w:rsidR="007D338F" w:rsidRPr="00D26611" w:rsidRDefault="007D338F" w:rsidP="00C937A7">
            <w:pPr>
              <w:spacing w:after="0" w:line="240" w:lineRule="auto"/>
              <w:jc w:val="center"/>
              <w:rPr>
                <w:rFonts w:ascii="Times New Roman" w:hAnsi="Times New Roman" w:cs="Times New Roman"/>
                <w:noProof/>
                <w:color w:val="006100"/>
                <w:sz w:val="20"/>
                <w:szCs w:val="20"/>
              </w:rPr>
            </w:pPr>
            <w:r>
              <w:rPr>
                <w:rFonts w:ascii="Times New Roman" w:hAnsi="Times New Roman"/>
                <w:noProof/>
                <w:color w:val="006100"/>
                <w:sz w:val="20"/>
              </w:rPr>
              <w:t>T4</w:t>
            </w: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37866905" w14:textId="19736A1D" w:rsidR="007D338F" w:rsidRPr="00D26611" w:rsidRDefault="007D338F" w:rsidP="00C937A7">
            <w:pPr>
              <w:spacing w:after="0" w:line="240" w:lineRule="auto"/>
              <w:jc w:val="center"/>
              <w:rPr>
                <w:rFonts w:ascii="Times New Roman" w:hAnsi="Times New Roman" w:cs="Times New Roman"/>
                <w:noProof/>
                <w:color w:val="006100"/>
                <w:sz w:val="20"/>
                <w:szCs w:val="20"/>
              </w:rPr>
            </w:pPr>
            <w:r>
              <w:rPr>
                <w:rFonts w:ascii="Times New Roman" w:hAnsi="Times New Roman"/>
                <w:noProof/>
                <w:color w:val="006100"/>
                <w:sz w:val="20"/>
              </w:rPr>
              <w:t>2025</w:t>
            </w:r>
          </w:p>
        </w:tc>
        <w:tc>
          <w:tcPr>
            <w:tcW w:w="3543" w:type="dxa"/>
            <w:tcBorders>
              <w:top w:val="single" w:sz="4" w:space="0" w:color="auto"/>
              <w:left w:val="nil"/>
              <w:bottom w:val="single" w:sz="4" w:space="0" w:color="auto"/>
              <w:right w:val="single" w:sz="4" w:space="0" w:color="auto"/>
            </w:tcBorders>
            <w:shd w:val="clear" w:color="auto" w:fill="C6EFCE"/>
            <w:noWrap/>
            <w:vAlign w:val="center"/>
          </w:tcPr>
          <w:p w14:paraId="3A77B0A5" w14:textId="253B0E7D"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Успешно подпомогнати дружества в съответствие с изискванията на ключов етап 59.</w:t>
            </w:r>
          </w:p>
          <w:p w14:paraId="1CC07CE4" w14:textId="77777777" w:rsidR="007D338F" w:rsidRPr="008A0F8A" w:rsidRDefault="007D338F" w:rsidP="00C937A7">
            <w:pPr>
              <w:spacing w:after="0" w:line="240" w:lineRule="auto"/>
              <w:rPr>
                <w:rFonts w:ascii="Times New Roman" w:hAnsi="Times New Roman" w:cs="Times New Roman"/>
                <w:noProof/>
                <w:color w:val="006100"/>
                <w:sz w:val="20"/>
                <w:szCs w:val="20"/>
                <w:lang w:val="ru-RU"/>
              </w:rPr>
            </w:pPr>
          </w:p>
          <w:p w14:paraId="1F83ED3A" w14:textId="6D786C9D"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В края на инвестицията ще бъде представен изготвен от независим одитор технически доклад за удостоверяване на спазването на техническите насоки „Ненанасяне на значителни вреди“ (2021/C58/01).</w:t>
            </w:r>
          </w:p>
          <w:p w14:paraId="23309EF7" w14:textId="77777777" w:rsidR="007D338F" w:rsidRPr="008A0F8A" w:rsidRDefault="007D338F" w:rsidP="00C937A7">
            <w:pPr>
              <w:spacing w:after="0" w:line="240" w:lineRule="auto"/>
              <w:rPr>
                <w:rFonts w:ascii="Times New Roman" w:hAnsi="Times New Roman" w:cs="Times New Roman"/>
                <w:noProof/>
                <w:color w:val="006100"/>
                <w:sz w:val="20"/>
                <w:szCs w:val="20"/>
                <w:lang w:val="ru-RU"/>
              </w:rPr>
            </w:pPr>
          </w:p>
        </w:tc>
      </w:tr>
      <w:tr w:rsidR="005A12E7" w:rsidRPr="005241FC" w14:paraId="6ADE6573" w14:textId="77777777" w:rsidTr="008E16C0">
        <w:trPr>
          <w:trHeight w:val="307"/>
        </w:trPr>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9B7F708" w14:textId="3180CE0F" w:rsidR="007D338F" w:rsidRPr="00D26611" w:rsidRDefault="001311EB" w:rsidP="00C937A7">
            <w:pPr>
              <w:spacing w:after="0" w:line="240" w:lineRule="auto"/>
              <w:jc w:val="center"/>
              <w:rPr>
                <w:rFonts w:ascii="Times New Roman" w:hAnsi="Times New Roman" w:cs="Times New Roman"/>
                <w:noProof/>
                <w:color w:val="006100"/>
                <w:sz w:val="20"/>
                <w:szCs w:val="20"/>
              </w:rPr>
            </w:pPr>
            <w:r>
              <w:rPr>
                <w:rFonts w:ascii="Times New Roman" w:hAnsi="Times New Roman"/>
                <w:noProof/>
                <w:color w:val="006100"/>
                <w:sz w:val="20"/>
              </w:rPr>
              <w:t>61</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780CEE83" w14:textId="77777777" w:rsidR="00183158" w:rsidRPr="00D26611" w:rsidRDefault="0073609B"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К3.И2: </w:t>
            </w:r>
          </w:p>
          <w:p w14:paraId="318CC9C5" w14:textId="0FD4F6CE"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Инвестиция 2.3.а — Капиталови инструменти за инвестиции за неутралност по отношение на климата и за цифровизация </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01255892" w14:textId="77777777"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Ключов етап</w:t>
            </w:r>
          </w:p>
        </w:tc>
        <w:tc>
          <w:tcPr>
            <w:tcW w:w="1785" w:type="dxa"/>
            <w:tcBorders>
              <w:top w:val="single" w:sz="4" w:space="0" w:color="auto"/>
              <w:left w:val="nil"/>
              <w:bottom w:val="single" w:sz="4" w:space="0" w:color="auto"/>
              <w:right w:val="single" w:sz="4" w:space="0" w:color="auto"/>
            </w:tcBorders>
            <w:shd w:val="clear" w:color="auto" w:fill="C6EFCE"/>
            <w:noWrap/>
            <w:vAlign w:val="center"/>
          </w:tcPr>
          <w:p w14:paraId="10C38FE4" w14:textId="77777777"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Сключване на споразумение за финансиране между Република България и Европейския инвестиционен фонд</w:t>
            </w:r>
          </w:p>
        </w:tc>
        <w:tc>
          <w:tcPr>
            <w:tcW w:w="1587" w:type="dxa"/>
            <w:tcBorders>
              <w:top w:val="single" w:sz="4" w:space="0" w:color="auto"/>
              <w:left w:val="nil"/>
              <w:bottom w:val="single" w:sz="4" w:space="0" w:color="auto"/>
              <w:right w:val="single" w:sz="4" w:space="0" w:color="auto"/>
            </w:tcBorders>
            <w:shd w:val="clear" w:color="auto" w:fill="C6EFCE"/>
            <w:noWrap/>
            <w:vAlign w:val="center"/>
          </w:tcPr>
          <w:p w14:paraId="3973CFCF" w14:textId="77777777"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Подписано споразумение и приета инвестиционна политика</w:t>
            </w:r>
          </w:p>
        </w:tc>
        <w:tc>
          <w:tcPr>
            <w:tcW w:w="1301" w:type="dxa"/>
            <w:tcBorders>
              <w:top w:val="single" w:sz="4" w:space="0" w:color="auto"/>
              <w:left w:val="nil"/>
              <w:bottom w:val="single" w:sz="4" w:space="0" w:color="auto"/>
              <w:right w:val="single" w:sz="4" w:space="0" w:color="auto"/>
            </w:tcBorders>
            <w:shd w:val="clear" w:color="auto" w:fill="C6EFCE"/>
            <w:noWrap/>
            <w:vAlign w:val="center"/>
          </w:tcPr>
          <w:p w14:paraId="2AF7FD19" w14:textId="77777777" w:rsidR="007D338F" w:rsidRPr="008A0F8A" w:rsidRDefault="007D338F" w:rsidP="00C937A7">
            <w:pPr>
              <w:spacing w:after="0" w:line="240" w:lineRule="auto"/>
              <w:rPr>
                <w:rFonts w:ascii="Times New Roman" w:hAnsi="Times New Roman" w:cs="Times New Roman"/>
                <w:noProof/>
                <w:color w:val="006100"/>
                <w:sz w:val="20"/>
                <w:szCs w:val="20"/>
                <w:lang w:val="ru-RU"/>
              </w:rPr>
            </w:pP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06B56F6B" w14:textId="77777777" w:rsidR="007D338F" w:rsidRPr="008A0F8A" w:rsidRDefault="007D338F" w:rsidP="00C937A7">
            <w:pPr>
              <w:spacing w:after="0" w:line="240" w:lineRule="auto"/>
              <w:rPr>
                <w:rFonts w:ascii="Times New Roman" w:hAnsi="Times New Roman" w:cs="Times New Roman"/>
                <w:noProof/>
                <w:color w:val="006100"/>
                <w:sz w:val="20"/>
                <w:szCs w:val="20"/>
                <w:lang w:val="ru-RU"/>
              </w:rPr>
            </w:pPr>
          </w:p>
        </w:tc>
        <w:tc>
          <w:tcPr>
            <w:tcW w:w="851" w:type="dxa"/>
            <w:tcBorders>
              <w:top w:val="single" w:sz="4" w:space="0" w:color="auto"/>
              <w:left w:val="nil"/>
              <w:bottom w:val="single" w:sz="4" w:space="0" w:color="auto"/>
              <w:right w:val="single" w:sz="4" w:space="0" w:color="auto"/>
            </w:tcBorders>
            <w:shd w:val="clear" w:color="auto" w:fill="C6EFCE"/>
            <w:noWrap/>
            <w:vAlign w:val="center"/>
          </w:tcPr>
          <w:p w14:paraId="79800C59" w14:textId="77777777" w:rsidR="007D338F" w:rsidRPr="008A0F8A" w:rsidRDefault="007D338F" w:rsidP="00C937A7">
            <w:pPr>
              <w:spacing w:after="0" w:line="240" w:lineRule="auto"/>
              <w:rPr>
                <w:rFonts w:ascii="Times New Roman" w:hAnsi="Times New Roman" w:cs="Times New Roman"/>
                <w:noProof/>
                <w:color w:val="006100"/>
                <w:sz w:val="20"/>
                <w:szCs w:val="20"/>
                <w:lang w:val="ru-RU"/>
              </w:rPr>
            </w:pP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4066A02D" w14:textId="77777777" w:rsidR="007D338F" w:rsidRPr="00D26611" w:rsidRDefault="007D338F" w:rsidP="00C937A7">
            <w:pPr>
              <w:spacing w:after="0" w:line="240" w:lineRule="auto"/>
              <w:jc w:val="center"/>
              <w:rPr>
                <w:rFonts w:ascii="Times New Roman" w:hAnsi="Times New Roman" w:cs="Times New Roman"/>
                <w:noProof/>
                <w:color w:val="006100"/>
                <w:sz w:val="20"/>
                <w:szCs w:val="20"/>
              </w:rPr>
            </w:pPr>
            <w:r>
              <w:rPr>
                <w:rFonts w:ascii="Times New Roman" w:hAnsi="Times New Roman"/>
                <w:noProof/>
                <w:color w:val="006100"/>
                <w:sz w:val="20"/>
              </w:rPr>
              <w:t>T3</w:t>
            </w: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3C1BC347" w14:textId="77777777" w:rsidR="007D338F" w:rsidRPr="00D26611" w:rsidRDefault="007D338F" w:rsidP="00C937A7">
            <w:pPr>
              <w:spacing w:after="0" w:line="240" w:lineRule="auto"/>
              <w:jc w:val="center"/>
              <w:rPr>
                <w:rFonts w:ascii="Times New Roman" w:hAnsi="Times New Roman" w:cs="Times New Roman"/>
                <w:noProof/>
                <w:color w:val="006100"/>
                <w:sz w:val="20"/>
                <w:szCs w:val="20"/>
              </w:rPr>
            </w:pPr>
            <w:r>
              <w:rPr>
                <w:rFonts w:ascii="Times New Roman" w:hAnsi="Times New Roman"/>
                <w:noProof/>
                <w:color w:val="006100"/>
                <w:sz w:val="20"/>
              </w:rPr>
              <w:t>2022</w:t>
            </w:r>
          </w:p>
        </w:tc>
        <w:tc>
          <w:tcPr>
            <w:tcW w:w="3543" w:type="dxa"/>
            <w:tcBorders>
              <w:top w:val="single" w:sz="4" w:space="0" w:color="auto"/>
              <w:left w:val="nil"/>
              <w:bottom w:val="single" w:sz="4" w:space="0" w:color="auto"/>
              <w:right w:val="single" w:sz="4" w:space="0" w:color="auto"/>
            </w:tcBorders>
            <w:shd w:val="clear" w:color="auto" w:fill="C6EFCE"/>
            <w:noWrap/>
            <w:vAlign w:val="center"/>
          </w:tcPr>
          <w:p w14:paraId="101F47F9" w14:textId="34280726"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Сключване на споразумение за финансиране между ЕИФ и правителството на България и приемане на инвестиционната политика на фонда. Инвестиционната политика:</w:t>
            </w:r>
          </w:p>
          <w:p w14:paraId="1B18D262" w14:textId="77BB404A" w:rsidR="007D338F" w:rsidRPr="00D26611" w:rsidRDefault="007D338F" w:rsidP="004C1305">
            <w:pPr>
              <w:pStyle w:val="ListParagraph"/>
              <w:numPr>
                <w:ilvl w:val="0"/>
                <w:numId w:val="94"/>
              </w:num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ще се приема от управителните органи на финансовия инструмент;</w:t>
            </w:r>
          </w:p>
          <w:p w14:paraId="224BB28D" w14:textId="64BFFEF9" w:rsidR="007D338F" w:rsidRPr="00D26611" w:rsidRDefault="007D338F" w:rsidP="004C1305">
            <w:pPr>
              <w:pStyle w:val="ListParagraph"/>
              <w:numPr>
                <w:ilvl w:val="0"/>
                <w:numId w:val="94"/>
              </w:num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ще спазва указанията на Комисията от 22 януари 2021 г. относно финансовите инструменти (SWD(2021) 12 final);</w:t>
            </w:r>
          </w:p>
          <w:p w14:paraId="1174C9DF" w14:textId="77777777" w:rsidR="00464D68" w:rsidRPr="00D26611" w:rsidRDefault="005F5124" w:rsidP="005F5124">
            <w:pPr>
              <w:pStyle w:val="ListParagraph"/>
              <w:numPr>
                <w:ilvl w:val="0"/>
                <w:numId w:val="94"/>
              </w:num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ще включи критерии за подбор с оглед на спазването на техническите насоки „Ненанасяне на значителни вреди“ (2021/C58/01) на подпомаганите операции по тази мярка: </w:t>
            </w:r>
          </w:p>
          <w:p w14:paraId="5B719383" w14:textId="65A796B8" w:rsidR="005F5124" w:rsidRPr="00D26611" w:rsidRDefault="00464D68" w:rsidP="00DF56F8">
            <w:pPr>
              <w:pStyle w:val="ListParagraph"/>
              <w:spacing w:after="0" w:line="240" w:lineRule="auto"/>
              <w:ind w:left="360"/>
              <w:rPr>
                <w:rFonts w:ascii="Times New Roman" w:hAnsi="Times New Roman" w:cs="Times New Roman"/>
                <w:noProof/>
                <w:color w:val="006100"/>
                <w:sz w:val="20"/>
                <w:szCs w:val="20"/>
              </w:rPr>
            </w:pPr>
            <w:r>
              <w:rPr>
                <w:rFonts w:ascii="Times New Roman" w:hAnsi="Times New Roman"/>
                <w:noProof/>
                <w:color w:val="006100"/>
                <w:sz w:val="20"/>
              </w:rPr>
              <w:t>- чрез проверка на устойчивостта;</w:t>
            </w:r>
          </w:p>
          <w:p w14:paraId="45506F18" w14:textId="74640D58" w:rsidR="00464D68" w:rsidRPr="00D26611" w:rsidRDefault="00464D68" w:rsidP="00DF56F8">
            <w:pPr>
              <w:pStyle w:val="ListParagraph"/>
              <w:spacing w:after="0" w:line="240" w:lineRule="auto"/>
              <w:ind w:left="360"/>
              <w:rPr>
                <w:rFonts w:ascii="Times New Roman" w:hAnsi="Times New Roman" w:cs="Times New Roman"/>
                <w:noProof/>
                <w:color w:val="006100"/>
                <w:sz w:val="20"/>
                <w:szCs w:val="20"/>
              </w:rPr>
            </w:pPr>
            <w:r>
              <w:rPr>
                <w:rFonts w:ascii="Times New Roman" w:hAnsi="Times New Roman"/>
                <w:noProof/>
                <w:color w:val="006100"/>
                <w:sz w:val="20"/>
              </w:rPr>
              <w:t>- чрез изискване от бенефициерите, които през предходната финансова година са реализирали над 50 % от преките си приходи от дейности или активи, включени в списъка по-долу, да приемат и публикуват планове за преход към екосъобразна дейност: i) дейностите, свързани с изкопаеми горива, включително използване надолу по веригата; ii) дейностите по схемата на ЕС за търговия с емисии (СТЕ), с които се постигат прогнозираните емисии на парникови газове, които не са по-ниски от съответните референтни стойности; iii) дейностите, свързани с депата за отпадъци, инсталациите за изгаряне на отпадъци и заводите за механично-биологично третиране; и iv) дейностите, при които дългосрочното обезвреждане на отпадъци може да причини вреда на околната среда. Това изискване може да се приложи, като например се вземат предвид новите подложени на ограничения сектори, в които оперира ЕИФ (капиталови участия извън инфраструктурни проекти – нормативна уредба за съобразяване с Парижкото споразумение), като могат да се добавят допълнителни ограничения за секторите, обхванати от схемата за търговия с емисии, и за някои транспортни дейности; както и чрез изискване за проверка от ЕИФ за всички операции на бенефициера, в т.ч. освободените от проверка на устойчивостта, на правното съблюдаване на съответното законодателство на ЕС и национално законодателство в областта на околната среда.</w:t>
            </w:r>
          </w:p>
          <w:p w14:paraId="031D11F7" w14:textId="77777777" w:rsidR="007D338F" w:rsidRPr="008A0F8A" w:rsidRDefault="007D338F" w:rsidP="00C937A7">
            <w:pPr>
              <w:spacing w:after="0" w:line="240" w:lineRule="auto"/>
              <w:rPr>
                <w:rFonts w:ascii="Times New Roman" w:hAnsi="Times New Roman" w:cs="Times New Roman"/>
                <w:noProof/>
                <w:color w:val="006100"/>
                <w:sz w:val="20"/>
                <w:szCs w:val="20"/>
                <w:lang w:val="ru-RU"/>
              </w:rPr>
            </w:pPr>
          </w:p>
          <w:p w14:paraId="0D46F4B2" w14:textId="0B5D94F0"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Фондът ще подкрепя с (капиталови) финансови инструменти проекти за дружества със специална инвестиционна цел, както и инвестициите на МСП, малките дружества със средна пазарна капитализация и останалите дружества със средна пазарна капитализация в активи, които допринасят за неутралността по отношение на климата и в приоритетни сектори в България ускоряват прехода към екосъобразна дейност и внедряване на цифровите технологии. Тази цел ще се постигне чрез подпомагане създаването на инфраструктурни активи, както и на инфраструктура за производство и акумулиране на енергия от възобновяеми източници: възобновяеми енергийни източници, биомаса, съхранение, инфраструктура за зареждане на електрически превозни средства, водород, цифрова инфраструктура (ИКТ, оптична инфраструктура, центрове за данни, 5G), обновяване на градската среда, енергийна ефективност и социална инфраструктура. </w:t>
            </w:r>
          </w:p>
          <w:p w14:paraId="7625FA79" w14:textId="77777777" w:rsidR="007D338F" w:rsidRPr="008A0F8A" w:rsidRDefault="007D338F" w:rsidP="00C937A7">
            <w:pPr>
              <w:spacing w:after="0" w:line="240" w:lineRule="auto"/>
              <w:rPr>
                <w:rFonts w:ascii="Times New Roman" w:hAnsi="Times New Roman" w:cs="Times New Roman"/>
                <w:noProof/>
                <w:color w:val="006100"/>
                <w:sz w:val="20"/>
                <w:szCs w:val="20"/>
                <w:lang w:val="ru-RU"/>
              </w:rPr>
            </w:pPr>
          </w:p>
          <w:p w14:paraId="678F21AD" w14:textId="57D99EC3"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Подкрепата ще се предоставя чрез фондове за рисков капитал и фондове за дялово участие. Управлението на фонда ще се възложи на Европейския инвестиционен фонд (ЕИФ). Между ЕИФ и правителството на България ще се подпише специално споразумение за финансиране по МВУ с оглед на управлението на подпомаганите от МВУ капиталови операции. Инвестиционният комитет ще одобрява операциите с посредници, предложени от управителя на фонда (ЕИФ), въз основа на пазарните нужди и по открит и съобразен с пазарните практики начин. Очаква се инструментът да подпомогне най-малко 3 бенефициери. </w:t>
            </w:r>
          </w:p>
          <w:p w14:paraId="57C8B5C8" w14:textId="77777777" w:rsidR="007D338F" w:rsidRPr="008A0F8A" w:rsidRDefault="007D338F" w:rsidP="00C937A7">
            <w:pPr>
              <w:spacing w:after="0" w:line="240" w:lineRule="auto"/>
              <w:rPr>
                <w:rFonts w:ascii="Times New Roman" w:hAnsi="Times New Roman" w:cs="Times New Roman"/>
                <w:noProof/>
                <w:color w:val="006100"/>
                <w:sz w:val="20"/>
                <w:szCs w:val="20"/>
                <w:lang w:val="ru-RU"/>
              </w:rPr>
            </w:pPr>
          </w:p>
          <w:p w14:paraId="7CD81425" w14:textId="045AD0EC" w:rsidR="0008141D" w:rsidRDefault="0008141D"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Общото финансиране по МВУ ще е 30 млн. евро. </w:t>
            </w:r>
          </w:p>
          <w:p w14:paraId="2B0D9F43" w14:textId="77777777" w:rsidR="0008141D" w:rsidRPr="008A0F8A" w:rsidRDefault="0008141D" w:rsidP="00C937A7">
            <w:pPr>
              <w:spacing w:after="0" w:line="240" w:lineRule="auto"/>
              <w:rPr>
                <w:rFonts w:ascii="Times New Roman" w:hAnsi="Times New Roman" w:cs="Times New Roman"/>
                <w:noProof/>
                <w:color w:val="006100"/>
                <w:sz w:val="20"/>
                <w:szCs w:val="20"/>
                <w:lang w:val="ru-RU"/>
              </w:rPr>
            </w:pPr>
          </w:p>
          <w:p w14:paraId="49F2B12B" w14:textId="2B0ECC75"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Структурата на фонда ще позволява набиране на частни средства. </w:t>
            </w:r>
          </w:p>
          <w:p w14:paraId="7E838D98" w14:textId="77777777" w:rsidR="007D338F" w:rsidRPr="008A0F8A" w:rsidRDefault="007D338F" w:rsidP="00C937A7">
            <w:pPr>
              <w:spacing w:after="0" w:line="240" w:lineRule="auto"/>
              <w:rPr>
                <w:rFonts w:ascii="Times New Roman" w:hAnsi="Times New Roman" w:cs="Times New Roman"/>
                <w:noProof/>
                <w:color w:val="006100"/>
                <w:sz w:val="20"/>
                <w:szCs w:val="20"/>
                <w:lang w:val="ru-RU"/>
              </w:rPr>
            </w:pPr>
          </w:p>
          <w:p w14:paraId="17DBEB4B" w14:textId="52AC8797"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Всички приходи за фонда или финансовите инструменти, включително от погасяванията, както и печалбата от използването на финансирането по МВУ, минус възнаграждението на управителя на фонда и финансовите посредници, ще се използват за същите цели на политиката, включително след 2026 г.</w:t>
            </w:r>
          </w:p>
        </w:tc>
      </w:tr>
      <w:tr w:rsidR="005A12E7" w:rsidRPr="005241FC" w14:paraId="71836E13" w14:textId="77777777" w:rsidTr="008E16C0">
        <w:trPr>
          <w:trHeight w:val="307"/>
        </w:trPr>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0E6D85F" w14:textId="5F1FF826" w:rsidR="007D338F" w:rsidRPr="00D26611" w:rsidRDefault="001311EB" w:rsidP="00C937A7">
            <w:pPr>
              <w:spacing w:after="0" w:line="240" w:lineRule="auto"/>
              <w:jc w:val="center"/>
              <w:rPr>
                <w:rFonts w:ascii="Times New Roman" w:hAnsi="Times New Roman" w:cs="Times New Roman"/>
                <w:noProof/>
                <w:color w:val="006100"/>
                <w:sz w:val="20"/>
                <w:szCs w:val="20"/>
              </w:rPr>
            </w:pPr>
            <w:r>
              <w:rPr>
                <w:rFonts w:ascii="Times New Roman" w:hAnsi="Times New Roman"/>
                <w:noProof/>
                <w:color w:val="006100"/>
                <w:sz w:val="20"/>
              </w:rPr>
              <w:t>62</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1B2A87ED" w14:textId="77777777" w:rsidR="00183158" w:rsidRPr="00D26611" w:rsidRDefault="0073609B"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К3.И2: </w:t>
            </w:r>
          </w:p>
          <w:p w14:paraId="6307AE6B" w14:textId="7CDBE699"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Инвестиция 2.3.а — Капиталови инструменти за инвестиции за неутралност по отношение на климата и за цифровизация</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38BB2D17" w14:textId="77777777"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Цел</w:t>
            </w:r>
          </w:p>
        </w:tc>
        <w:tc>
          <w:tcPr>
            <w:tcW w:w="1785" w:type="dxa"/>
            <w:tcBorders>
              <w:top w:val="single" w:sz="4" w:space="0" w:color="auto"/>
              <w:left w:val="nil"/>
              <w:bottom w:val="single" w:sz="4" w:space="0" w:color="auto"/>
              <w:right w:val="single" w:sz="4" w:space="0" w:color="auto"/>
            </w:tcBorders>
            <w:shd w:val="clear" w:color="auto" w:fill="C6EFCE"/>
            <w:noWrap/>
            <w:vAlign w:val="center"/>
          </w:tcPr>
          <w:p w14:paraId="7FBDAC9C" w14:textId="77777777"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Отговорният инвестиционен комитет одобри операции, възлизащи на 100 % от общото предвидено финансиране</w:t>
            </w:r>
          </w:p>
        </w:tc>
        <w:tc>
          <w:tcPr>
            <w:tcW w:w="1587" w:type="dxa"/>
            <w:tcBorders>
              <w:top w:val="single" w:sz="4" w:space="0" w:color="auto"/>
              <w:left w:val="nil"/>
              <w:bottom w:val="single" w:sz="4" w:space="0" w:color="auto"/>
              <w:right w:val="single" w:sz="4" w:space="0" w:color="auto"/>
            </w:tcBorders>
            <w:shd w:val="clear" w:color="auto" w:fill="C6EFCE"/>
            <w:noWrap/>
            <w:vAlign w:val="center"/>
          </w:tcPr>
          <w:p w14:paraId="2A93D409" w14:textId="77777777" w:rsidR="007D338F" w:rsidRPr="008A0F8A" w:rsidRDefault="007D338F" w:rsidP="00C937A7">
            <w:pPr>
              <w:spacing w:after="0" w:line="240" w:lineRule="auto"/>
              <w:rPr>
                <w:rFonts w:ascii="Times New Roman" w:hAnsi="Times New Roman" w:cs="Times New Roman"/>
                <w:noProof/>
                <w:color w:val="006100"/>
                <w:sz w:val="20"/>
                <w:szCs w:val="20"/>
                <w:lang w:val="ru-RU"/>
              </w:rPr>
            </w:pPr>
          </w:p>
        </w:tc>
        <w:tc>
          <w:tcPr>
            <w:tcW w:w="1301" w:type="dxa"/>
            <w:tcBorders>
              <w:top w:val="single" w:sz="4" w:space="0" w:color="auto"/>
              <w:left w:val="nil"/>
              <w:bottom w:val="single" w:sz="4" w:space="0" w:color="auto"/>
              <w:right w:val="single" w:sz="4" w:space="0" w:color="auto"/>
            </w:tcBorders>
            <w:shd w:val="clear" w:color="auto" w:fill="C6EFCE"/>
            <w:noWrap/>
            <w:vAlign w:val="center"/>
          </w:tcPr>
          <w:p w14:paraId="043A1E63" w14:textId="77777777"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(процент)</w:t>
            </w: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44AC6985" w14:textId="77777777"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0</w:t>
            </w:r>
          </w:p>
        </w:tc>
        <w:tc>
          <w:tcPr>
            <w:tcW w:w="851" w:type="dxa"/>
            <w:tcBorders>
              <w:top w:val="single" w:sz="4" w:space="0" w:color="auto"/>
              <w:left w:val="nil"/>
              <w:bottom w:val="single" w:sz="4" w:space="0" w:color="auto"/>
              <w:right w:val="single" w:sz="4" w:space="0" w:color="auto"/>
            </w:tcBorders>
            <w:shd w:val="clear" w:color="auto" w:fill="C6EFCE"/>
            <w:noWrap/>
            <w:vAlign w:val="center"/>
          </w:tcPr>
          <w:p w14:paraId="2558FDF1" w14:textId="77777777" w:rsidR="007D338F" w:rsidRPr="00D26611" w:rsidRDefault="007D338F" w:rsidP="00C937A7">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100</w:t>
            </w: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6212CC3B" w14:textId="77777777" w:rsidR="007D338F" w:rsidRPr="00D26611" w:rsidRDefault="007D338F" w:rsidP="00C937A7">
            <w:pPr>
              <w:spacing w:after="0" w:line="240" w:lineRule="auto"/>
              <w:jc w:val="center"/>
              <w:rPr>
                <w:rFonts w:ascii="Times New Roman" w:hAnsi="Times New Roman" w:cs="Times New Roman"/>
                <w:noProof/>
                <w:color w:val="006100"/>
                <w:sz w:val="20"/>
                <w:szCs w:val="20"/>
              </w:rPr>
            </w:pPr>
            <w:r>
              <w:rPr>
                <w:rFonts w:ascii="Times New Roman" w:hAnsi="Times New Roman"/>
                <w:noProof/>
                <w:color w:val="006100"/>
                <w:sz w:val="20"/>
              </w:rPr>
              <w:t>T2</w:t>
            </w: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0631F0CB" w14:textId="77777777" w:rsidR="007D338F" w:rsidRPr="00D26611" w:rsidRDefault="007D338F" w:rsidP="00C937A7">
            <w:pPr>
              <w:spacing w:after="0" w:line="240" w:lineRule="auto"/>
              <w:jc w:val="center"/>
              <w:rPr>
                <w:rFonts w:ascii="Times New Roman" w:hAnsi="Times New Roman" w:cs="Times New Roman"/>
                <w:noProof/>
                <w:color w:val="006100"/>
                <w:sz w:val="20"/>
                <w:szCs w:val="20"/>
              </w:rPr>
            </w:pPr>
            <w:r>
              <w:rPr>
                <w:rFonts w:ascii="Times New Roman" w:hAnsi="Times New Roman"/>
                <w:noProof/>
                <w:color w:val="006100"/>
                <w:sz w:val="20"/>
              </w:rPr>
              <w:t>2026</w:t>
            </w:r>
          </w:p>
        </w:tc>
        <w:tc>
          <w:tcPr>
            <w:tcW w:w="3543" w:type="dxa"/>
            <w:tcBorders>
              <w:top w:val="single" w:sz="4" w:space="0" w:color="auto"/>
              <w:left w:val="nil"/>
              <w:bottom w:val="single" w:sz="4" w:space="0" w:color="auto"/>
              <w:right w:val="single" w:sz="4" w:space="0" w:color="auto"/>
            </w:tcBorders>
            <w:shd w:val="clear" w:color="auto" w:fill="C6EFCE"/>
            <w:noWrap/>
            <w:vAlign w:val="center"/>
          </w:tcPr>
          <w:p w14:paraId="2B157703" w14:textId="44F49838" w:rsidR="007D338F" w:rsidRPr="00D26611" w:rsidRDefault="007D338F" w:rsidP="006A1C53">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Финансови или инвестиционни операции в размер на 100 % от общия размер на одобреното целево финансиране или инвестиция от определения от правителството на България инвестиционен комитет, в съответствие с изискванията, посочени в ключов етап 61.</w:t>
            </w:r>
          </w:p>
        </w:tc>
      </w:tr>
    </w:tbl>
    <w:p w14:paraId="5A22D3C0" w14:textId="77777777" w:rsidR="007D338F" w:rsidRPr="008A0F8A" w:rsidRDefault="007D338F" w:rsidP="007D338F">
      <w:pPr>
        <w:spacing w:before="120" w:after="120" w:line="240" w:lineRule="auto"/>
        <w:ind w:left="709"/>
        <w:jc w:val="both"/>
        <w:rPr>
          <w:rFonts w:ascii="Times New Roman" w:eastAsia="Calibri" w:hAnsi="Times New Roman" w:cs="Times New Roman"/>
          <w:noProof/>
          <w:sz w:val="24"/>
          <w:szCs w:val="24"/>
          <w:lang w:val="ru-RU"/>
        </w:rPr>
        <w:sectPr w:rsidR="007D338F" w:rsidRPr="008A0F8A" w:rsidSect="00B60432">
          <w:headerReference w:type="even" r:id="rId48"/>
          <w:headerReference w:type="default" r:id="rId49"/>
          <w:footerReference w:type="even" r:id="rId50"/>
          <w:footerReference w:type="default" r:id="rId51"/>
          <w:headerReference w:type="first" r:id="rId52"/>
          <w:footerReference w:type="first" r:id="rId53"/>
          <w:pgSz w:w="16839" w:h="11907" w:orient="landscape"/>
          <w:pgMar w:top="1134" w:right="1134" w:bottom="1134" w:left="1134" w:header="567" w:footer="567" w:gutter="0"/>
          <w:cols w:space="720"/>
          <w:docGrid w:linePitch="360"/>
        </w:sectPr>
      </w:pPr>
    </w:p>
    <w:p w14:paraId="1C13678A" w14:textId="5FD798B3" w:rsidR="00B073DD" w:rsidRPr="00562D16" w:rsidRDefault="00773BF3" w:rsidP="00B073DD">
      <w:pPr>
        <w:keepNext/>
        <w:tabs>
          <w:tab w:val="left" w:pos="850"/>
        </w:tabs>
        <w:spacing w:before="360" w:after="120" w:line="240" w:lineRule="auto"/>
        <w:ind w:left="850" w:hanging="850"/>
        <w:jc w:val="both"/>
        <w:outlineLvl w:val="0"/>
        <w:rPr>
          <w:rFonts w:ascii="Times New Roman" w:eastAsia="Calibri" w:hAnsi="Times New Roman" w:cs="Times New Roman"/>
          <w:b/>
          <w:smallCaps/>
          <w:noProof/>
          <w:sz w:val="24"/>
        </w:rPr>
      </w:pPr>
      <w:r>
        <w:rPr>
          <w:rFonts w:ascii="Times New Roman" w:hAnsi="Times New Roman"/>
          <w:b/>
          <w:smallCaps/>
          <w:noProof/>
          <w:sz w:val="24"/>
        </w:rPr>
        <w:tab/>
        <w:t>Г. КОМПОНЕНТ 4: Нисковъглеродна икономика</w:t>
      </w:r>
    </w:p>
    <w:p w14:paraId="26B99003" w14:textId="77777777" w:rsidR="005F55E4" w:rsidRPr="00562D16" w:rsidRDefault="005F55E4" w:rsidP="000750E7">
      <w:pPr>
        <w:spacing w:before="120" w:after="120" w:line="240" w:lineRule="auto"/>
        <w:ind w:left="851"/>
        <w:jc w:val="both"/>
        <w:rPr>
          <w:rFonts w:ascii="Times New Roman" w:eastAsia="Calibri" w:hAnsi="Times New Roman" w:cs="Times New Roman"/>
          <w:noProof/>
          <w:sz w:val="24"/>
        </w:rPr>
      </w:pPr>
      <w:r>
        <w:rPr>
          <w:rFonts w:ascii="Times New Roman" w:hAnsi="Times New Roman"/>
          <w:noProof/>
          <w:sz w:val="24"/>
        </w:rPr>
        <w:t xml:space="preserve">Този компонент на плана за възстановяване и устойчивост на България е насочен към справяне с предизвикателството за декарбонизация на енергийния сектор. Българската икономика е с най-висок разход на ресурси и въглероден интензитет в ЕС. Интензитетът на емисиите на парникови газове е над четири пъти по-висок от средния за ЕС. Енергийният сектор е най-големият източник на емисии на парникови газове в България, като на него се падат над 70 % от общите емисии на страната. </w:t>
      </w:r>
    </w:p>
    <w:p w14:paraId="7DAD6B09" w14:textId="590BD0E1" w:rsidR="006D6C9B" w:rsidRDefault="005F55E4" w:rsidP="71F3F1F6">
      <w:pPr>
        <w:spacing w:before="120" w:after="120" w:line="240" w:lineRule="auto"/>
        <w:ind w:left="851"/>
        <w:jc w:val="both"/>
        <w:rPr>
          <w:rFonts w:ascii="Times New Roman" w:eastAsia="Calibri" w:hAnsi="Times New Roman" w:cs="Times New Roman"/>
          <w:noProof/>
          <w:sz w:val="24"/>
          <w:szCs w:val="24"/>
        </w:rPr>
      </w:pPr>
      <w:r>
        <w:rPr>
          <w:rFonts w:ascii="Times New Roman" w:hAnsi="Times New Roman"/>
          <w:noProof/>
          <w:sz w:val="24"/>
        </w:rPr>
        <w:t>Целта на компонента е да се декарбонизира икономиката чрез рязко увеличаване на използването на възобновяеми енергийни източници и на икономиите на енергия, инвестиции в интелигентни мрежи, междусистемни връзки и инфраструктура за съхранение, пазарни реформи и по-добро управление на енергийния сектор. По-специално компонентът има за цел да ускори декарбонизацията на енергийния сектор чрез намаляване на емисиите на въглероден диоксид от въглищни електроцентрали и чрез улесняване на внедряването на възобновяеми енергийни източници и алтернативни енергийни източници (като например зелен водород). Той също така има за цел да намали както първичното, така и крайното потребление на енергия чрез обновяване на националния сграден фонд от жилищни и нежилищни сгради, както обществени, така и частни. Мерките за гъвкавост и цифровизация на електроенергийната мрежа и увеличаването на капацитета на трансграничните междусистемни връзки със съседните държави членки трябва да подобрят пазарната интеграция. Компонентът има за цел също така да създаде конкурентни пазари на едро и дребно чрез постепенно дерегулиране на цените на електроенергията до 2025 г. Компонентът включва мерки за подобряване на корпоративното управление на държавните предприятия в енергийния сектор, по-специално на Българския енергиен холдинг (БЕХ), чрез отделяне от неговата структура на операторите на преносни системи.</w:t>
      </w:r>
    </w:p>
    <w:p w14:paraId="3C5E0A04" w14:textId="66D7BE53" w:rsidR="005F55E4" w:rsidRPr="00562D16" w:rsidRDefault="005F55E4" w:rsidP="000750E7">
      <w:pPr>
        <w:spacing w:before="120" w:after="120" w:line="240" w:lineRule="auto"/>
        <w:ind w:left="851"/>
        <w:jc w:val="both"/>
        <w:rPr>
          <w:rFonts w:ascii="Times New Roman" w:eastAsia="Calibri" w:hAnsi="Times New Roman" w:cs="Times New Roman"/>
          <w:noProof/>
          <w:sz w:val="24"/>
        </w:rPr>
      </w:pPr>
      <w:r>
        <w:rPr>
          <w:rFonts w:ascii="Times New Roman" w:hAnsi="Times New Roman"/>
          <w:noProof/>
          <w:sz w:val="24"/>
        </w:rPr>
        <w:t>Тези инвестиции и реформи подкрепят изпълнението на специфичните за България препоръки от 2019 г. и 2020 г. за „съсредоточаване на свързаната с инвестициите икономическа политика върху [...] енергийната инфраструктура и енергийната ефективност“ (специфична за държавата препоръка 3, 2019 г.) и за „съсредоточаване на инвестициите върху екологичния и цифровия преход, по-специално върху чистото и ефективно производство и използване на енергия и ресурси, екологичната инфраструктура [...], допринасяйки за постепенната декарбонизация на икономиката, включително във въгледобивните региони“ (специфична за всяка държава препоръки 3, 2020 г.).</w:t>
      </w:r>
    </w:p>
    <w:p w14:paraId="7EB31A62" w14:textId="618FDF59" w:rsidR="005F55E4" w:rsidRPr="00562D16" w:rsidRDefault="005F55E4" w:rsidP="000750E7">
      <w:pPr>
        <w:spacing w:before="120" w:after="120" w:line="240" w:lineRule="auto"/>
        <w:ind w:left="851"/>
        <w:jc w:val="both"/>
        <w:rPr>
          <w:rFonts w:ascii="Times New Roman" w:eastAsia="Calibri" w:hAnsi="Times New Roman" w:cs="Times New Roman"/>
          <w:noProof/>
          <w:sz w:val="24"/>
          <w:szCs w:val="24"/>
        </w:rPr>
      </w:pPr>
      <w:r>
        <w:rPr>
          <w:rFonts w:ascii="Times New Roman" w:hAnsi="Times New Roman"/>
          <w:noProof/>
          <w:sz w:val="24"/>
        </w:rPr>
        <w:t>Не се очаква нито една мярка в този компонент да навреди в значителна степен на екологичните цели по смисъла на член 17 от Регламент (ЕС) 2020/852, като се вземат предвид описанието на мерките и стъпките за смекчаване на последиците, определени в плана за възстановяване и устойчивост в съответствие с техническите насоки за прилагането на принципа за „ненанасяне на значителни вреди“ (2021/C58/01).</w:t>
      </w:r>
    </w:p>
    <w:p w14:paraId="38082720" w14:textId="77777777" w:rsidR="005F55E4" w:rsidRPr="008A0F8A" w:rsidRDefault="005F55E4" w:rsidP="005F55E4">
      <w:pPr>
        <w:spacing w:before="120" w:after="120" w:line="240" w:lineRule="auto"/>
        <w:ind w:left="850"/>
        <w:jc w:val="both"/>
        <w:rPr>
          <w:rFonts w:ascii="Times New Roman" w:eastAsia="Calibri" w:hAnsi="Times New Roman" w:cs="Times New Roman"/>
          <w:noProof/>
          <w:sz w:val="24"/>
          <w:lang w:val="ru-RU"/>
        </w:rPr>
      </w:pPr>
    </w:p>
    <w:p w14:paraId="2BD1C47A" w14:textId="1D776B30" w:rsidR="005F55E4" w:rsidRPr="00562D16" w:rsidRDefault="00DB7268" w:rsidP="005F55E4">
      <w:pPr>
        <w:spacing w:before="120" w:after="120" w:line="240" w:lineRule="auto"/>
        <w:ind w:left="850"/>
        <w:jc w:val="both"/>
        <w:rPr>
          <w:rFonts w:ascii="Times New Roman" w:eastAsia="Calibri" w:hAnsi="Times New Roman" w:cs="Times New Roman"/>
          <w:b/>
          <w:i/>
          <w:noProof/>
          <w:color w:val="4F81BD"/>
          <w:sz w:val="24"/>
        </w:rPr>
      </w:pPr>
      <w:r>
        <w:rPr>
          <w:rFonts w:ascii="Times New Roman" w:hAnsi="Times New Roman"/>
          <w:b/>
          <w:noProof/>
          <w:sz w:val="24"/>
          <w:u w:val="single"/>
        </w:rPr>
        <w:t>Г</w:t>
      </w:r>
      <w:r w:rsidR="005F55E4">
        <w:rPr>
          <w:rFonts w:ascii="Times New Roman" w:hAnsi="Times New Roman"/>
          <w:b/>
          <w:noProof/>
          <w:sz w:val="24"/>
          <w:u w:val="single"/>
        </w:rPr>
        <w:t xml:space="preserve">.1 </w:t>
      </w:r>
      <w:r w:rsidR="005F55E4">
        <w:rPr>
          <w:rFonts w:ascii="Times New Roman" w:hAnsi="Times New Roman"/>
          <w:b/>
          <w:noProof/>
          <w:sz w:val="24"/>
          <w:u w:val="single"/>
        </w:rPr>
        <w:tab/>
        <w:t>Описание на реформите и инвестициите за безвъзмездна финансова подкрепа</w:t>
      </w:r>
    </w:p>
    <w:p w14:paraId="296B4B99" w14:textId="77777777" w:rsidR="005F55E4" w:rsidRPr="008A0F8A" w:rsidRDefault="005F55E4" w:rsidP="005F55E4">
      <w:pPr>
        <w:spacing w:before="120" w:after="120" w:line="240" w:lineRule="auto"/>
        <w:ind w:left="850"/>
        <w:jc w:val="both"/>
        <w:rPr>
          <w:rFonts w:ascii="Times New Roman" w:eastAsia="Calibri" w:hAnsi="Times New Roman" w:cs="Times New Roman"/>
          <w:noProof/>
          <w:sz w:val="24"/>
          <w:lang w:val="ru-RU"/>
        </w:rPr>
      </w:pPr>
    </w:p>
    <w:p w14:paraId="143FE6CE" w14:textId="463C3248" w:rsidR="005F55E4" w:rsidRPr="00562D16" w:rsidRDefault="005F55E4" w:rsidP="000750E7">
      <w:pPr>
        <w:spacing w:before="120" w:after="120" w:line="240" w:lineRule="auto"/>
        <w:ind w:left="851"/>
        <w:jc w:val="both"/>
        <w:rPr>
          <w:rFonts w:ascii="Times New Roman" w:eastAsia="Calibri" w:hAnsi="Times New Roman" w:cs="Times New Roman"/>
          <w:noProof/>
          <w:sz w:val="24"/>
          <w:u w:val="single"/>
        </w:rPr>
      </w:pPr>
      <w:r>
        <w:rPr>
          <w:rFonts w:ascii="Times New Roman" w:hAnsi="Times New Roman"/>
          <w:noProof/>
          <w:sz w:val="24"/>
          <w:u w:val="single"/>
        </w:rPr>
        <w:t>Реформа 1 (C4.R1): Създаване на Национален фонд за декарбонизация</w:t>
      </w:r>
    </w:p>
    <w:p w14:paraId="7286257B" w14:textId="77777777" w:rsidR="005F55E4" w:rsidRPr="00562D16" w:rsidRDefault="005F55E4" w:rsidP="000750E7">
      <w:pPr>
        <w:spacing w:before="120" w:after="120" w:line="240" w:lineRule="auto"/>
        <w:ind w:left="851"/>
        <w:jc w:val="both"/>
        <w:rPr>
          <w:rFonts w:ascii="Times New Roman" w:eastAsia="Calibri" w:hAnsi="Times New Roman" w:cs="Times New Roman"/>
          <w:noProof/>
          <w:sz w:val="24"/>
        </w:rPr>
      </w:pPr>
      <w:r>
        <w:rPr>
          <w:rFonts w:ascii="Times New Roman" w:hAnsi="Times New Roman"/>
          <w:noProof/>
          <w:sz w:val="24"/>
        </w:rPr>
        <w:t xml:space="preserve">Реформата има за цел създаването на Националния фонд за декарбонизация и неговите подфондове. </w:t>
      </w:r>
    </w:p>
    <w:p w14:paraId="1F58C5D0" w14:textId="77777777" w:rsidR="005F55E4" w:rsidRPr="00562D16" w:rsidRDefault="005F55E4" w:rsidP="000750E7">
      <w:pPr>
        <w:spacing w:before="120" w:after="120" w:line="240" w:lineRule="auto"/>
        <w:ind w:left="851"/>
        <w:jc w:val="both"/>
        <w:rPr>
          <w:rFonts w:ascii="Times New Roman" w:eastAsia="Calibri" w:hAnsi="Times New Roman" w:cs="Times New Roman"/>
          <w:noProof/>
          <w:sz w:val="24"/>
        </w:rPr>
      </w:pPr>
      <w:r>
        <w:rPr>
          <w:rFonts w:ascii="Times New Roman" w:hAnsi="Times New Roman"/>
          <w:noProof/>
          <w:sz w:val="24"/>
        </w:rPr>
        <w:t>Мярката се състои в оценяване на националната регулаторна рамка за енергийна ефективност от независима експертна група с цел: i) идентифициране на пречките пред инвестициите в енергийна ефективност и предоставяне на препоръки за промени в националната регулаторна рамка; ii) набелязване на варианти за структурата на Националния фонд за декарбонизация, по-специално по отношение на правилата за управление и функциониране; и iii) идентифициране на потенциални източници за капитализацията на Националния фонд за декарбонизация, включително за техническа помощ и механизми за използване на капитала на Националния фонд за декарбонизация за преобразуване от безвъзмездни средства във финансови инструменти.</w:t>
      </w:r>
    </w:p>
    <w:p w14:paraId="0075565E" w14:textId="51E27581" w:rsidR="005F55E4" w:rsidRPr="00562D16" w:rsidRDefault="005F55E4" w:rsidP="000750E7">
      <w:pPr>
        <w:spacing w:before="120" w:after="120" w:line="240" w:lineRule="auto"/>
        <w:ind w:left="851"/>
        <w:jc w:val="both"/>
        <w:rPr>
          <w:rFonts w:ascii="Times New Roman" w:eastAsia="Calibri" w:hAnsi="Times New Roman" w:cs="Times New Roman"/>
          <w:noProof/>
          <w:sz w:val="24"/>
        </w:rPr>
      </w:pPr>
      <w:r>
        <w:rPr>
          <w:rFonts w:ascii="Times New Roman" w:hAnsi="Times New Roman"/>
          <w:noProof/>
          <w:sz w:val="24"/>
        </w:rPr>
        <w:t xml:space="preserve">Законът и свързаните с него подзаконови актове за създаване на Националния фонд за декарбонизация и неговите подфондове определят точната структура, управление и правила за дейността на фонда. </w:t>
      </w:r>
    </w:p>
    <w:p w14:paraId="307EF7D1" w14:textId="77777777" w:rsidR="005F55E4" w:rsidRPr="00562D16" w:rsidRDefault="005F55E4" w:rsidP="000750E7">
      <w:pPr>
        <w:spacing w:before="120" w:after="120" w:line="240" w:lineRule="auto"/>
        <w:ind w:left="851"/>
        <w:jc w:val="both"/>
        <w:rPr>
          <w:rFonts w:ascii="Times New Roman" w:eastAsia="Calibri" w:hAnsi="Times New Roman" w:cs="Times New Roman"/>
          <w:noProof/>
          <w:sz w:val="24"/>
        </w:rPr>
      </w:pPr>
      <w:r>
        <w:rPr>
          <w:rFonts w:ascii="Times New Roman" w:hAnsi="Times New Roman"/>
          <w:noProof/>
          <w:sz w:val="24"/>
        </w:rPr>
        <w:t>Националният фонд за декарбонизация се използва за предоставяне на безвъзмездни средства и техническа помощ, комбинирани с финансови инструменти, включително кредитни линии и гаранции и/или комбинация от тях. Фондът предвижда създаването на единно звено за техническа помощ за кандидатите чрез обслужване на едно гише или подобни механизми.</w:t>
      </w:r>
    </w:p>
    <w:p w14:paraId="11F5D217" w14:textId="77777777" w:rsidR="005F55E4" w:rsidRPr="00562D16" w:rsidRDefault="005F55E4" w:rsidP="000750E7">
      <w:pPr>
        <w:spacing w:before="120" w:after="120" w:line="240" w:lineRule="auto"/>
        <w:ind w:left="851"/>
        <w:jc w:val="both"/>
        <w:rPr>
          <w:rFonts w:ascii="Times New Roman" w:eastAsia="Calibri" w:hAnsi="Times New Roman" w:cs="Times New Roman"/>
          <w:noProof/>
          <w:sz w:val="24"/>
        </w:rPr>
      </w:pPr>
      <w:r>
        <w:rPr>
          <w:rFonts w:ascii="Times New Roman" w:hAnsi="Times New Roman"/>
          <w:noProof/>
          <w:sz w:val="24"/>
        </w:rPr>
        <w:t xml:space="preserve">Изпълнението на реформата ще приключи до 30 септември 2024 г. </w:t>
      </w:r>
    </w:p>
    <w:p w14:paraId="1E896E13" w14:textId="77777777" w:rsidR="005F55E4" w:rsidRPr="008A0F8A" w:rsidRDefault="005F55E4" w:rsidP="000750E7">
      <w:pPr>
        <w:spacing w:before="120" w:after="120" w:line="240" w:lineRule="auto"/>
        <w:ind w:left="851"/>
        <w:jc w:val="both"/>
        <w:rPr>
          <w:rFonts w:ascii="Times New Roman" w:eastAsia="Calibri" w:hAnsi="Times New Roman" w:cs="Times New Roman"/>
          <w:noProof/>
          <w:sz w:val="24"/>
          <w:u w:val="single"/>
          <w:lang w:val="ru-RU"/>
        </w:rPr>
      </w:pPr>
    </w:p>
    <w:p w14:paraId="19508318" w14:textId="51AC2AC2" w:rsidR="005F55E4" w:rsidRPr="00562D16" w:rsidRDefault="005F55E4" w:rsidP="000750E7">
      <w:pPr>
        <w:spacing w:before="120" w:after="120" w:line="240" w:lineRule="auto"/>
        <w:ind w:left="851"/>
        <w:jc w:val="both"/>
        <w:rPr>
          <w:rFonts w:ascii="Times New Roman" w:eastAsia="Calibri" w:hAnsi="Times New Roman" w:cs="Times New Roman"/>
          <w:noProof/>
          <w:sz w:val="24"/>
          <w:u w:val="single"/>
        </w:rPr>
      </w:pPr>
      <w:r>
        <w:rPr>
          <w:rFonts w:ascii="Times New Roman" w:hAnsi="Times New Roman"/>
          <w:noProof/>
          <w:sz w:val="24"/>
          <w:u w:val="single"/>
        </w:rPr>
        <w:t>Реформа 2 (C4.R2)</w:t>
      </w:r>
      <w:r>
        <w:rPr>
          <w:rFonts w:ascii="Times New Roman" w:hAnsi="Times New Roman"/>
          <w:b/>
          <w:noProof/>
          <w:sz w:val="24"/>
          <w:u w:val="single"/>
        </w:rPr>
        <w:t>: </w:t>
      </w:r>
      <w:r>
        <w:rPr>
          <w:rFonts w:ascii="Times New Roman" w:hAnsi="Times New Roman"/>
          <w:noProof/>
          <w:sz w:val="24"/>
          <w:u w:val="single"/>
        </w:rPr>
        <w:t>Улесняване на инвестициите в енергийно-ефективно обновяване на жилищни сгради </w:t>
      </w:r>
    </w:p>
    <w:p w14:paraId="40C1E3AF" w14:textId="73F0F84B" w:rsidR="005F55E4" w:rsidRPr="00562D16" w:rsidRDefault="005F55E4" w:rsidP="000750E7">
      <w:pPr>
        <w:tabs>
          <w:tab w:val="num" w:pos="720"/>
        </w:tabs>
        <w:spacing w:before="120" w:after="120" w:line="240" w:lineRule="auto"/>
        <w:ind w:left="851"/>
        <w:jc w:val="both"/>
        <w:rPr>
          <w:rFonts w:ascii="Times New Roman" w:eastAsia="Calibri" w:hAnsi="Times New Roman" w:cs="Times New Roman"/>
          <w:noProof/>
          <w:sz w:val="24"/>
        </w:rPr>
      </w:pPr>
      <w:r>
        <w:rPr>
          <w:rFonts w:ascii="Times New Roman" w:hAnsi="Times New Roman"/>
          <w:noProof/>
          <w:sz w:val="24"/>
        </w:rPr>
        <w:t>Целта на реформата е да се преодолеят пречките пред инвестициите в енергийна ефективност чрез изменение на Закона за управление на етажната собственост, за да се улесни вземането на решения от собствениците на многофамилни жилищни сгради; да се регулира професионалното управление на етажната собственост в многофамилни сгради; и да се улесни кандидатстването за колективни заеми пред различни финансови институции. </w:t>
      </w:r>
    </w:p>
    <w:p w14:paraId="694875FE" w14:textId="77777777" w:rsidR="005F55E4" w:rsidRPr="00562D16" w:rsidRDefault="005F55E4" w:rsidP="000750E7">
      <w:pPr>
        <w:tabs>
          <w:tab w:val="num" w:pos="720"/>
        </w:tabs>
        <w:spacing w:before="120" w:after="120" w:line="240" w:lineRule="auto"/>
        <w:ind w:left="851"/>
        <w:jc w:val="both"/>
        <w:rPr>
          <w:rFonts w:ascii="Times New Roman" w:eastAsia="Calibri" w:hAnsi="Times New Roman" w:cs="Times New Roman"/>
          <w:noProof/>
          <w:sz w:val="24"/>
        </w:rPr>
      </w:pPr>
      <w:r>
        <w:rPr>
          <w:rFonts w:ascii="Times New Roman" w:hAnsi="Times New Roman"/>
          <w:noProof/>
          <w:sz w:val="24"/>
        </w:rPr>
        <w:t>Измененията се съгласуват със съответните промени в други законови и подзаконови актове. Очаква се изпълнението на мярката да допринесе за ефективността на инвестициите в енергийна ефективност при обновяването на сгради.</w:t>
      </w:r>
    </w:p>
    <w:p w14:paraId="1BE38976" w14:textId="77777777" w:rsidR="005F55E4" w:rsidRPr="00562D16" w:rsidRDefault="005F55E4" w:rsidP="000750E7">
      <w:pPr>
        <w:tabs>
          <w:tab w:val="num" w:pos="720"/>
        </w:tabs>
        <w:spacing w:before="120" w:after="120" w:line="240" w:lineRule="auto"/>
        <w:ind w:left="851"/>
        <w:jc w:val="both"/>
        <w:rPr>
          <w:rFonts w:ascii="Times New Roman" w:eastAsia="Calibri" w:hAnsi="Times New Roman" w:cs="Times New Roman"/>
          <w:noProof/>
          <w:sz w:val="24"/>
        </w:rPr>
      </w:pPr>
      <w:r>
        <w:rPr>
          <w:rFonts w:ascii="Times New Roman" w:hAnsi="Times New Roman"/>
          <w:noProof/>
          <w:sz w:val="24"/>
        </w:rPr>
        <w:t>Изпълнението на реформата ще приключи до 30 септември 2022 г.</w:t>
      </w:r>
    </w:p>
    <w:p w14:paraId="031D34D6" w14:textId="77777777" w:rsidR="005F55E4" w:rsidRPr="008A0F8A" w:rsidRDefault="005F55E4" w:rsidP="000750E7">
      <w:pPr>
        <w:spacing w:before="120" w:after="120" w:line="240" w:lineRule="auto"/>
        <w:ind w:left="851"/>
        <w:jc w:val="both"/>
        <w:rPr>
          <w:rFonts w:ascii="Times New Roman" w:eastAsia="Calibri" w:hAnsi="Times New Roman" w:cs="Times New Roman"/>
          <w:noProof/>
          <w:sz w:val="24"/>
          <w:u w:val="single"/>
          <w:lang w:val="ru-RU"/>
        </w:rPr>
      </w:pPr>
    </w:p>
    <w:p w14:paraId="1280955D" w14:textId="36634626" w:rsidR="005F55E4" w:rsidRPr="00562D16" w:rsidRDefault="005F55E4" w:rsidP="000750E7">
      <w:pPr>
        <w:spacing w:before="120" w:after="120" w:line="240" w:lineRule="auto"/>
        <w:ind w:left="851"/>
        <w:jc w:val="both"/>
        <w:rPr>
          <w:rFonts w:ascii="Times New Roman" w:eastAsia="Calibri" w:hAnsi="Times New Roman" w:cs="Times New Roman"/>
          <w:noProof/>
          <w:sz w:val="24"/>
          <w:u w:val="single"/>
        </w:rPr>
      </w:pPr>
      <w:r>
        <w:rPr>
          <w:rFonts w:ascii="Times New Roman" w:hAnsi="Times New Roman"/>
          <w:noProof/>
          <w:sz w:val="24"/>
          <w:u w:val="single"/>
        </w:rPr>
        <w:t>Реформа 3 (C4.R3):</w:t>
      </w:r>
      <w:r>
        <w:rPr>
          <w:rFonts w:ascii="Times New Roman" w:hAnsi="Times New Roman"/>
          <w:b/>
          <w:noProof/>
          <w:sz w:val="24"/>
          <w:u w:val="single"/>
        </w:rPr>
        <w:t> </w:t>
      </w:r>
      <w:r>
        <w:rPr>
          <w:rFonts w:ascii="Times New Roman" w:hAnsi="Times New Roman"/>
          <w:noProof/>
          <w:sz w:val="24"/>
          <w:u w:val="single"/>
        </w:rPr>
        <w:t xml:space="preserve">Определение и критерии за „енергийна бедност“ за домакинствата </w:t>
      </w:r>
    </w:p>
    <w:p w14:paraId="69EEDD49" w14:textId="77777777" w:rsidR="005F55E4" w:rsidRPr="00562D16" w:rsidRDefault="005F55E4" w:rsidP="000750E7">
      <w:pPr>
        <w:spacing w:before="120" w:after="120" w:line="240" w:lineRule="auto"/>
        <w:ind w:left="851"/>
        <w:jc w:val="both"/>
        <w:rPr>
          <w:rFonts w:ascii="Times New Roman" w:eastAsia="Calibri" w:hAnsi="Times New Roman" w:cs="Times New Roman"/>
          <w:noProof/>
          <w:sz w:val="24"/>
        </w:rPr>
      </w:pPr>
      <w:r>
        <w:rPr>
          <w:rFonts w:ascii="Times New Roman" w:hAnsi="Times New Roman"/>
          <w:noProof/>
          <w:sz w:val="24"/>
        </w:rPr>
        <w:t>Целта на тази реформа е да допринесе за справяне с енергийната бедност и защита на уязвимите потребители чрез въвеждане в Закона за енергетиката и подзаконовите актове на определение за „енергийна бедност“ и критерии за определяне на домакинствата в положение на енергийна бедност и уязвимите потребители. Реформата трябва да вземе предвид критериите, изброени в Директива (ЕС) 2019/944: ниски доходи, високи разходи от разполагаемия доход за енергия и слаба енергийна ефективност.</w:t>
      </w:r>
    </w:p>
    <w:p w14:paraId="0BAC3BD3" w14:textId="77777777" w:rsidR="005F55E4" w:rsidRPr="00562D16" w:rsidRDefault="005F55E4" w:rsidP="000750E7">
      <w:pPr>
        <w:spacing w:before="120" w:after="120" w:line="240" w:lineRule="auto"/>
        <w:ind w:left="851"/>
        <w:jc w:val="both"/>
        <w:rPr>
          <w:rFonts w:ascii="Times New Roman" w:eastAsia="Calibri" w:hAnsi="Times New Roman" w:cs="Times New Roman"/>
          <w:noProof/>
          <w:sz w:val="24"/>
        </w:rPr>
      </w:pPr>
      <w:r>
        <w:rPr>
          <w:rFonts w:ascii="Times New Roman" w:hAnsi="Times New Roman"/>
          <w:noProof/>
          <w:sz w:val="24"/>
        </w:rPr>
        <w:t>Изпълнението на реформата ще приключи до 31 декември 2022 г.</w:t>
      </w:r>
    </w:p>
    <w:p w14:paraId="697FBC41" w14:textId="77777777" w:rsidR="005F55E4" w:rsidRPr="008A0F8A" w:rsidRDefault="005F55E4" w:rsidP="000750E7">
      <w:pPr>
        <w:spacing w:before="120" w:after="120" w:line="240" w:lineRule="auto"/>
        <w:ind w:left="851"/>
        <w:jc w:val="both"/>
        <w:rPr>
          <w:rFonts w:ascii="Times New Roman" w:eastAsia="Calibri" w:hAnsi="Times New Roman" w:cs="Times New Roman"/>
          <w:noProof/>
          <w:sz w:val="24"/>
          <w:u w:val="single"/>
          <w:lang w:val="ru-RU"/>
        </w:rPr>
      </w:pPr>
    </w:p>
    <w:p w14:paraId="64660910" w14:textId="5108485D" w:rsidR="005F55E4" w:rsidRPr="00562D16" w:rsidRDefault="005F55E4" w:rsidP="000750E7">
      <w:pPr>
        <w:spacing w:before="120" w:after="120" w:line="240" w:lineRule="auto"/>
        <w:ind w:left="851"/>
        <w:jc w:val="both"/>
        <w:rPr>
          <w:rFonts w:ascii="Times New Roman" w:eastAsia="Calibri" w:hAnsi="Times New Roman" w:cs="Times New Roman"/>
          <w:noProof/>
          <w:sz w:val="24"/>
          <w:u w:val="single"/>
        </w:rPr>
      </w:pPr>
      <w:r>
        <w:rPr>
          <w:rFonts w:ascii="Times New Roman" w:hAnsi="Times New Roman"/>
          <w:noProof/>
          <w:sz w:val="24"/>
          <w:u w:val="single"/>
        </w:rPr>
        <w:t>Инвестиция 1 (C4.I1): Подкрепа за обновяване на сградния фонд </w:t>
      </w:r>
    </w:p>
    <w:p w14:paraId="3976A9E4" w14:textId="77777777" w:rsidR="005F55E4" w:rsidRPr="00562D16" w:rsidRDefault="005F55E4" w:rsidP="000750E7">
      <w:pPr>
        <w:spacing w:before="120" w:after="120" w:line="240" w:lineRule="auto"/>
        <w:ind w:left="851"/>
        <w:jc w:val="both"/>
        <w:rPr>
          <w:rFonts w:ascii="Times New Roman" w:eastAsia="Calibri" w:hAnsi="Times New Roman" w:cs="Times New Roman"/>
          <w:noProof/>
          <w:sz w:val="24"/>
        </w:rPr>
      </w:pPr>
      <w:r>
        <w:rPr>
          <w:rFonts w:ascii="Times New Roman" w:hAnsi="Times New Roman"/>
          <w:noProof/>
          <w:sz w:val="24"/>
        </w:rPr>
        <w:t>Целта на мярката е да се подобри енергийната ефективност на сградния фонд чрез намаляване средно с поне 30 % на потреблението на първична енергия.</w:t>
      </w:r>
    </w:p>
    <w:p w14:paraId="18606C11" w14:textId="71531C2F" w:rsidR="005F55E4" w:rsidRDefault="005F55E4" w:rsidP="000750E7">
      <w:pPr>
        <w:spacing w:before="120" w:after="120" w:line="240" w:lineRule="auto"/>
        <w:ind w:left="851"/>
        <w:jc w:val="both"/>
        <w:rPr>
          <w:rFonts w:ascii="Times New Roman" w:eastAsia="Calibri" w:hAnsi="Times New Roman" w:cs="Times New Roman"/>
          <w:noProof/>
          <w:sz w:val="24"/>
        </w:rPr>
      </w:pPr>
      <w:r>
        <w:rPr>
          <w:rFonts w:ascii="Times New Roman" w:hAnsi="Times New Roman"/>
          <w:noProof/>
          <w:sz w:val="24"/>
        </w:rPr>
        <w:t>Мярката се състои от инвестиции за обновяване на сгради, разделени на три подмерки: i) енергийно-ефективно обновяване на жилищни сгради; ii) енергийно-ефективно обновяване на нежилищни сгради, включително обществени сгради, и iii) енергийно-ефективно обновяване на нежилищни сгради в производството, търговията и услугите, както и на сгради в туристическия сектор.</w:t>
      </w:r>
    </w:p>
    <w:p w14:paraId="239DA3C8" w14:textId="7E28246C" w:rsidR="00A74ADE" w:rsidRDefault="00A74ADE" w:rsidP="000750E7">
      <w:pPr>
        <w:spacing w:before="120" w:after="120" w:line="240" w:lineRule="auto"/>
        <w:ind w:left="851"/>
        <w:jc w:val="both"/>
        <w:rPr>
          <w:rFonts w:ascii="Times New Roman" w:eastAsia="Calibri" w:hAnsi="Times New Roman" w:cs="Times New Roman"/>
          <w:noProof/>
          <w:sz w:val="24"/>
        </w:rPr>
      </w:pPr>
      <w:r>
        <w:rPr>
          <w:rFonts w:ascii="Times New Roman" w:hAnsi="Times New Roman"/>
          <w:noProof/>
          <w:sz w:val="24"/>
        </w:rPr>
        <w:t>Очаква се подмерките в рамките на тази инвестиция да бъдат приложени в допълнение към инвестициите в рамките на политиката на сближаване. Разграничаването се извършва на ниво проект и се въвежда механизъм за мониторинг, за да се избегне двойното финансиране, по-специално с програмата „Развитие на регионите“ за периода 2021—2027 г. и програмата „Околна среда“ за периода 2021—2027 г.</w:t>
      </w:r>
    </w:p>
    <w:p w14:paraId="7250AFBA" w14:textId="77777777" w:rsidR="00A74ADE" w:rsidRPr="008A0F8A" w:rsidRDefault="00A74ADE" w:rsidP="000750E7">
      <w:pPr>
        <w:spacing w:before="120" w:after="120" w:line="240" w:lineRule="auto"/>
        <w:ind w:left="851"/>
        <w:jc w:val="both"/>
        <w:rPr>
          <w:rFonts w:ascii="Times New Roman" w:eastAsia="Calibri" w:hAnsi="Times New Roman" w:cs="Times New Roman"/>
          <w:noProof/>
          <w:sz w:val="24"/>
          <w:lang w:val="ru-RU"/>
        </w:rPr>
      </w:pPr>
    </w:p>
    <w:p w14:paraId="461E92A8" w14:textId="77777777" w:rsidR="005F55E4" w:rsidRPr="00562D16" w:rsidRDefault="005F55E4" w:rsidP="000750E7">
      <w:pPr>
        <w:spacing w:before="120" w:after="120" w:line="240" w:lineRule="auto"/>
        <w:ind w:left="851"/>
        <w:jc w:val="both"/>
        <w:rPr>
          <w:rFonts w:ascii="Times New Roman" w:eastAsia="Calibri" w:hAnsi="Times New Roman" w:cs="Times New Roman"/>
          <w:noProof/>
          <w:sz w:val="24"/>
        </w:rPr>
      </w:pPr>
      <w:r>
        <w:rPr>
          <w:rFonts w:ascii="Times New Roman" w:hAnsi="Times New Roman"/>
          <w:noProof/>
          <w:sz w:val="24"/>
        </w:rPr>
        <w:t>Изпълнението на инвестицията ще приключи до 30 юни 2026 г.</w:t>
      </w:r>
    </w:p>
    <w:p w14:paraId="2817EA6E" w14:textId="77777777" w:rsidR="005F55E4" w:rsidRPr="00562D16" w:rsidRDefault="005F55E4" w:rsidP="000750E7">
      <w:pPr>
        <w:spacing w:before="120" w:after="120" w:line="240" w:lineRule="auto"/>
        <w:ind w:left="851"/>
        <w:jc w:val="both"/>
        <w:rPr>
          <w:rFonts w:ascii="Times New Roman" w:eastAsia="Calibri" w:hAnsi="Times New Roman" w:cs="Times New Roman"/>
          <w:noProof/>
          <w:sz w:val="24"/>
          <w:u w:val="single"/>
        </w:rPr>
      </w:pPr>
      <w:r>
        <w:rPr>
          <w:rFonts w:ascii="Times New Roman" w:hAnsi="Times New Roman"/>
          <w:noProof/>
          <w:sz w:val="24"/>
          <w:u w:val="single"/>
        </w:rPr>
        <w:t>Подмярка 1: Обновяване на жилищни сгради</w:t>
      </w:r>
    </w:p>
    <w:p w14:paraId="38894C1D" w14:textId="23555DA3" w:rsidR="005F55E4" w:rsidRPr="00562D16" w:rsidRDefault="005F55E4" w:rsidP="000750E7">
      <w:pPr>
        <w:spacing w:before="120" w:after="120" w:line="240" w:lineRule="auto"/>
        <w:ind w:left="851"/>
        <w:jc w:val="both"/>
        <w:rPr>
          <w:rFonts w:ascii="Times New Roman" w:eastAsia="Calibri" w:hAnsi="Times New Roman" w:cs="Times New Roman"/>
          <w:noProof/>
          <w:sz w:val="24"/>
        </w:rPr>
      </w:pPr>
      <w:r>
        <w:rPr>
          <w:rFonts w:ascii="Times New Roman" w:hAnsi="Times New Roman"/>
          <w:noProof/>
          <w:sz w:val="24"/>
        </w:rPr>
        <w:t>Подмярката се състои от енергийно-ефективно обновяване на многофамилни сгради. Тези видове сгради се управляват в режим на етажна собственост в съответствие със Закона за управление на етажната собственост, разгледан с Реформа 2 на този компонент (C4R2). Подмярката води до реновиране на жилищни сгради с обща брутна застроена площ най-малко 3,6 милиона m².</w:t>
      </w:r>
      <w:r>
        <w:rPr>
          <w:rFonts w:ascii="Times New Roman" w:hAnsi="Times New Roman"/>
          <w:noProof/>
          <w:color w:val="006100"/>
        </w:rPr>
        <w:t xml:space="preserve"> </w:t>
      </w:r>
    </w:p>
    <w:p w14:paraId="0639B953" w14:textId="77777777" w:rsidR="005F55E4" w:rsidRPr="00562D16" w:rsidRDefault="005F55E4" w:rsidP="000750E7">
      <w:pPr>
        <w:spacing w:before="120" w:after="120" w:line="240" w:lineRule="auto"/>
        <w:ind w:left="851"/>
        <w:jc w:val="both"/>
        <w:rPr>
          <w:rFonts w:ascii="Times New Roman" w:eastAsia="Calibri" w:hAnsi="Times New Roman" w:cs="Times New Roman"/>
          <w:noProof/>
          <w:sz w:val="24"/>
        </w:rPr>
      </w:pPr>
      <w:r>
        <w:rPr>
          <w:rFonts w:ascii="Times New Roman" w:hAnsi="Times New Roman"/>
          <w:noProof/>
          <w:sz w:val="24"/>
        </w:rPr>
        <w:t>В схемата по подмярката се предвижда, че при обновяването се очаква да се постигнат средно икономии от най-малко 30 % от потреблението на първична енергия.</w:t>
      </w:r>
    </w:p>
    <w:p w14:paraId="6F874EE3" w14:textId="77C4964A" w:rsidR="005F55E4" w:rsidRPr="008A0F8A" w:rsidRDefault="005F55E4" w:rsidP="000750E7">
      <w:pPr>
        <w:spacing w:before="120" w:after="120" w:line="240" w:lineRule="auto"/>
        <w:ind w:left="851"/>
        <w:jc w:val="both"/>
        <w:rPr>
          <w:rFonts w:ascii="Times New Roman" w:eastAsia="Calibri" w:hAnsi="Times New Roman" w:cs="Times New Roman"/>
          <w:noProof/>
          <w:sz w:val="24"/>
          <w:lang w:val="ru-RU"/>
        </w:rPr>
      </w:pPr>
    </w:p>
    <w:p w14:paraId="34EA3AF9" w14:textId="7533B78C" w:rsidR="005F55E4" w:rsidRPr="00562D16" w:rsidRDefault="005F55E4" w:rsidP="000750E7">
      <w:pPr>
        <w:spacing w:before="120" w:after="120" w:line="240" w:lineRule="auto"/>
        <w:ind w:left="851"/>
        <w:jc w:val="both"/>
        <w:rPr>
          <w:rFonts w:ascii="Times New Roman" w:eastAsia="Calibri" w:hAnsi="Times New Roman" w:cs="Times New Roman"/>
          <w:noProof/>
          <w:sz w:val="24"/>
          <w:u w:val="single"/>
        </w:rPr>
      </w:pPr>
      <w:r>
        <w:rPr>
          <w:rFonts w:ascii="Times New Roman" w:hAnsi="Times New Roman"/>
          <w:noProof/>
          <w:sz w:val="24"/>
          <w:u w:val="single"/>
        </w:rPr>
        <w:t>Подмярка 2: Обновяване на нежилищни, обществени сгради</w:t>
      </w:r>
    </w:p>
    <w:p w14:paraId="18E53A80" w14:textId="44178486" w:rsidR="005F55E4" w:rsidRPr="00562D16" w:rsidRDefault="34C6512C" w:rsidP="71F3F1F6">
      <w:pPr>
        <w:spacing w:before="120" w:after="120" w:line="240" w:lineRule="auto"/>
        <w:ind w:left="851"/>
        <w:jc w:val="both"/>
        <w:rPr>
          <w:rFonts w:ascii="Times New Roman" w:eastAsia="Calibri" w:hAnsi="Times New Roman" w:cs="Times New Roman"/>
          <w:noProof/>
          <w:sz w:val="24"/>
          <w:szCs w:val="24"/>
        </w:rPr>
      </w:pPr>
      <w:r>
        <w:rPr>
          <w:rFonts w:ascii="Times New Roman" w:hAnsi="Times New Roman"/>
          <w:noProof/>
          <w:sz w:val="24"/>
        </w:rPr>
        <w:t>Подмярката се състои във финансирането на мерки за устойчиво енергийно обновяване на държавни и общински сгради (включително сгради с административно обслужване, обществени сгради в областта на културата, изкуството и спорта, както и сгради, собственост на Българската академия на науките).</w:t>
      </w:r>
      <w:r>
        <w:rPr>
          <w:rFonts w:ascii="Times New Roman" w:hAnsi="Times New Roman"/>
          <w:noProof/>
        </w:rPr>
        <w:t xml:space="preserve"> </w:t>
      </w:r>
      <w:r>
        <w:rPr>
          <w:rFonts w:ascii="Times New Roman" w:hAnsi="Times New Roman"/>
          <w:noProof/>
          <w:sz w:val="24"/>
        </w:rPr>
        <w:t xml:space="preserve">Подмярката води до обновяване на нежилищни сгради с обща площ от най-малко 1,4 милиона m². </w:t>
      </w:r>
    </w:p>
    <w:p w14:paraId="2D020463" w14:textId="6D4B67B9" w:rsidR="005F55E4" w:rsidRPr="00562D16" w:rsidRDefault="005F55E4" w:rsidP="000750E7">
      <w:pPr>
        <w:spacing w:before="120" w:after="120" w:line="240" w:lineRule="auto"/>
        <w:ind w:left="851"/>
        <w:jc w:val="both"/>
        <w:rPr>
          <w:rFonts w:ascii="Times New Roman" w:eastAsia="Calibri" w:hAnsi="Times New Roman" w:cs="Times New Roman"/>
          <w:noProof/>
          <w:sz w:val="24"/>
        </w:rPr>
      </w:pPr>
      <w:r>
        <w:rPr>
          <w:rFonts w:ascii="Times New Roman" w:hAnsi="Times New Roman"/>
          <w:noProof/>
          <w:sz w:val="24"/>
        </w:rPr>
        <w:t>В схемата по подмярката се предвижда, че при обновяването се очаква да се постигнат средно икономии от най-малко 30 % от потреблението на първична енергия.</w:t>
      </w:r>
    </w:p>
    <w:p w14:paraId="416F132C" w14:textId="77777777" w:rsidR="005F55E4" w:rsidRPr="008A0F8A" w:rsidRDefault="005F55E4" w:rsidP="000750E7">
      <w:pPr>
        <w:spacing w:before="120" w:after="120" w:line="240" w:lineRule="auto"/>
        <w:ind w:left="851"/>
        <w:jc w:val="both"/>
        <w:rPr>
          <w:rFonts w:ascii="Times New Roman" w:eastAsia="Calibri" w:hAnsi="Times New Roman" w:cs="Times New Roman"/>
          <w:noProof/>
          <w:sz w:val="24"/>
          <w:u w:val="single"/>
          <w:lang w:val="ru-RU"/>
        </w:rPr>
      </w:pPr>
    </w:p>
    <w:p w14:paraId="5D3F4437" w14:textId="77777777" w:rsidR="005F55E4" w:rsidRPr="00562D16" w:rsidRDefault="005F55E4" w:rsidP="000750E7">
      <w:pPr>
        <w:spacing w:before="120" w:after="120" w:line="240" w:lineRule="auto"/>
        <w:ind w:left="851"/>
        <w:jc w:val="both"/>
        <w:rPr>
          <w:rFonts w:ascii="Times New Roman" w:eastAsia="Calibri" w:hAnsi="Times New Roman" w:cs="Times New Roman"/>
          <w:noProof/>
          <w:sz w:val="24"/>
          <w:u w:val="single"/>
        </w:rPr>
      </w:pPr>
      <w:r>
        <w:rPr>
          <w:rFonts w:ascii="Times New Roman" w:hAnsi="Times New Roman"/>
          <w:noProof/>
          <w:sz w:val="24"/>
          <w:u w:val="single"/>
        </w:rPr>
        <w:t xml:space="preserve">Подмярка 3: Обновяване на нежилищни сгради в производството, търговията и услугите, както и на сгради от туристическия сектор </w:t>
      </w:r>
    </w:p>
    <w:p w14:paraId="5F28EBE3" w14:textId="77777777" w:rsidR="005F55E4" w:rsidRPr="00562D16" w:rsidRDefault="005F55E4" w:rsidP="000750E7">
      <w:pPr>
        <w:spacing w:before="120" w:after="120" w:line="240" w:lineRule="auto"/>
        <w:ind w:left="851"/>
        <w:jc w:val="both"/>
        <w:rPr>
          <w:rFonts w:ascii="Times New Roman" w:eastAsia="Calibri" w:hAnsi="Times New Roman" w:cs="Times New Roman"/>
          <w:noProof/>
          <w:sz w:val="24"/>
        </w:rPr>
      </w:pPr>
      <w:r>
        <w:rPr>
          <w:rFonts w:ascii="Times New Roman" w:hAnsi="Times New Roman"/>
          <w:noProof/>
          <w:sz w:val="24"/>
        </w:rPr>
        <w:t>Подмярката се състои от финансиране на мерки за устойчиво енергийно ефективно обновяване на сгради в областта на производството, търговията и услугите.</w:t>
      </w:r>
    </w:p>
    <w:p w14:paraId="3FEE519C" w14:textId="77777777" w:rsidR="005F55E4" w:rsidRPr="00562D16" w:rsidRDefault="005F55E4" w:rsidP="000750E7">
      <w:pPr>
        <w:spacing w:before="120" w:after="120" w:line="240" w:lineRule="auto"/>
        <w:ind w:left="851"/>
        <w:jc w:val="both"/>
        <w:rPr>
          <w:rFonts w:ascii="Times New Roman" w:eastAsia="Calibri" w:hAnsi="Times New Roman" w:cs="Times New Roman"/>
          <w:noProof/>
          <w:sz w:val="24"/>
        </w:rPr>
      </w:pPr>
      <w:r>
        <w:rPr>
          <w:rFonts w:ascii="Times New Roman" w:hAnsi="Times New Roman"/>
          <w:noProof/>
          <w:sz w:val="24"/>
        </w:rPr>
        <w:t>В схемата по подмярката се предвижда, че при обновяването се очаква да се постигнат средно икономии от най-малко 30 % от потреблението на първична енергия.</w:t>
      </w:r>
    </w:p>
    <w:p w14:paraId="34BDA7F6" w14:textId="77777777" w:rsidR="005F55E4" w:rsidRPr="00562D16" w:rsidRDefault="005F55E4" w:rsidP="000750E7">
      <w:pPr>
        <w:spacing w:before="120" w:after="120" w:line="240" w:lineRule="auto"/>
        <w:ind w:left="851"/>
        <w:jc w:val="both"/>
        <w:rPr>
          <w:rFonts w:ascii="Times New Roman" w:eastAsia="Calibri" w:hAnsi="Times New Roman" w:cs="Times New Roman"/>
          <w:noProof/>
          <w:sz w:val="24"/>
        </w:rPr>
      </w:pPr>
      <w:r>
        <w:rPr>
          <w:rFonts w:ascii="Times New Roman" w:hAnsi="Times New Roman"/>
          <w:noProof/>
          <w:sz w:val="24"/>
        </w:rPr>
        <w:t>С цел да се гарантира, че мярката съответства на техническите насоки за прилагането на принципа за „ненанасяне на значителни вреди“ (2021/C58/01), критериите за допустимост, съдържащи се в техническото задание за предстоящи покани за представяне на проекти, изключват финансирането на инсталации, обхванати от схемата на Европейския съюз за търговия с емисии (СТЕ на ЕС).</w:t>
      </w:r>
    </w:p>
    <w:p w14:paraId="6AE15D7C" w14:textId="15BC8B3E" w:rsidR="005F55E4" w:rsidRPr="008A0F8A" w:rsidRDefault="005F55E4" w:rsidP="000750E7">
      <w:pPr>
        <w:spacing w:before="120" w:after="120" w:line="240" w:lineRule="auto"/>
        <w:ind w:left="851"/>
        <w:jc w:val="both"/>
        <w:rPr>
          <w:rFonts w:ascii="Times New Roman" w:eastAsia="Calibri" w:hAnsi="Times New Roman" w:cs="Times New Roman"/>
          <w:noProof/>
          <w:sz w:val="24"/>
          <w:u w:val="single"/>
          <w:lang w:val="ru-RU"/>
        </w:rPr>
      </w:pPr>
    </w:p>
    <w:p w14:paraId="62CC4512" w14:textId="6CC676A2" w:rsidR="005F55E4" w:rsidRPr="00562D16" w:rsidRDefault="005F55E4" w:rsidP="000750E7">
      <w:pPr>
        <w:spacing w:before="120" w:after="120" w:line="240" w:lineRule="auto"/>
        <w:ind w:left="851"/>
        <w:jc w:val="both"/>
        <w:rPr>
          <w:rFonts w:ascii="Times New Roman" w:eastAsia="Calibri" w:hAnsi="Times New Roman" w:cs="Times New Roman"/>
          <w:noProof/>
          <w:sz w:val="24"/>
          <w:u w:val="single"/>
        </w:rPr>
      </w:pPr>
      <w:r>
        <w:rPr>
          <w:rFonts w:ascii="Times New Roman" w:hAnsi="Times New Roman"/>
          <w:noProof/>
          <w:sz w:val="24"/>
          <w:u w:val="single"/>
        </w:rPr>
        <w:t xml:space="preserve">Инвестиция 2 (C4.I2): Подкрепа за енергия от възобновяеми източници за домакинствата </w:t>
      </w:r>
    </w:p>
    <w:p w14:paraId="5182BA73" w14:textId="77777777" w:rsidR="005F55E4" w:rsidRPr="00562D16" w:rsidRDefault="005F55E4" w:rsidP="000750E7">
      <w:pPr>
        <w:spacing w:before="120" w:after="120" w:line="240" w:lineRule="auto"/>
        <w:ind w:left="851"/>
        <w:jc w:val="both"/>
        <w:rPr>
          <w:rFonts w:ascii="Times New Roman" w:eastAsia="Calibri" w:hAnsi="Times New Roman" w:cs="Times New Roman"/>
          <w:noProof/>
          <w:sz w:val="24"/>
        </w:rPr>
      </w:pPr>
      <w:r>
        <w:rPr>
          <w:rFonts w:ascii="Times New Roman" w:hAnsi="Times New Roman"/>
          <w:noProof/>
          <w:sz w:val="24"/>
        </w:rPr>
        <w:t xml:space="preserve">Целта на мярката е да се увеличи използването на енергия от възобновяеми източници в крайното потребление на енергия в сектора на домакинствата чрез финансиране на закупуването на нови най-добри слънчеви системи за битово горещо водоснабдяване и фотоволтаични системи. </w:t>
      </w:r>
    </w:p>
    <w:p w14:paraId="1F37B1BC" w14:textId="77777777" w:rsidR="005F55E4" w:rsidRPr="00562D16" w:rsidRDefault="005F55E4" w:rsidP="000750E7">
      <w:pPr>
        <w:spacing w:before="120" w:after="120" w:line="240" w:lineRule="auto"/>
        <w:ind w:left="851"/>
        <w:jc w:val="both"/>
        <w:rPr>
          <w:rFonts w:ascii="Times New Roman" w:eastAsia="Calibri" w:hAnsi="Times New Roman" w:cs="Times New Roman"/>
          <w:noProof/>
          <w:sz w:val="24"/>
        </w:rPr>
      </w:pPr>
      <w:r>
        <w:rPr>
          <w:rFonts w:ascii="Times New Roman" w:hAnsi="Times New Roman"/>
          <w:noProof/>
          <w:sz w:val="24"/>
        </w:rPr>
        <w:t xml:space="preserve">Мярката се състои във финансирането на два вида мерки за използване на енергия от възобновяеми източници от домакинствата: i) </w:t>
      </w:r>
      <w:bookmarkStart w:id="3" w:name="bookmark419"/>
      <w:bookmarkEnd w:id="3"/>
      <w:r>
        <w:rPr>
          <w:rFonts w:ascii="Times New Roman" w:hAnsi="Times New Roman"/>
          <w:noProof/>
          <w:sz w:val="24"/>
        </w:rPr>
        <w:t>инсталиране на слънчеви системи за битово горещо водоснабдяване и</w:t>
      </w:r>
      <w:bookmarkStart w:id="4" w:name="bookmark420"/>
      <w:bookmarkEnd w:id="4"/>
      <w:r>
        <w:rPr>
          <w:rFonts w:ascii="Times New Roman" w:hAnsi="Times New Roman"/>
          <w:noProof/>
          <w:sz w:val="24"/>
        </w:rPr>
        <w:t xml:space="preserve"> ii) инсталиране на фотоволтаични системи с мощност до 10 kWp, включително акумулиране на електроенергия. </w:t>
      </w:r>
    </w:p>
    <w:p w14:paraId="36AA389D" w14:textId="77777777" w:rsidR="005F55E4" w:rsidRPr="00562D16" w:rsidRDefault="005F55E4" w:rsidP="000750E7">
      <w:pPr>
        <w:spacing w:before="120" w:after="120" w:line="240" w:lineRule="auto"/>
        <w:ind w:left="851"/>
        <w:jc w:val="both"/>
        <w:rPr>
          <w:rFonts w:ascii="Times New Roman" w:eastAsia="Calibri" w:hAnsi="Times New Roman" w:cs="Times New Roman"/>
          <w:noProof/>
          <w:sz w:val="24"/>
        </w:rPr>
      </w:pPr>
      <w:r>
        <w:rPr>
          <w:rFonts w:ascii="Times New Roman" w:hAnsi="Times New Roman"/>
          <w:noProof/>
          <w:sz w:val="24"/>
        </w:rPr>
        <w:t xml:space="preserve">Инвестицията трябва да подкрепи най-малко 10 000 домакинства с неефективни отоплителни устройства на твърдо гориво за замяната им най-добро слънчево битово горещо водоснабдяване (БГВ) или фотоволтаични системи. </w:t>
      </w:r>
    </w:p>
    <w:p w14:paraId="3B4AA52B" w14:textId="77777777" w:rsidR="005F55E4" w:rsidRPr="00562D16" w:rsidRDefault="005F55E4" w:rsidP="000750E7">
      <w:pPr>
        <w:spacing w:before="120" w:after="120" w:line="240" w:lineRule="auto"/>
        <w:ind w:left="851"/>
        <w:jc w:val="both"/>
        <w:rPr>
          <w:rFonts w:ascii="Times New Roman" w:eastAsia="Calibri" w:hAnsi="Times New Roman" w:cs="Times New Roman"/>
          <w:noProof/>
          <w:sz w:val="24"/>
        </w:rPr>
      </w:pPr>
      <w:r>
        <w:rPr>
          <w:rFonts w:ascii="Times New Roman" w:hAnsi="Times New Roman"/>
          <w:noProof/>
          <w:sz w:val="24"/>
        </w:rPr>
        <w:t>С инвестицията се финансира закупуването на най-добро слънчево битово горещо водоснабдяване (БГВ) или фотоволтаични системи в съответствие с техническите насоки за прилагането на принципа за „ненанасяне на значителни вреди“ (2021/C58/01).</w:t>
      </w:r>
    </w:p>
    <w:p w14:paraId="39AF3D0F" w14:textId="77777777" w:rsidR="005F55E4" w:rsidRPr="00562D16" w:rsidRDefault="005F55E4" w:rsidP="000750E7">
      <w:pPr>
        <w:spacing w:before="120" w:after="120" w:line="240" w:lineRule="auto"/>
        <w:ind w:left="851"/>
        <w:jc w:val="both"/>
        <w:rPr>
          <w:rFonts w:ascii="Times New Roman" w:eastAsia="Calibri" w:hAnsi="Times New Roman" w:cs="Times New Roman"/>
          <w:noProof/>
          <w:sz w:val="24"/>
        </w:rPr>
      </w:pPr>
      <w:r>
        <w:rPr>
          <w:rFonts w:ascii="Times New Roman" w:hAnsi="Times New Roman"/>
          <w:noProof/>
          <w:sz w:val="24"/>
        </w:rPr>
        <w:t xml:space="preserve">Изпълнението на инвестицията ще приключи до 30 юни 2025 г. </w:t>
      </w:r>
    </w:p>
    <w:p w14:paraId="12C64B82" w14:textId="77777777" w:rsidR="005F55E4" w:rsidRPr="008A0F8A" w:rsidRDefault="005F55E4" w:rsidP="000750E7">
      <w:pPr>
        <w:spacing w:before="120" w:after="120" w:line="240" w:lineRule="auto"/>
        <w:ind w:left="851"/>
        <w:jc w:val="both"/>
        <w:rPr>
          <w:rFonts w:ascii="Times New Roman" w:eastAsia="Calibri" w:hAnsi="Times New Roman" w:cs="Times New Roman"/>
          <w:noProof/>
          <w:sz w:val="24"/>
          <w:u w:val="single"/>
          <w:lang w:val="ru-RU"/>
        </w:rPr>
      </w:pPr>
    </w:p>
    <w:p w14:paraId="5C4B72A5" w14:textId="5B25D149" w:rsidR="005F55E4" w:rsidRPr="00562D16" w:rsidRDefault="005F55E4" w:rsidP="000750E7">
      <w:pPr>
        <w:spacing w:before="120" w:after="120" w:line="240" w:lineRule="auto"/>
        <w:ind w:left="851"/>
        <w:jc w:val="both"/>
        <w:rPr>
          <w:rFonts w:ascii="Times New Roman" w:eastAsia="Calibri" w:hAnsi="Times New Roman" w:cs="Times New Roman"/>
          <w:noProof/>
          <w:sz w:val="24"/>
          <w:u w:val="single"/>
        </w:rPr>
      </w:pPr>
      <w:r>
        <w:rPr>
          <w:rFonts w:ascii="Times New Roman" w:hAnsi="Times New Roman"/>
          <w:noProof/>
          <w:sz w:val="24"/>
          <w:u w:val="single"/>
        </w:rPr>
        <w:t>Инвестиция 3 (C4.I3): Подкрепа за енергийно ефективни системи за улично осветление </w:t>
      </w:r>
    </w:p>
    <w:p w14:paraId="557A1B87" w14:textId="77777777" w:rsidR="005F55E4" w:rsidRPr="00562D16" w:rsidRDefault="005F55E4" w:rsidP="000750E7">
      <w:pPr>
        <w:tabs>
          <w:tab w:val="num" w:pos="720"/>
        </w:tabs>
        <w:spacing w:before="120" w:after="120" w:line="240" w:lineRule="auto"/>
        <w:ind w:left="851"/>
        <w:jc w:val="both"/>
        <w:rPr>
          <w:rFonts w:ascii="Times New Roman" w:eastAsia="Calibri" w:hAnsi="Times New Roman" w:cs="Times New Roman"/>
          <w:noProof/>
          <w:sz w:val="24"/>
        </w:rPr>
      </w:pPr>
      <w:r>
        <w:rPr>
          <w:rFonts w:ascii="Times New Roman" w:hAnsi="Times New Roman"/>
          <w:noProof/>
          <w:sz w:val="24"/>
        </w:rPr>
        <w:t>Целта на мярката е да се повиши енергийната ефективност, да се намалят енергийните разходи за външно изкуствено осветление и да се подобрят условията на живот на населението в страната чрез технологично обновяване и модернизация на системите за външно изкуствено осветление.</w:t>
      </w:r>
    </w:p>
    <w:p w14:paraId="487EDFFC" w14:textId="77777777" w:rsidR="005F55E4" w:rsidRPr="00562D16" w:rsidRDefault="005F55E4" w:rsidP="000750E7">
      <w:pPr>
        <w:tabs>
          <w:tab w:val="num" w:pos="720"/>
        </w:tabs>
        <w:spacing w:before="120" w:after="120" w:line="240" w:lineRule="auto"/>
        <w:ind w:left="851"/>
        <w:jc w:val="both"/>
        <w:rPr>
          <w:rFonts w:ascii="Times New Roman" w:eastAsia="Calibri" w:hAnsi="Times New Roman" w:cs="Times New Roman"/>
          <w:noProof/>
          <w:sz w:val="24"/>
        </w:rPr>
      </w:pPr>
      <w:r>
        <w:rPr>
          <w:rFonts w:ascii="Times New Roman" w:hAnsi="Times New Roman"/>
          <w:noProof/>
          <w:sz w:val="24"/>
        </w:rPr>
        <w:t>Мярката се състои в реконструкция и модернизация на общинските системи за външно изкуствено осветление. Инвестицията има за цел да постигне средно най-малко 30 % намаление на потреблението на първична енергия, когато се сравнява преди и след прилагането на мярката.</w:t>
      </w:r>
    </w:p>
    <w:p w14:paraId="4663AD80" w14:textId="77777777" w:rsidR="005F55E4" w:rsidRPr="00562D16" w:rsidRDefault="005F55E4" w:rsidP="000750E7">
      <w:pPr>
        <w:tabs>
          <w:tab w:val="num" w:pos="720"/>
        </w:tabs>
        <w:spacing w:before="120" w:after="120" w:line="240" w:lineRule="auto"/>
        <w:ind w:left="851"/>
        <w:jc w:val="both"/>
        <w:rPr>
          <w:rFonts w:ascii="Times New Roman" w:eastAsia="Calibri" w:hAnsi="Times New Roman" w:cs="Times New Roman"/>
          <w:noProof/>
          <w:sz w:val="24"/>
        </w:rPr>
      </w:pPr>
      <w:r>
        <w:rPr>
          <w:rFonts w:ascii="Times New Roman" w:hAnsi="Times New Roman"/>
          <w:noProof/>
          <w:sz w:val="24"/>
        </w:rPr>
        <w:t>Изпълнението на реформата ще приключи до 30 юни 2025 г.</w:t>
      </w:r>
    </w:p>
    <w:p w14:paraId="7903D100" w14:textId="77777777" w:rsidR="005F55E4" w:rsidRPr="008A0F8A" w:rsidRDefault="005F55E4" w:rsidP="000750E7">
      <w:pPr>
        <w:spacing w:before="120" w:after="120" w:line="240" w:lineRule="auto"/>
        <w:ind w:left="851"/>
        <w:jc w:val="both"/>
        <w:rPr>
          <w:rFonts w:ascii="Times New Roman" w:eastAsia="Calibri" w:hAnsi="Times New Roman" w:cs="Times New Roman"/>
          <w:noProof/>
          <w:sz w:val="24"/>
          <w:u w:val="single"/>
          <w:lang w:val="ru-RU"/>
        </w:rPr>
      </w:pPr>
    </w:p>
    <w:p w14:paraId="2275F479" w14:textId="5BAFD92F" w:rsidR="005F55E4" w:rsidRPr="00562D16" w:rsidRDefault="005F55E4" w:rsidP="000750E7">
      <w:pPr>
        <w:spacing w:before="120" w:after="120" w:line="240" w:lineRule="auto"/>
        <w:ind w:left="851"/>
        <w:jc w:val="both"/>
        <w:rPr>
          <w:rFonts w:ascii="Times New Roman" w:eastAsia="Calibri" w:hAnsi="Times New Roman" w:cs="Times New Roman"/>
          <w:noProof/>
          <w:sz w:val="24"/>
          <w:u w:val="single"/>
        </w:rPr>
      </w:pPr>
      <w:r>
        <w:rPr>
          <w:rFonts w:ascii="Times New Roman" w:hAnsi="Times New Roman"/>
          <w:noProof/>
          <w:sz w:val="24"/>
          <w:u w:val="single"/>
        </w:rPr>
        <w:t xml:space="preserve">Реформа 4 (C4.R4): Насърчаване на проекти за енергийна ефективност и енергия от възобновяеми източници чрез сметките за енергия </w:t>
      </w:r>
    </w:p>
    <w:p w14:paraId="22308905" w14:textId="77777777" w:rsidR="005F55E4" w:rsidRPr="00562D16" w:rsidRDefault="005F55E4" w:rsidP="000750E7">
      <w:pPr>
        <w:tabs>
          <w:tab w:val="num" w:pos="720"/>
        </w:tabs>
        <w:spacing w:before="120" w:after="120" w:line="240" w:lineRule="auto"/>
        <w:ind w:left="851"/>
        <w:jc w:val="both"/>
        <w:rPr>
          <w:rFonts w:ascii="Times New Roman" w:eastAsia="Calibri" w:hAnsi="Times New Roman" w:cs="Times New Roman"/>
          <w:noProof/>
          <w:sz w:val="24"/>
        </w:rPr>
      </w:pPr>
      <w:r>
        <w:rPr>
          <w:rFonts w:ascii="Times New Roman" w:hAnsi="Times New Roman"/>
          <w:noProof/>
          <w:sz w:val="24"/>
        </w:rPr>
        <w:t>Целта на реформата е да се разширят възможностите за прилагане на мерки и проекти за подобряване на енергийната ефективност и използването на енергия от възобновяеми източници в контекста на ограничени финансови ресурси.</w:t>
      </w:r>
    </w:p>
    <w:p w14:paraId="3B054E19" w14:textId="77777777" w:rsidR="005F55E4" w:rsidRPr="00562D16" w:rsidRDefault="005F55E4" w:rsidP="000750E7">
      <w:pPr>
        <w:tabs>
          <w:tab w:val="num" w:pos="720"/>
        </w:tabs>
        <w:spacing w:before="120" w:after="120" w:line="240" w:lineRule="auto"/>
        <w:ind w:left="851"/>
        <w:jc w:val="both"/>
        <w:rPr>
          <w:rFonts w:ascii="Times New Roman" w:eastAsia="Calibri" w:hAnsi="Times New Roman" w:cs="Times New Roman"/>
          <w:noProof/>
          <w:sz w:val="24"/>
        </w:rPr>
      </w:pPr>
      <w:r>
        <w:rPr>
          <w:rFonts w:ascii="Times New Roman" w:hAnsi="Times New Roman"/>
          <w:noProof/>
          <w:sz w:val="24"/>
        </w:rPr>
        <w:t>Мярката се състои в изменения на Закона за енергетиката и подзаконовите актове, за да се даде възможност за използване на модели на дружества за предоставяне на енергийни услуги (ДПЕУ) за покриване на финансирането за енергийно ефективно обновяване и инсталации за възобновяема енергия чрез сметките за енергия.</w:t>
      </w:r>
    </w:p>
    <w:p w14:paraId="5591E148" w14:textId="02380017" w:rsidR="005F55E4" w:rsidRPr="00562D16" w:rsidRDefault="005F55E4" w:rsidP="000750E7">
      <w:pPr>
        <w:tabs>
          <w:tab w:val="num" w:pos="720"/>
        </w:tabs>
        <w:spacing w:before="120" w:after="120" w:line="240" w:lineRule="auto"/>
        <w:ind w:left="851"/>
        <w:jc w:val="both"/>
        <w:rPr>
          <w:rFonts w:ascii="Times New Roman" w:eastAsia="Calibri" w:hAnsi="Times New Roman" w:cs="Times New Roman"/>
          <w:noProof/>
          <w:sz w:val="24"/>
        </w:rPr>
      </w:pPr>
      <w:r>
        <w:rPr>
          <w:rFonts w:ascii="Times New Roman" w:hAnsi="Times New Roman"/>
          <w:noProof/>
          <w:sz w:val="24"/>
        </w:rPr>
        <w:t>Изпълнението на реформата ще приключи до 31 декември 2022 г.</w:t>
      </w:r>
    </w:p>
    <w:p w14:paraId="587C7CF1" w14:textId="77777777" w:rsidR="005F55E4" w:rsidRPr="008A0F8A" w:rsidRDefault="005F55E4" w:rsidP="000750E7">
      <w:pPr>
        <w:spacing w:before="120" w:after="120" w:line="240" w:lineRule="auto"/>
        <w:ind w:left="851"/>
        <w:jc w:val="both"/>
        <w:rPr>
          <w:rFonts w:ascii="Times New Roman" w:eastAsia="Calibri" w:hAnsi="Times New Roman" w:cs="Times New Roman"/>
          <w:noProof/>
          <w:sz w:val="24"/>
          <w:u w:val="single"/>
          <w:lang w:val="ru-RU"/>
        </w:rPr>
      </w:pPr>
    </w:p>
    <w:p w14:paraId="3AD21812" w14:textId="28B69AEB" w:rsidR="005F55E4" w:rsidRPr="00562D16" w:rsidRDefault="005F55E4" w:rsidP="000750E7">
      <w:pPr>
        <w:spacing w:before="120" w:after="120" w:line="240" w:lineRule="auto"/>
        <w:ind w:left="851"/>
        <w:jc w:val="both"/>
        <w:rPr>
          <w:rFonts w:ascii="Times New Roman" w:eastAsia="Calibri" w:hAnsi="Times New Roman" w:cs="Times New Roman"/>
          <w:noProof/>
          <w:sz w:val="24"/>
          <w:u w:val="single"/>
        </w:rPr>
      </w:pPr>
      <w:r>
        <w:rPr>
          <w:rFonts w:ascii="Times New Roman" w:hAnsi="Times New Roman"/>
          <w:noProof/>
          <w:sz w:val="24"/>
          <w:u w:val="single"/>
        </w:rPr>
        <w:t>Реформа 5 (C4.R5): Обслужване на едно гише за обновяване</w:t>
      </w:r>
    </w:p>
    <w:p w14:paraId="28F2414F" w14:textId="77777777" w:rsidR="005F55E4" w:rsidRPr="00562D16" w:rsidRDefault="005F55E4" w:rsidP="000750E7">
      <w:pPr>
        <w:tabs>
          <w:tab w:val="num" w:pos="720"/>
        </w:tabs>
        <w:spacing w:before="120" w:after="120" w:line="240" w:lineRule="auto"/>
        <w:ind w:left="851"/>
        <w:jc w:val="both"/>
        <w:rPr>
          <w:rFonts w:ascii="Times New Roman" w:eastAsia="Calibri" w:hAnsi="Times New Roman" w:cs="Times New Roman"/>
          <w:noProof/>
          <w:sz w:val="24"/>
        </w:rPr>
      </w:pPr>
      <w:r>
        <w:rPr>
          <w:rFonts w:ascii="Times New Roman" w:hAnsi="Times New Roman"/>
          <w:noProof/>
          <w:sz w:val="24"/>
        </w:rPr>
        <w:t>Целта на реформата е да се намали административната тежест, свързана с процеса на обновяване, като се подпомогнат гражданите и предприятията с информация, техническа помощ и консултации по регулаторни, технически и финансови въпроси, свързани с техните проекти за подобряване на енергийната ефективност.</w:t>
      </w:r>
    </w:p>
    <w:p w14:paraId="70C03436" w14:textId="6D09A132" w:rsidR="005F55E4" w:rsidRPr="00562D16" w:rsidRDefault="005F55E4" w:rsidP="000750E7">
      <w:pPr>
        <w:tabs>
          <w:tab w:val="num" w:pos="720"/>
        </w:tabs>
        <w:spacing w:before="120" w:after="120" w:line="240" w:lineRule="auto"/>
        <w:ind w:left="851"/>
        <w:jc w:val="both"/>
        <w:rPr>
          <w:rFonts w:ascii="Times New Roman" w:eastAsia="Calibri" w:hAnsi="Times New Roman" w:cs="Times New Roman"/>
          <w:noProof/>
          <w:sz w:val="24"/>
        </w:rPr>
      </w:pPr>
      <w:r>
        <w:rPr>
          <w:rFonts w:ascii="Times New Roman" w:hAnsi="Times New Roman"/>
          <w:noProof/>
          <w:sz w:val="24"/>
        </w:rPr>
        <w:t xml:space="preserve">Мярката се състои в първоначално пилотно въвеждане и последващо разгръщане на оперативни звена за обслужване на едно гише във всички региони по NUTS-3 в страната. Обслужването на едно гише включва цялата необходима информация и услуги, необходими за енергийното обновяване. </w:t>
      </w:r>
    </w:p>
    <w:p w14:paraId="189FE485" w14:textId="2579EFAE" w:rsidR="005F55E4" w:rsidRPr="00562D16" w:rsidRDefault="005F55E4" w:rsidP="000750E7">
      <w:pPr>
        <w:tabs>
          <w:tab w:val="num" w:pos="720"/>
        </w:tabs>
        <w:spacing w:before="120" w:after="120" w:line="240" w:lineRule="auto"/>
        <w:ind w:left="851"/>
        <w:jc w:val="both"/>
        <w:rPr>
          <w:rFonts w:ascii="Times New Roman" w:eastAsia="Calibri" w:hAnsi="Times New Roman" w:cs="Times New Roman"/>
          <w:noProof/>
          <w:sz w:val="24"/>
        </w:rPr>
      </w:pPr>
      <w:r>
        <w:rPr>
          <w:rFonts w:ascii="Times New Roman" w:hAnsi="Times New Roman"/>
          <w:noProof/>
          <w:sz w:val="24"/>
        </w:rPr>
        <w:t xml:space="preserve">Изпълнението на реформата ще приключи до 31 декември 2023 г. </w:t>
      </w:r>
    </w:p>
    <w:p w14:paraId="490E812E" w14:textId="77777777" w:rsidR="005F55E4" w:rsidRPr="008A0F8A" w:rsidRDefault="005F55E4" w:rsidP="000750E7">
      <w:pPr>
        <w:spacing w:before="120" w:after="120" w:line="240" w:lineRule="auto"/>
        <w:ind w:left="851"/>
        <w:jc w:val="both"/>
        <w:rPr>
          <w:rFonts w:ascii="Times New Roman" w:eastAsia="Calibri" w:hAnsi="Times New Roman" w:cs="Times New Roman"/>
          <w:noProof/>
          <w:sz w:val="24"/>
          <w:u w:val="single"/>
          <w:lang w:val="ru-RU"/>
        </w:rPr>
      </w:pPr>
    </w:p>
    <w:p w14:paraId="4C7EAAC3" w14:textId="27BFBF7B" w:rsidR="005F55E4" w:rsidRPr="00562D16" w:rsidRDefault="005F55E4" w:rsidP="000750E7">
      <w:pPr>
        <w:spacing w:before="120" w:after="120" w:line="240" w:lineRule="auto"/>
        <w:ind w:left="851"/>
        <w:jc w:val="both"/>
        <w:rPr>
          <w:rFonts w:ascii="Times New Roman" w:eastAsia="Calibri" w:hAnsi="Times New Roman" w:cs="Times New Roman"/>
          <w:noProof/>
          <w:sz w:val="24"/>
          <w:u w:val="single"/>
        </w:rPr>
      </w:pPr>
      <w:r>
        <w:rPr>
          <w:rFonts w:ascii="Times New Roman" w:hAnsi="Times New Roman"/>
          <w:noProof/>
          <w:sz w:val="24"/>
          <w:u w:val="single"/>
        </w:rPr>
        <w:t>Реформа 6 (C4.R6): Стимулиране на производството на електроенергия от възобновяеми източници</w:t>
      </w:r>
    </w:p>
    <w:p w14:paraId="3269C7A4" w14:textId="77777777" w:rsidR="005F55E4" w:rsidRPr="00562D16" w:rsidRDefault="005F55E4" w:rsidP="000750E7">
      <w:pPr>
        <w:spacing w:before="120" w:after="120" w:line="240" w:lineRule="auto"/>
        <w:ind w:left="851"/>
        <w:jc w:val="both"/>
        <w:rPr>
          <w:rFonts w:ascii="Times New Roman" w:eastAsia="Calibri" w:hAnsi="Times New Roman" w:cs="Times New Roman"/>
          <w:noProof/>
          <w:sz w:val="24"/>
        </w:rPr>
      </w:pPr>
      <w:r>
        <w:rPr>
          <w:rFonts w:ascii="Times New Roman" w:hAnsi="Times New Roman"/>
          <w:noProof/>
          <w:sz w:val="24"/>
        </w:rPr>
        <w:t xml:space="preserve">Целта на тази реформа е да се намали административната тежест за инвестициите във възобновяеми източници по отношение на инсталирането, свързването и експлоатацията. </w:t>
      </w:r>
    </w:p>
    <w:p w14:paraId="488EA782" w14:textId="77777777" w:rsidR="000E0649" w:rsidRPr="000E0649" w:rsidRDefault="005F55E4" w:rsidP="000750E7">
      <w:pPr>
        <w:spacing w:before="120" w:after="120" w:line="240" w:lineRule="auto"/>
        <w:ind w:left="851"/>
        <w:jc w:val="both"/>
        <w:rPr>
          <w:rFonts w:ascii="Times New Roman" w:eastAsia="Calibri" w:hAnsi="Times New Roman" w:cs="Times New Roman"/>
          <w:noProof/>
          <w:sz w:val="24"/>
        </w:rPr>
      </w:pPr>
      <w:r>
        <w:rPr>
          <w:rFonts w:ascii="Times New Roman" w:hAnsi="Times New Roman"/>
          <w:noProof/>
          <w:sz w:val="24"/>
        </w:rPr>
        <w:t xml:space="preserve">Измененията в съответните законови и/или подзаконови актове, включително актовете на националния регулатор трябва да: i) опростят процедурите за лицензиране и издаване на разрешения за възобновяеми енергийни източници (т.е. слънчеви и наземни вятърни инсталации), включително съоръжения за акумулиране на енергия, гарантират кратки и обвързващи административни срокове за реагиране и процедури за отчетност при ненужни забавяния, като се намаляват сроковете за свързване към мрежата (както за слънчевите, така и за наземните вятърни инсталации); ii) да дават възможност за предпочитани зони, в които наземните вятърни паркове ще бъдат в съответствие със законодателството в областта на околната среда; iii) опростят процедурата за инсталации за възобновяеми енергийни източници за собствено потребление до 1 MW (напр. покривни фотоволтаични инсталации за домакинства и МСП), като от процедурата се изключи техническото одобрение от оператора на разпределителната система и постепенно се премахне задължението за деклариране на акциз за собствено производство. </w:t>
      </w:r>
    </w:p>
    <w:p w14:paraId="1F1CBF63" w14:textId="6FD70BE5" w:rsidR="005F55E4" w:rsidRPr="00562D16" w:rsidRDefault="000E0649" w:rsidP="000750E7">
      <w:pPr>
        <w:spacing w:before="120" w:after="120" w:line="240" w:lineRule="auto"/>
        <w:ind w:left="851"/>
        <w:jc w:val="both"/>
        <w:rPr>
          <w:rFonts w:ascii="Times New Roman" w:eastAsia="Calibri" w:hAnsi="Times New Roman" w:cs="Times New Roman"/>
          <w:noProof/>
          <w:sz w:val="24"/>
        </w:rPr>
      </w:pPr>
      <w:r>
        <w:rPr>
          <w:rFonts w:ascii="Times New Roman" w:hAnsi="Times New Roman"/>
          <w:noProof/>
          <w:sz w:val="24"/>
        </w:rPr>
        <w:t>Освен това измененията в съответните законови и/или подзаконови актове премахват пречките, въвеждат специфична регулаторна и подкрепяща рамка за изграждането, свързването и експлоатацията на съоръжения за съхранение на електроенергия. Очаква се този елемент от реформата да подпомогне изпълнението на инвестиция 8 в областта на съхранението.</w:t>
      </w:r>
    </w:p>
    <w:p w14:paraId="2CE70684" w14:textId="7347C507" w:rsidR="005F55E4" w:rsidRPr="00562D16" w:rsidRDefault="005F55E4" w:rsidP="000750E7">
      <w:pPr>
        <w:spacing w:before="120" w:after="120" w:line="240" w:lineRule="auto"/>
        <w:ind w:left="851"/>
        <w:jc w:val="both"/>
        <w:rPr>
          <w:rFonts w:ascii="Times New Roman" w:eastAsia="Calibri" w:hAnsi="Times New Roman" w:cs="Times New Roman"/>
          <w:noProof/>
          <w:sz w:val="24"/>
        </w:rPr>
      </w:pPr>
      <w:r>
        <w:rPr>
          <w:rFonts w:ascii="Times New Roman" w:hAnsi="Times New Roman"/>
          <w:noProof/>
          <w:sz w:val="24"/>
        </w:rPr>
        <w:t>В резултат на тези действия до 30 юни 2026 г. трябва да бъдат пуснати в експлоатация най-малко 3500 MW допълнителен капацитет за производство на енергия от възобновяеми източници (вятърна и слънчева енергия) в сравнение със съществуващата инсталирана мощност (вятърна и слънчева енергия) и да бъде свързан към мрежата.</w:t>
      </w:r>
    </w:p>
    <w:p w14:paraId="35F1CFB8" w14:textId="77777777" w:rsidR="005F55E4" w:rsidRPr="00562D16" w:rsidRDefault="005F55E4" w:rsidP="000750E7">
      <w:pPr>
        <w:spacing w:before="120" w:after="120" w:line="240" w:lineRule="auto"/>
        <w:ind w:left="851"/>
        <w:jc w:val="both"/>
        <w:rPr>
          <w:rFonts w:ascii="Times New Roman" w:eastAsia="Calibri" w:hAnsi="Times New Roman" w:cs="Times New Roman"/>
          <w:noProof/>
          <w:sz w:val="24"/>
        </w:rPr>
      </w:pPr>
      <w:r>
        <w:rPr>
          <w:rFonts w:ascii="Times New Roman" w:hAnsi="Times New Roman"/>
          <w:noProof/>
          <w:sz w:val="24"/>
        </w:rPr>
        <w:t>Изпълнението на реформата ще приключи до 30 юни 2026 г.</w:t>
      </w:r>
    </w:p>
    <w:p w14:paraId="18BA908D" w14:textId="77777777" w:rsidR="005F55E4" w:rsidRPr="008A0F8A" w:rsidRDefault="005F55E4" w:rsidP="000750E7">
      <w:pPr>
        <w:spacing w:before="120" w:after="120" w:line="240" w:lineRule="auto"/>
        <w:ind w:left="851"/>
        <w:jc w:val="both"/>
        <w:rPr>
          <w:rFonts w:ascii="Times New Roman" w:eastAsia="Calibri" w:hAnsi="Times New Roman" w:cs="Times New Roman"/>
          <w:noProof/>
          <w:sz w:val="24"/>
          <w:lang w:val="ru-RU"/>
        </w:rPr>
      </w:pPr>
    </w:p>
    <w:p w14:paraId="4848285F" w14:textId="2DB06B14" w:rsidR="005F55E4" w:rsidRPr="00562D16" w:rsidRDefault="005F55E4" w:rsidP="000750E7">
      <w:pPr>
        <w:spacing w:before="120" w:after="120" w:line="240" w:lineRule="auto"/>
        <w:ind w:left="851"/>
        <w:jc w:val="both"/>
        <w:rPr>
          <w:rFonts w:ascii="Times New Roman" w:eastAsia="Calibri" w:hAnsi="Times New Roman" w:cs="Times New Roman"/>
          <w:bCs/>
          <w:noProof/>
          <w:sz w:val="24"/>
          <w:u w:val="single"/>
        </w:rPr>
      </w:pPr>
      <w:r>
        <w:rPr>
          <w:rFonts w:ascii="Times New Roman" w:hAnsi="Times New Roman"/>
          <w:noProof/>
          <w:sz w:val="24"/>
          <w:u w:val="single"/>
        </w:rPr>
        <w:t>Реформа 7 (C4.R7): Разгръщане на потенциала на водородните технологии и производството и доставките на водород</w:t>
      </w:r>
    </w:p>
    <w:p w14:paraId="1341925E" w14:textId="77777777" w:rsidR="005F55E4" w:rsidRPr="00A3795A" w:rsidRDefault="005F55E4" w:rsidP="000750E7">
      <w:pPr>
        <w:spacing w:before="120" w:after="120" w:line="240" w:lineRule="auto"/>
        <w:ind w:left="851"/>
        <w:jc w:val="both"/>
        <w:rPr>
          <w:rFonts w:ascii="Times New Roman" w:eastAsia="Calibri" w:hAnsi="Times New Roman" w:cs="Times New Roman"/>
          <w:bCs/>
          <w:noProof/>
          <w:sz w:val="24"/>
        </w:rPr>
      </w:pPr>
      <w:r>
        <w:rPr>
          <w:rFonts w:ascii="Times New Roman" w:hAnsi="Times New Roman"/>
          <w:noProof/>
          <w:sz w:val="24"/>
        </w:rPr>
        <w:t xml:space="preserve">Целта на тази реформа е да се премахнат основните пречки, посочени в пътната карта за развитието на технологията за водород, и да се приложат мерките, необходими за развитието на цялата верига за създаване на стойност във връзка с водорода. </w:t>
      </w:r>
    </w:p>
    <w:p w14:paraId="5598C90F" w14:textId="77777777" w:rsidR="005F55E4" w:rsidRPr="00A3795A" w:rsidRDefault="005F55E4" w:rsidP="000750E7">
      <w:pPr>
        <w:spacing w:before="120" w:after="120" w:line="240" w:lineRule="auto"/>
        <w:ind w:left="851"/>
        <w:jc w:val="both"/>
        <w:rPr>
          <w:rFonts w:ascii="Times New Roman" w:eastAsia="Calibri" w:hAnsi="Times New Roman" w:cs="Times New Roman"/>
          <w:bCs/>
          <w:noProof/>
          <w:sz w:val="24"/>
        </w:rPr>
      </w:pPr>
      <w:r>
        <w:rPr>
          <w:rFonts w:ascii="Times New Roman" w:hAnsi="Times New Roman"/>
          <w:noProof/>
          <w:sz w:val="24"/>
        </w:rPr>
        <w:t>Изпълнението на реформата ще приключи до 31 март 2023 г.</w:t>
      </w:r>
    </w:p>
    <w:p w14:paraId="61662508" w14:textId="77777777" w:rsidR="005F55E4" w:rsidRPr="008A0F8A" w:rsidRDefault="005F55E4" w:rsidP="000750E7">
      <w:pPr>
        <w:spacing w:before="120" w:after="120" w:line="240" w:lineRule="auto"/>
        <w:ind w:left="851"/>
        <w:jc w:val="both"/>
        <w:rPr>
          <w:rFonts w:ascii="Times New Roman" w:eastAsia="Calibri" w:hAnsi="Times New Roman" w:cs="Times New Roman"/>
          <w:bCs/>
          <w:noProof/>
          <w:sz w:val="24"/>
          <w:u w:val="single"/>
          <w:lang w:val="ru-RU"/>
        </w:rPr>
      </w:pPr>
    </w:p>
    <w:p w14:paraId="26A782EB" w14:textId="01B9E50E" w:rsidR="005F55E4" w:rsidRPr="00562D16" w:rsidRDefault="005F55E4" w:rsidP="000750E7">
      <w:pPr>
        <w:spacing w:before="120" w:after="120" w:line="240" w:lineRule="auto"/>
        <w:ind w:left="851"/>
        <w:jc w:val="both"/>
        <w:rPr>
          <w:rFonts w:ascii="Times New Roman" w:eastAsia="Calibri" w:hAnsi="Times New Roman" w:cs="Times New Roman"/>
          <w:noProof/>
          <w:sz w:val="24"/>
          <w:u w:val="single"/>
        </w:rPr>
      </w:pPr>
      <w:r>
        <w:rPr>
          <w:rFonts w:ascii="Times New Roman" w:hAnsi="Times New Roman"/>
          <w:noProof/>
          <w:sz w:val="24"/>
          <w:u w:val="single"/>
        </w:rPr>
        <w:t>Инвестиция 4 (C4.I4): Цифрова трансформация на електропреносната мрежа</w:t>
      </w:r>
      <w:r>
        <w:rPr>
          <w:rFonts w:ascii="Times New Roman" w:hAnsi="Times New Roman"/>
          <w:noProof/>
          <w:sz w:val="24"/>
        </w:rPr>
        <w:t xml:space="preserve"> </w:t>
      </w:r>
    </w:p>
    <w:p w14:paraId="03563124" w14:textId="77777777" w:rsidR="005F55E4" w:rsidRPr="00562D16" w:rsidRDefault="005F55E4" w:rsidP="000750E7">
      <w:pPr>
        <w:spacing w:before="120" w:after="120" w:line="240" w:lineRule="auto"/>
        <w:ind w:left="851"/>
        <w:jc w:val="both"/>
        <w:rPr>
          <w:rFonts w:ascii="Times New Roman" w:hAnsi="Times New Roman" w:cs="Times New Roman"/>
          <w:noProof/>
          <w:sz w:val="24"/>
          <w:szCs w:val="24"/>
        </w:rPr>
      </w:pPr>
      <w:r>
        <w:rPr>
          <w:rFonts w:ascii="Times New Roman" w:hAnsi="Times New Roman"/>
          <w:noProof/>
          <w:sz w:val="24"/>
        </w:rPr>
        <w:t xml:space="preserve">Целта на тези инвестиции е да се увеличи навлизането на възобновяеми енергийни източници, да се увеличи гъвкавостта при оперативното управление и наблюдение на електроенергийната система и нетният трансграничен преносен капацитет на границите с държавите членки (т.е. Румъния и Гърция). </w:t>
      </w:r>
    </w:p>
    <w:p w14:paraId="1CA7D54C" w14:textId="77777777" w:rsidR="005F55E4" w:rsidRPr="00562D16" w:rsidRDefault="005F55E4" w:rsidP="000750E7">
      <w:pPr>
        <w:spacing w:before="120" w:after="120" w:line="240" w:lineRule="auto"/>
        <w:ind w:left="851"/>
        <w:jc w:val="both"/>
        <w:rPr>
          <w:rFonts w:ascii="Times New Roman" w:eastAsia="Calibri" w:hAnsi="Times New Roman" w:cs="Times New Roman"/>
          <w:noProof/>
          <w:sz w:val="24"/>
          <w:szCs w:val="24"/>
        </w:rPr>
      </w:pPr>
      <w:r>
        <w:rPr>
          <w:rFonts w:ascii="Times New Roman" w:hAnsi="Times New Roman"/>
          <w:noProof/>
          <w:sz w:val="24"/>
        </w:rPr>
        <w:t>Инвестицията включва всеобхватна програма за цялостната цифрова трансформация на системите и процесите на енергийния системен оператор, обхващаща автоматизираното управление на подстанциите, модернизиране на системата за надзорен контрол и събиране на данни (SCADA) с въвеждането на възможност за далечно резервиране, разширяване и модернизиране на телекомуникационната мрежа, включително всеобхватна система за киберсигурност и модернизиране на системите за администриране на пазарите на електроенергия.</w:t>
      </w:r>
    </w:p>
    <w:p w14:paraId="6DAE8652" w14:textId="2E77E569" w:rsidR="005F55E4" w:rsidRPr="00562D16" w:rsidRDefault="005F55E4" w:rsidP="000750E7">
      <w:pPr>
        <w:spacing w:before="120" w:after="120" w:line="240" w:lineRule="auto"/>
        <w:ind w:left="851"/>
        <w:jc w:val="both"/>
        <w:rPr>
          <w:rFonts w:ascii="Times New Roman" w:eastAsia="Calibri" w:hAnsi="Times New Roman" w:cs="Times New Roman"/>
          <w:noProof/>
          <w:sz w:val="24"/>
          <w:szCs w:val="24"/>
        </w:rPr>
      </w:pPr>
      <w:r>
        <w:rPr>
          <w:rFonts w:ascii="Times New Roman" w:hAnsi="Times New Roman"/>
          <w:noProof/>
          <w:sz w:val="24"/>
        </w:rPr>
        <w:t>В резултат на тези действия трябва да бъдат изпълнени условията и изискванията за техническата осъществимост на системата за пренос на електроенергия, за да се интегрира в електроенергийната система кумулативен нов капацитет от 4500 MW за производство на електроенергия от възобновяеми източници до 31 март 2026 г. Освен това до 30 юни 2025 г. на пазара ще бъде предоставен кумулативен допълнителен нетен междусистемен капацитет от 1200 MW с Румъния и Гърция в сравнение със съществуващия наличен капацитет.</w:t>
      </w:r>
    </w:p>
    <w:p w14:paraId="5B63DD17" w14:textId="60301EB2" w:rsidR="005F55E4" w:rsidRPr="00562D16" w:rsidRDefault="005F55E4" w:rsidP="000750E7">
      <w:pPr>
        <w:spacing w:before="120" w:after="120" w:line="240" w:lineRule="auto"/>
        <w:ind w:left="851"/>
        <w:jc w:val="both"/>
        <w:rPr>
          <w:rFonts w:ascii="Times New Roman" w:eastAsia="Calibri" w:hAnsi="Times New Roman" w:cs="Times New Roman"/>
          <w:noProof/>
          <w:sz w:val="24"/>
          <w:szCs w:val="24"/>
        </w:rPr>
      </w:pPr>
      <w:r>
        <w:rPr>
          <w:rFonts w:ascii="Times New Roman" w:hAnsi="Times New Roman"/>
          <w:noProof/>
          <w:sz w:val="24"/>
        </w:rPr>
        <w:t>Изпълнението на инвестицията ще приключи до 31 март 2026 г.</w:t>
      </w:r>
    </w:p>
    <w:p w14:paraId="2125AB60" w14:textId="77777777" w:rsidR="005F55E4" w:rsidRPr="008A0F8A" w:rsidRDefault="005F55E4" w:rsidP="000750E7">
      <w:pPr>
        <w:spacing w:before="120" w:after="120" w:line="240" w:lineRule="auto"/>
        <w:ind w:left="851"/>
        <w:jc w:val="both"/>
        <w:rPr>
          <w:rFonts w:ascii="Times New Roman" w:eastAsia="Calibri" w:hAnsi="Times New Roman" w:cs="Times New Roman"/>
          <w:bCs/>
          <w:noProof/>
          <w:sz w:val="24"/>
          <w:u w:val="single"/>
          <w:lang w:val="ru-RU"/>
        </w:rPr>
      </w:pPr>
    </w:p>
    <w:p w14:paraId="3D2C4A8E" w14:textId="1CBEF097" w:rsidR="005F55E4" w:rsidRPr="00562D16" w:rsidRDefault="005F55E4" w:rsidP="71F3F1F6">
      <w:pPr>
        <w:spacing w:before="120" w:after="120" w:line="240" w:lineRule="auto"/>
        <w:ind w:left="851"/>
        <w:jc w:val="both"/>
        <w:rPr>
          <w:rFonts w:ascii="Times New Roman" w:eastAsia="Calibri" w:hAnsi="Times New Roman" w:cs="Times New Roman"/>
          <w:noProof/>
          <w:sz w:val="24"/>
          <w:szCs w:val="24"/>
          <w:u w:val="single"/>
        </w:rPr>
      </w:pPr>
      <w:r>
        <w:rPr>
          <w:rFonts w:ascii="Times New Roman" w:hAnsi="Times New Roman"/>
          <w:noProof/>
          <w:sz w:val="24"/>
          <w:u w:val="single"/>
        </w:rPr>
        <w:t>Инвестиция 5 (C4.I5): Пилотни проекти за производството на зелен водород </w:t>
      </w:r>
    </w:p>
    <w:p w14:paraId="67350AC4" w14:textId="2F17625B" w:rsidR="005F55E4" w:rsidRPr="00562D16" w:rsidRDefault="005F55E4" w:rsidP="71F3F1F6">
      <w:pPr>
        <w:spacing w:before="120" w:after="120" w:line="240" w:lineRule="auto"/>
        <w:ind w:left="851"/>
        <w:jc w:val="both"/>
        <w:rPr>
          <w:rFonts w:ascii="Times New Roman" w:eastAsia="Calibri" w:hAnsi="Times New Roman" w:cs="Times New Roman"/>
          <w:noProof/>
          <w:sz w:val="24"/>
          <w:szCs w:val="24"/>
        </w:rPr>
      </w:pPr>
      <w:r>
        <w:rPr>
          <w:rFonts w:ascii="Times New Roman" w:hAnsi="Times New Roman"/>
          <w:noProof/>
          <w:sz w:val="24"/>
        </w:rPr>
        <w:t xml:space="preserve">Целта на инвестицията е да допринесе за декарбонизацията на българския енергиен пазар чрез предоставяне на подкрепа за разработването на пилотни проекти за създаване на условия за производство на зелен водород. Инвестицията се състои от безвъзмездни средства за изграждането на мощности за производство на зелен водород от най-малко 55 MW в електролизьори, произвеждащи най-малко 7800 тона водород годишно от възобновяеми източници. </w:t>
      </w:r>
    </w:p>
    <w:p w14:paraId="78EAF198" w14:textId="77777777" w:rsidR="005F55E4" w:rsidRPr="00562D16" w:rsidRDefault="005F55E4" w:rsidP="000750E7">
      <w:pPr>
        <w:spacing w:before="120" w:after="120" w:line="240" w:lineRule="auto"/>
        <w:ind w:left="851"/>
        <w:jc w:val="both"/>
        <w:rPr>
          <w:rFonts w:ascii="Times New Roman" w:eastAsia="Calibri" w:hAnsi="Times New Roman" w:cs="Times New Roman"/>
          <w:noProof/>
          <w:sz w:val="24"/>
        </w:rPr>
      </w:pPr>
      <w:r>
        <w:rPr>
          <w:rFonts w:ascii="Times New Roman" w:hAnsi="Times New Roman"/>
          <w:noProof/>
          <w:sz w:val="24"/>
        </w:rPr>
        <w:t>Изпълнението на инвестицията ще приключи до 31 декември 2025 г.</w:t>
      </w:r>
    </w:p>
    <w:p w14:paraId="68433FBD" w14:textId="77777777" w:rsidR="005F55E4" w:rsidRPr="008A0F8A" w:rsidRDefault="005F55E4" w:rsidP="000750E7">
      <w:pPr>
        <w:spacing w:before="120" w:after="120" w:line="240" w:lineRule="auto"/>
        <w:ind w:left="851"/>
        <w:jc w:val="both"/>
        <w:rPr>
          <w:rFonts w:ascii="Times New Roman" w:eastAsia="Calibri" w:hAnsi="Times New Roman" w:cs="Times New Roman"/>
          <w:noProof/>
          <w:sz w:val="24"/>
          <w:lang w:val="ru-RU"/>
        </w:rPr>
      </w:pPr>
    </w:p>
    <w:p w14:paraId="76F128AC" w14:textId="50660ABA" w:rsidR="005F55E4" w:rsidRPr="00562D16" w:rsidRDefault="005F55E4" w:rsidP="00A10680">
      <w:pPr>
        <w:pageBreakBefore/>
        <w:spacing w:before="120" w:after="120" w:line="240" w:lineRule="auto"/>
        <w:ind w:left="851"/>
        <w:jc w:val="both"/>
        <w:rPr>
          <w:rFonts w:ascii="Times New Roman" w:eastAsia="Calibri" w:hAnsi="Times New Roman" w:cs="Times New Roman"/>
          <w:noProof/>
          <w:sz w:val="24"/>
          <w:u w:val="single"/>
        </w:rPr>
      </w:pPr>
      <w:r>
        <w:rPr>
          <w:rFonts w:ascii="Times New Roman" w:hAnsi="Times New Roman"/>
          <w:noProof/>
          <w:sz w:val="24"/>
          <w:u w:val="single"/>
        </w:rPr>
        <w:t>Реформа 8 (C4.R8): Либерализация на пазара на електроенергия </w:t>
      </w:r>
    </w:p>
    <w:p w14:paraId="1CB247B9" w14:textId="77777777" w:rsidR="005F55E4" w:rsidRPr="00562D16" w:rsidRDefault="005F55E4" w:rsidP="000750E7">
      <w:pPr>
        <w:spacing w:before="120" w:after="120" w:line="240" w:lineRule="auto"/>
        <w:ind w:left="851"/>
        <w:jc w:val="both"/>
        <w:rPr>
          <w:rFonts w:ascii="Times New Roman" w:eastAsia="Calibri" w:hAnsi="Times New Roman" w:cs="Times New Roman"/>
          <w:noProof/>
          <w:sz w:val="24"/>
        </w:rPr>
      </w:pPr>
      <w:r>
        <w:rPr>
          <w:rFonts w:ascii="Times New Roman" w:hAnsi="Times New Roman"/>
          <w:noProof/>
          <w:sz w:val="24"/>
        </w:rPr>
        <w:t>Целта на тази реформа е да се завърши либерализацията на пазарите на електроенергия, включително пазарите на едро и на дребно. Тази реформа се състои от следните елементи:</w:t>
      </w:r>
    </w:p>
    <w:p w14:paraId="7E7633C8" w14:textId="77777777" w:rsidR="005F55E4" w:rsidRPr="00562D16" w:rsidRDefault="005F55E4" w:rsidP="00B47547">
      <w:pPr>
        <w:pStyle w:val="ListParagraph"/>
        <w:numPr>
          <w:ilvl w:val="0"/>
          <w:numId w:val="76"/>
        </w:numPr>
        <w:spacing w:before="120" w:after="120" w:line="240" w:lineRule="auto"/>
        <w:ind w:left="1210"/>
        <w:jc w:val="both"/>
        <w:rPr>
          <w:rFonts w:ascii="Times New Roman" w:eastAsia="Calibri" w:hAnsi="Times New Roman" w:cs="Times New Roman"/>
          <w:noProof/>
          <w:sz w:val="24"/>
        </w:rPr>
      </w:pPr>
      <w:r>
        <w:rPr>
          <w:rFonts w:ascii="Times New Roman" w:hAnsi="Times New Roman"/>
          <w:noProof/>
          <w:sz w:val="24"/>
        </w:rPr>
        <w:t>Първият елемент има за цел пълното либерализиране на пазара на електроенергия на едро до 2022 г. Този елемент се изпълнява чрез изменения в Закона за енергетиката и в подзаконовите нормативни актове, с които се прекратява ролята на обществен доставчик на „Национална електрическа компания“ ЕАД (НЕК) и се премахват квотите за регулирания пазар. Той също така трябва да забрани дългосрочните договори, като например споразумения за изкупуване на електроенергия или други подобни мерки със същия или равностоен предмет или ефект, с изключение на тези за електроенергия от възобновяеми източници или сключени на енергийната борса. Дългосрочните договори за изкупуване на електрическа енергия от „Марица Изток 1“ и „Марица Изток 3“, изтичащи съответно през 2024 г. и 2026 г., не трябва да се удължават и/или да се ползват от нова държавна подкрепа.</w:t>
      </w:r>
    </w:p>
    <w:p w14:paraId="17AD8CF9" w14:textId="77777777" w:rsidR="005F55E4" w:rsidRPr="00562D16" w:rsidRDefault="005F55E4" w:rsidP="00B47547">
      <w:pPr>
        <w:pStyle w:val="ListParagraph"/>
        <w:numPr>
          <w:ilvl w:val="0"/>
          <w:numId w:val="76"/>
        </w:numPr>
        <w:spacing w:before="120" w:after="120" w:line="240" w:lineRule="auto"/>
        <w:ind w:left="1210"/>
        <w:jc w:val="both"/>
        <w:rPr>
          <w:rFonts w:ascii="Times New Roman" w:eastAsia="Calibri" w:hAnsi="Times New Roman" w:cs="Times New Roman"/>
          <w:noProof/>
          <w:sz w:val="24"/>
        </w:rPr>
      </w:pPr>
      <w:r>
        <w:rPr>
          <w:rFonts w:ascii="Times New Roman" w:hAnsi="Times New Roman"/>
          <w:noProof/>
          <w:sz w:val="24"/>
        </w:rPr>
        <w:t>Вторият елемент трябва да подобри балансиращия пазар на електроенергия, като гарантира, че: i) балансиращият капацитет се закупува при пазарни условия; ii) цената на доставчиците на балансираща енергия се публикува в рамките на 30 минути след затварянето на пазара в рамките на деня; iii) въвежда се единна цена за балансиране за периодите без задействане на балансираща енергия; iv) въвежда се 15-минутен период за уреждане на дисбаланса; и v) не се определят пределни цени за балансиращата електроенергия.</w:t>
      </w:r>
    </w:p>
    <w:p w14:paraId="7805F61C" w14:textId="0C30827F" w:rsidR="005F55E4" w:rsidRPr="00562D16" w:rsidRDefault="005F55E4" w:rsidP="00B47547">
      <w:pPr>
        <w:pStyle w:val="ListParagraph"/>
        <w:numPr>
          <w:ilvl w:val="0"/>
          <w:numId w:val="76"/>
        </w:numPr>
        <w:spacing w:before="120" w:after="120" w:line="240" w:lineRule="auto"/>
        <w:ind w:left="1210"/>
        <w:jc w:val="both"/>
        <w:rPr>
          <w:rFonts w:ascii="Times New Roman" w:eastAsia="Calibri" w:hAnsi="Times New Roman" w:cs="Times New Roman"/>
          <w:noProof/>
          <w:sz w:val="24"/>
        </w:rPr>
      </w:pPr>
      <w:r>
        <w:rPr>
          <w:rFonts w:ascii="Times New Roman" w:hAnsi="Times New Roman"/>
          <w:noProof/>
          <w:sz w:val="24"/>
        </w:rPr>
        <w:t>Третият елемент либерализира пазара на дребно на електроенергия, като осигурява постепенно пълно дерегулиране на цените на дребно за домакинствата, успоредно с пълната възможност за смяна на доставчика. Постепенното премахване на регулираните цени за битови клиенти се извършва на два последователни етапа съответно през 2023 г. и 2025 г., като обхваща значителен дял от пазара на домакинствата.</w:t>
      </w:r>
    </w:p>
    <w:p w14:paraId="17BF7F38" w14:textId="31166B28" w:rsidR="005F55E4" w:rsidRPr="00562D16" w:rsidRDefault="005F55E4" w:rsidP="000750E7">
      <w:pPr>
        <w:spacing w:before="120" w:after="120" w:line="240" w:lineRule="auto"/>
        <w:ind w:left="851"/>
        <w:jc w:val="both"/>
        <w:rPr>
          <w:rFonts w:ascii="Times New Roman" w:eastAsia="Calibri" w:hAnsi="Times New Roman" w:cs="Times New Roman"/>
          <w:noProof/>
          <w:sz w:val="24"/>
        </w:rPr>
      </w:pPr>
      <w:r>
        <w:rPr>
          <w:rFonts w:ascii="Times New Roman" w:hAnsi="Times New Roman"/>
          <w:noProof/>
          <w:sz w:val="24"/>
        </w:rPr>
        <w:t>Измененията в Закона за енергетиката трябва да се приемат до 30 септември 2022 г. с влизане в сила на същата дата на мярката относно пазара на едро на електрическа енергия, 31 декември 2022 г. за мерките относно балансиращия пазар на електроенергия и 31 декември 2023 г. за мярката относно пазара на дребно на електроенергия.</w:t>
      </w:r>
    </w:p>
    <w:p w14:paraId="28804250" w14:textId="77777777" w:rsidR="005F55E4" w:rsidRPr="00562D16" w:rsidRDefault="005F55E4" w:rsidP="000750E7">
      <w:pPr>
        <w:spacing w:before="120" w:after="120" w:line="240" w:lineRule="auto"/>
        <w:ind w:left="851"/>
        <w:jc w:val="both"/>
        <w:rPr>
          <w:rFonts w:ascii="Times New Roman" w:eastAsia="Calibri" w:hAnsi="Times New Roman" w:cs="Times New Roman"/>
          <w:noProof/>
          <w:sz w:val="24"/>
        </w:rPr>
      </w:pPr>
      <w:r>
        <w:rPr>
          <w:rFonts w:ascii="Times New Roman" w:hAnsi="Times New Roman"/>
          <w:noProof/>
          <w:sz w:val="24"/>
        </w:rPr>
        <w:t>Свързване на пазара „ден напред“ на границата с Румъния, както и с Гърция на пазара в рамките на деня, трябва да приключи съответно до 31 декември 2021 г. и до 31 декември 2022 г.</w:t>
      </w:r>
    </w:p>
    <w:p w14:paraId="5B7CCF07" w14:textId="77777777" w:rsidR="005F55E4" w:rsidRPr="008A0F8A" w:rsidRDefault="005F55E4" w:rsidP="000750E7">
      <w:pPr>
        <w:spacing w:before="120" w:after="120" w:line="240" w:lineRule="auto"/>
        <w:ind w:left="851"/>
        <w:jc w:val="both"/>
        <w:rPr>
          <w:rFonts w:ascii="Times New Roman" w:eastAsia="Calibri" w:hAnsi="Times New Roman" w:cs="Times New Roman"/>
          <w:noProof/>
          <w:sz w:val="24"/>
          <w:u w:val="single"/>
          <w:lang w:val="ru-RU"/>
        </w:rPr>
      </w:pPr>
    </w:p>
    <w:p w14:paraId="5E1F22D2" w14:textId="19407B30" w:rsidR="005F55E4" w:rsidRPr="00562D16" w:rsidRDefault="005F55E4" w:rsidP="000750E7">
      <w:pPr>
        <w:spacing w:before="120" w:after="120" w:line="240" w:lineRule="auto"/>
        <w:ind w:left="851"/>
        <w:jc w:val="both"/>
        <w:rPr>
          <w:rFonts w:ascii="Times New Roman" w:eastAsia="Calibri" w:hAnsi="Times New Roman" w:cs="Times New Roman"/>
          <w:noProof/>
          <w:sz w:val="24"/>
          <w:u w:val="single"/>
        </w:rPr>
      </w:pPr>
      <w:r>
        <w:rPr>
          <w:rFonts w:ascii="Times New Roman" w:hAnsi="Times New Roman"/>
          <w:noProof/>
          <w:sz w:val="24"/>
          <w:u w:val="single"/>
        </w:rPr>
        <w:t xml:space="preserve">Инвестиция 6 (C4.I6): Подкрепа за нови мощности за производство на електроенергия от възобновяеми източници и съхранение на електроенергия </w:t>
      </w:r>
    </w:p>
    <w:p w14:paraId="6B87C5FA" w14:textId="31B0307E" w:rsidR="005F55E4" w:rsidRPr="00562D16" w:rsidRDefault="005F55E4" w:rsidP="000750E7">
      <w:pPr>
        <w:spacing w:before="120" w:after="120" w:line="240" w:lineRule="auto"/>
        <w:ind w:left="851"/>
        <w:jc w:val="both"/>
        <w:rPr>
          <w:rFonts w:ascii="Times New Roman" w:eastAsia="Calibri" w:hAnsi="Times New Roman" w:cs="Times New Roman"/>
          <w:noProof/>
          <w:sz w:val="24"/>
        </w:rPr>
      </w:pPr>
      <w:r>
        <w:rPr>
          <w:rFonts w:ascii="Times New Roman" w:hAnsi="Times New Roman"/>
          <w:noProof/>
          <w:sz w:val="24"/>
        </w:rPr>
        <w:t xml:space="preserve">Целта на инвестицията е да допринесе за целта на България за увеличаване на дела на чистата енергия в нейния енергиен микс за постигане на неутралност по отношение на климата чрез подкрепа за инсталирането на нови мощности за производство на електроенергия от възобновяеми източници заедно със съхранението на електроенергия чрез неутрална по отношение на технологията конкурентна тръжна процедура между различните технологии. С оглед на съответствието на мярката с техническите насоки за прилагането на принципа за „ненанасяне на значителни вреди“ (2021/C58/01), критериите за допустимост в техническите спецификации на предстоящите покани за представяне на проекти ще се отнасят само за слънчевата и вятърната технология. </w:t>
      </w:r>
    </w:p>
    <w:p w14:paraId="52C2F30B" w14:textId="27F71319" w:rsidR="005F55E4" w:rsidRPr="00562D16" w:rsidRDefault="005F55E4" w:rsidP="000750E7">
      <w:pPr>
        <w:spacing w:before="120" w:after="120" w:line="240" w:lineRule="auto"/>
        <w:ind w:left="851"/>
        <w:jc w:val="both"/>
        <w:rPr>
          <w:rFonts w:ascii="Times New Roman" w:eastAsia="Calibri" w:hAnsi="Times New Roman" w:cs="Times New Roman"/>
          <w:noProof/>
          <w:sz w:val="24"/>
        </w:rPr>
      </w:pPr>
      <w:r>
        <w:rPr>
          <w:rFonts w:ascii="Times New Roman" w:hAnsi="Times New Roman"/>
          <w:noProof/>
          <w:sz w:val="24"/>
        </w:rPr>
        <w:t>Инвестицията се състои от безвъзмездни средства за изграждането на избраните инсталации, за инсталиране и пускане в експлоатация на най-малко 1425 MW капацитет за производство на електроенергия от възобновяеми източници, разположен съвместно с най-малко 350 MW системи за акумулиране на енергия.</w:t>
      </w:r>
    </w:p>
    <w:p w14:paraId="1BF2C424" w14:textId="77777777" w:rsidR="005F55E4" w:rsidRPr="00562D16" w:rsidRDefault="005F55E4" w:rsidP="000750E7">
      <w:pPr>
        <w:spacing w:before="120" w:after="120" w:line="240" w:lineRule="auto"/>
        <w:ind w:left="851"/>
        <w:jc w:val="both"/>
        <w:rPr>
          <w:rFonts w:ascii="Times New Roman" w:eastAsia="Calibri" w:hAnsi="Times New Roman" w:cs="Times New Roman"/>
          <w:noProof/>
          <w:sz w:val="24"/>
        </w:rPr>
      </w:pPr>
      <w:r>
        <w:rPr>
          <w:rFonts w:ascii="Times New Roman" w:hAnsi="Times New Roman"/>
          <w:noProof/>
          <w:sz w:val="24"/>
        </w:rPr>
        <w:t>Изпълнението на инвестицията ще приключи до 30 юни 2026 г.</w:t>
      </w:r>
    </w:p>
    <w:p w14:paraId="4B5B5612" w14:textId="77777777" w:rsidR="005F55E4" w:rsidRPr="008A0F8A" w:rsidRDefault="005F55E4" w:rsidP="000750E7">
      <w:pPr>
        <w:spacing w:before="120" w:after="120" w:line="240" w:lineRule="auto"/>
        <w:ind w:left="851"/>
        <w:jc w:val="both"/>
        <w:rPr>
          <w:rFonts w:ascii="Times New Roman" w:eastAsia="Calibri" w:hAnsi="Times New Roman" w:cs="Times New Roman"/>
          <w:noProof/>
          <w:sz w:val="24"/>
          <w:u w:val="single"/>
          <w:lang w:val="ru-RU"/>
        </w:rPr>
      </w:pPr>
    </w:p>
    <w:p w14:paraId="0A01C4D6" w14:textId="3875C941" w:rsidR="005F55E4" w:rsidRPr="00562D16" w:rsidRDefault="005F55E4" w:rsidP="00A10680">
      <w:pPr>
        <w:pageBreakBefore/>
        <w:spacing w:before="120" w:after="120" w:line="240" w:lineRule="auto"/>
        <w:ind w:left="851"/>
        <w:jc w:val="both"/>
        <w:rPr>
          <w:rFonts w:ascii="Times New Roman" w:eastAsia="Calibri" w:hAnsi="Times New Roman" w:cs="Times New Roman"/>
          <w:noProof/>
          <w:sz w:val="24"/>
          <w:u w:val="single"/>
        </w:rPr>
      </w:pPr>
      <w:r>
        <w:rPr>
          <w:rFonts w:ascii="Times New Roman" w:hAnsi="Times New Roman"/>
          <w:noProof/>
          <w:sz w:val="24"/>
          <w:u w:val="single"/>
        </w:rPr>
        <w:t xml:space="preserve">Реформа 9 (C4.R9): Пътна карта за неутралност по отношение на климата </w:t>
      </w:r>
    </w:p>
    <w:p w14:paraId="00E9067C" w14:textId="77777777" w:rsidR="005F55E4" w:rsidRPr="00562D16" w:rsidRDefault="005F55E4" w:rsidP="000750E7">
      <w:pPr>
        <w:spacing w:before="120" w:after="120" w:line="240" w:lineRule="auto"/>
        <w:ind w:left="851"/>
        <w:jc w:val="both"/>
        <w:rPr>
          <w:rFonts w:ascii="Times New Roman" w:eastAsia="Calibri" w:hAnsi="Times New Roman" w:cs="Times New Roman"/>
          <w:bCs/>
          <w:noProof/>
          <w:sz w:val="24"/>
        </w:rPr>
      </w:pPr>
      <w:r>
        <w:rPr>
          <w:rFonts w:ascii="Times New Roman" w:hAnsi="Times New Roman"/>
          <w:noProof/>
          <w:sz w:val="24"/>
        </w:rPr>
        <w:t xml:space="preserve">Целта на реформата е да се осигури актуализирана стратегическа рамка за декарбонизацията на икономиката. Реформата обхваща две основни мерки: създаването на комисия за енергиен преход, която да изготви сценарии и препоръки за пътна карта за неутралност по отношение на климата, и приемането на парламентарна резолюция. </w:t>
      </w:r>
    </w:p>
    <w:p w14:paraId="06AA7421" w14:textId="4F4122C5" w:rsidR="005F55E4" w:rsidRPr="00562D16" w:rsidRDefault="005F55E4" w:rsidP="000750E7">
      <w:pPr>
        <w:spacing w:before="120" w:after="120" w:line="240" w:lineRule="auto"/>
        <w:ind w:left="851"/>
        <w:jc w:val="both"/>
        <w:rPr>
          <w:rFonts w:ascii="Times New Roman" w:eastAsia="Calibri" w:hAnsi="Times New Roman" w:cs="Times New Roman"/>
          <w:bCs/>
          <w:noProof/>
          <w:sz w:val="24"/>
        </w:rPr>
      </w:pPr>
      <w:r>
        <w:rPr>
          <w:rFonts w:ascii="Times New Roman" w:hAnsi="Times New Roman"/>
          <w:noProof/>
          <w:sz w:val="24"/>
        </w:rPr>
        <w:t xml:space="preserve">Комисията ще се създаде на експертно равнище с широко участие на заинтересованите страни, за да се гарантира експертен опит, независимост и плурализъм. Комисията ще оценява различните сценарии за постепенното преустановяване на използването на каменни въглища, включително за ускорено постепенно извеждане от употреба, в съответствие със сравними съседни държави членки. Докладът за сценариите и препоръките ще се адресират до правителството и ще се оповестяват публично. Разработените сценарии и препоръки ще включват стъпки за завършване на постепенното преустановяване използването на каменни въглища възможно най-скоро и най-късно до 2038 г. </w:t>
      </w:r>
    </w:p>
    <w:p w14:paraId="5435C87D" w14:textId="10DFC6F8" w:rsidR="005F55E4" w:rsidRDefault="005F55E4" w:rsidP="000750E7">
      <w:pPr>
        <w:spacing w:before="120" w:after="120" w:line="240" w:lineRule="auto"/>
        <w:ind w:left="851"/>
        <w:jc w:val="both"/>
        <w:rPr>
          <w:rFonts w:ascii="Times New Roman" w:eastAsia="Calibri" w:hAnsi="Times New Roman" w:cs="Times New Roman"/>
          <w:bCs/>
          <w:noProof/>
          <w:sz w:val="24"/>
        </w:rPr>
      </w:pPr>
      <w:r>
        <w:rPr>
          <w:rFonts w:ascii="Times New Roman" w:hAnsi="Times New Roman"/>
          <w:noProof/>
          <w:sz w:val="24"/>
        </w:rPr>
        <w:t xml:space="preserve">Изпълнението на реформата ще приключи до 30 септември 2022 г. </w:t>
      </w:r>
    </w:p>
    <w:p w14:paraId="1A904864" w14:textId="77777777" w:rsidR="00B62359" w:rsidRPr="008A0F8A" w:rsidRDefault="00B62359" w:rsidP="000750E7">
      <w:pPr>
        <w:spacing w:before="120" w:after="120" w:line="240" w:lineRule="auto"/>
        <w:ind w:left="851"/>
        <w:jc w:val="both"/>
        <w:rPr>
          <w:rFonts w:ascii="Times New Roman" w:eastAsia="Calibri" w:hAnsi="Times New Roman" w:cs="Times New Roman"/>
          <w:bCs/>
          <w:noProof/>
          <w:sz w:val="24"/>
          <w:lang w:val="ru-RU"/>
        </w:rPr>
      </w:pPr>
    </w:p>
    <w:p w14:paraId="2E595915" w14:textId="51BDF235" w:rsidR="005F55E4" w:rsidRPr="00562D16" w:rsidRDefault="005F55E4" w:rsidP="000750E7">
      <w:pPr>
        <w:spacing w:before="120" w:after="120" w:line="240" w:lineRule="auto"/>
        <w:ind w:left="851"/>
        <w:jc w:val="both"/>
        <w:rPr>
          <w:rFonts w:ascii="Times New Roman" w:eastAsia="Calibri" w:hAnsi="Times New Roman" w:cs="Times New Roman"/>
          <w:noProof/>
          <w:sz w:val="24"/>
          <w:u w:val="single"/>
        </w:rPr>
      </w:pPr>
      <w:r>
        <w:rPr>
          <w:rFonts w:ascii="Times New Roman" w:hAnsi="Times New Roman"/>
          <w:noProof/>
          <w:sz w:val="24"/>
          <w:u w:val="single"/>
        </w:rPr>
        <w:t xml:space="preserve">Реформа 10 (C4.R10): Декарбонизация на енергийния сектор </w:t>
      </w:r>
    </w:p>
    <w:p w14:paraId="34BB43E9" w14:textId="15BFC5BE" w:rsidR="005F55E4" w:rsidRPr="00562D16" w:rsidRDefault="005F55E4" w:rsidP="000750E7">
      <w:pPr>
        <w:ind w:left="851"/>
        <w:jc w:val="both"/>
        <w:rPr>
          <w:rFonts w:ascii="Times New Roman" w:eastAsia="Calibri" w:hAnsi="Times New Roman" w:cs="Times New Roman"/>
          <w:bCs/>
          <w:noProof/>
          <w:sz w:val="24"/>
        </w:rPr>
      </w:pPr>
      <w:r>
        <w:rPr>
          <w:rFonts w:ascii="Times New Roman" w:hAnsi="Times New Roman"/>
          <w:noProof/>
          <w:sz w:val="24"/>
        </w:rPr>
        <w:t xml:space="preserve">Целта на реформата е декарбонизацията на енергийния сектор с акцент върху производството на електроенергия. Реформата обхваща две основни мерки: обвързващи цели за намаляване на емисиите на въглероден диоксид, свързани с производството на електроенергия, с 40 % под равнищата от 2019 г., които да се постигнат до 2025 г., и законодателство за декарбонизация, включително график за постепенното извеждане от експлоатация на електроцентралите, работещи на въглища, и регулаторна горна граница за техните емисии на въглероден диоксид, приложима от 1 януари 2026 г. </w:t>
      </w:r>
    </w:p>
    <w:p w14:paraId="0F290DDA" w14:textId="77777777" w:rsidR="005F55E4" w:rsidRPr="00562D16" w:rsidRDefault="005F55E4" w:rsidP="000750E7">
      <w:pPr>
        <w:ind w:left="851"/>
        <w:jc w:val="both"/>
        <w:rPr>
          <w:rFonts w:ascii="Times New Roman" w:eastAsia="Calibri" w:hAnsi="Times New Roman" w:cs="Times New Roman"/>
          <w:bCs/>
          <w:noProof/>
          <w:sz w:val="24"/>
        </w:rPr>
      </w:pPr>
      <w:r>
        <w:rPr>
          <w:rFonts w:ascii="Times New Roman" w:hAnsi="Times New Roman"/>
          <w:noProof/>
          <w:sz w:val="24"/>
        </w:rPr>
        <w:t>Общите верифицирани емисии през 2019 г. за енергийния сектор възлизат на 21 182 433 тона емисии на въглероден диоксид, като дялът на електроцентралите, работещи на въглища, е 19 437 716 тона. Очаква се мярката да намали емисиите на въглероден диоксид, свързани с производството на електроенергия от електроцентрали, работещи на въглища, с най-малко 8 455 406 тона.</w:t>
      </w:r>
    </w:p>
    <w:p w14:paraId="35050D42" w14:textId="77777777" w:rsidR="005F55E4" w:rsidRPr="00562D16" w:rsidRDefault="005F55E4" w:rsidP="000750E7">
      <w:pPr>
        <w:ind w:left="851"/>
        <w:jc w:val="both"/>
        <w:rPr>
          <w:rFonts w:ascii="Times New Roman" w:eastAsia="Calibri" w:hAnsi="Times New Roman" w:cs="Times New Roman"/>
          <w:bCs/>
          <w:noProof/>
          <w:sz w:val="24"/>
        </w:rPr>
      </w:pPr>
      <w:r>
        <w:rPr>
          <w:rFonts w:ascii="Times New Roman" w:hAnsi="Times New Roman"/>
          <w:noProof/>
          <w:sz w:val="24"/>
        </w:rPr>
        <w:t>Намаляването на емисиите на въглероден диоксид обхваща: ТЕЦ „Марица 3“ ЕАД, ТЕЦ „Марица Изток 2“ ЕАД, ТЕЦ „Бобов дол“ ЕАД, „ЕЙ И ЕС — 3С Марица Изток 1“, ТЕЦ „Контур Глобал Марица Изток 3“, ТЕЦ „Брикел“ ЕАД, ТЕЦ „Република“, ТЕЦ „Русе изток“ и „Топлофикация Сливен“.</w:t>
      </w:r>
    </w:p>
    <w:p w14:paraId="1DDA6523" w14:textId="77777777" w:rsidR="005F55E4" w:rsidRPr="00562D16" w:rsidRDefault="005F55E4" w:rsidP="000750E7">
      <w:pPr>
        <w:spacing w:before="120" w:after="120" w:line="240" w:lineRule="auto"/>
        <w:ind w:left="851"/>
        <w:jc w:val="both"/>
        <w:rPr>
          <w:rFonts w:ascii="Times New Roman" w:eastAsia="Calibri" w:hAnsi="Times New Roman" w:cs="Times New Roman"/>
          <w:bCs/>
          <w:noProof/>
          <w:sz w:val="24"/>
        </w:rPr>
      </w:pPr>
      <w:r>
        <w:rPr>
          <w:rFonts w:ascii="Times New Roman" w:hAnsi="Times New Roman"/>
          <w:noProof/>
          <w:sz w:val="24"/>
        </w:rPr>
        <w:t>При изпълнението на целите за декарбонизация, определени в рамките на ключовите етапи 54—57, органите надлежно вземат предвид общите екологични показатели на съответните инсталации, по-специално по отношение на емисиите на замърсители на въздуха като прах и серен диоксид, както и спазването на стандартите на ЕС за качество на атмосферния въздух във всички зони за качество на въздуха, в които са разположени инсталациите.</w:t>
      </w:r>
    </w:p>
    <w:p w14:paraId="5E66A01E" w14:textId="3EABD634" w:rsidR="005F55E4" w:rsidRPr="00562D16" w:rsidRDefault="005F55E4" w:rsidP="000750E7">
      <w:pPr>
        <w:spacing w:before="120" w:after="120" w:line="240" w:lineRule="auto"/>
        <w:ind w:left="851"/>
        <w:jc w:val="both"/>
        <w:rPr>
          <w:rFonts w:ascii="Times New Roman" w:eastAsia="Calibri" w:hAnsi="Times New Roman" w:cs="Times New Roman"/>
          <w:bCs/>
          <w:noProof/>
          <w:sz w:val="24"/>
        </w:rPr>
      </w:pPr>
      <w:r>
        <w:rPr>
          <w:rFonts w:ascii="Times New Roman" w:hAnsi="Times New Roman"/>
          <w:noProof/>
          <w:sz w:val="24"/>
        </w:rPr>
        <w:t xml:space="preserve">Изпълнението на реформата ще приключи до 30 юни 2026 г. </w:t>
      </w:r>
    </w:p>
    <w:p w14:paraId="32E97C35" w14:textId="11A61EE3" w:rsidR="007476FA" w:rsidRPr="008A0F8A" w:rsidRDefault="007476FA" w:rsidP="000750E7">
      <w:pPr>
        <w:spacing w:after="0" w:line="240" w:lineRule="auto"/>
        <w:ind w:left="851"/>
        <w:jc w:val="both"/>
        <w:rPr>
          <w:rFonts w:ascii="Times New Roman" w:eastAsia="Calibri" w:hAnsi="Times New Roman" w:cs="Times New Roman"/>
          <w:bCs/>
          <w:noProof/>
          <w:sz w:val="24"/>
          <w:lang w:val="ru-RU"/>
        </w:rPr>
      </w:pPr>
    </w:p>
    <w:p w14:paraId="482DE5D4" w14:textId="7562F431" w:rsidR="005F55E4" w:rsidRPr="00562D16" w:rsidRDefault="005F55E4" w:rsidP="000750E7">
      <w:pPr>
        <w:spacing w:before="120" w:after="120" w:line="240" w:lineRule="auto"/>
        <w:ind w:left="851"/>
        <w:jc w:val="both"/>
        <w:rPr>
          <w:rFonts w:ascii="Times New Roman" w:eastAsia="Calibri" w:hAnsi="Times New Roman" w:cs="Times New Roman"/>
          <w:noProof/>
          <w:sz w:val="24"/>
          <w:u w:val="single"/>
        </w:rPr>
      </w:pPr>
      <w:r>
        <w:rPr>
          <w:rFonts w:ascii="Times New Roman" w:hAnsi="Times New Roman"/>
          <w:noProof/>
          <w:sz w:val="24"/>
          <w:u w:val="single"/>
        </w:rPr>
        <w:t>Инвестиция 7 (C4.I7): Пилотен проект за комбинирано производство на топлинна и електрическа енергия от геотермални източници </w:t>
      </w:r>
    </w:p>
    <w:p w14:paraId="23D6DB3F" w14:textId="06CC6828" w:rsidR="005F55E4" w:rsidRPr="00562D16" w:rsidRDefault="005F55E4" w:rsidP="000750E7">
      <w:pPr>
        <w:spacing w:before="120" w:after="120" w:line="240" w:lineRule="auto"/>
        <w:ind w:left="851"/>
        <w:jc w:val="both"/>
        <w:rPr>
          <w:rFonts w:ascii="Times New Roman" w:eastAsia="Calibri" w:hAnsi="Times New Roman" w:cs="Times New Roman"/>
          <w:noProof/>
          <w:sz w:val="24"/>
        </w:rPr>
      </w:pPr>
      <w:r>
        <w:rPr>
          <w:rFonts w:ascii="Times New Roman" w:hAnsi="Times New Roman"/>
          <w:noProof/>
          <w:sz w:val="24"/>
        </w:rPr>
        <w:t xml:space="preserve">Целта на инвестицията е да се насърчи производството на възобновяема енергия от геотермални източници чрез въвеждане в експлоатация на пилотна геотермална електроцентрала за производство на електрическа и топлинна енергия. </w:t>
      </w:r>
    </w:p>
    <w:p w14:paraId="04A5C294" w14:textId="77777777" w:rsidR="005F55E4" w:rsidRPr="00562D16" w:rsidRDefault="005F55E4" w:rsidP="000750E7">
      <w:pPr>
        <w:spacing w:before="120" w:after="120" w:line="240" w:lineRule="auto"/>
        <w:ind w:left="851"/>
        <w:jc w:val="both"/>
        <w:rPr>
          <w:rFonts w:ascii="Times New Roman" w:eastAsia="Calibri" w:hAnsi="Times New Roman" w:cs="Times New Roman"/>
          <w:noProof/>
          <w:sz w:val="24"/>
        </w:rPr>
      </w:pPr>
      <w:r>
        <w:rPr>
          <w:rFonts w:ascii="Times New Roman" w:hAnsi="Times New Roman"/>
          <w:noProof/>
          <w:sz w:val="24"/>
        </w:rPr>
        <w:t>Инвестицията се състои от безвъзмездни средства за изграждането на избраните инсталации с цел инсталиране на най-малко 10 MW електроенергия и 30 MW топлинна енергия. Инвестицията следва също така да осигури 3D сеизмично картографиране на дълбоките геотермални резервоари, осигуряващи условия за производство на електроенергия, и да изгради специализирана лаборатория на университетско равнище за научни изследвания и обучение в областта на комбинираната геотермална енергийна система. Измененията на регулаторната рамка ще премахнат основните пречки, посочени в пътната карта, за развитието на геотермалната енергия като възобновяем енергиен източник и ще регулират използването на геотермална енергия.</w:t>
      </w:r>
    </w:p>
    <w:p w14:paraId="66264E34" w14:textId="77777777" w:rsidR="005F55E4" w:rsidRPr="00562D16" w:rsidRDefault="005F55E4" w:rsidP="000750E7">
      <w:pPr>
        <w:spacing w:before="120" w:after="120" w:line="240" w:lineRule="auto"/>
        <w:ind w:left="851"/>
        <w:jc w:val="both"/>
        <w:rPr>
          <w:rFonts w:ascii="Times New Roman" w:eastAsia="Calibri" w:hAnsi="Times New Roman" w:cs="Times New Roman"/>
          <w:noProof/>
          <w:sz w:val="24"/>
        </w:rPr>
      </w:pPr>
      <w:r>
        <w:rPr>
          <w:rFonts w:ascii="Times New Roman" w:hAnsi="Times New Roman"/>
          <w:noProof/>
          <w:sz w:val="24"/>
        </w:rPr>
        <w:t xml:space="preserve">С оглед на съответствието на мярката с техническите насоки за прилагането на принципа за „ненанасяне на значителни вреди“ (2021/C58/01), критериите за допустимост в техническите спецификации на предстоящите покани за представяне на проекти ще изключат следния списък от дейности: всяко проучване или добив на нефт или газ, както и оборудване, закупено или използвано за такива цели; подкрепа за системите за централно отопление, използващи изкопаеми енергийни източници, както и инвестиции в инсталации, попадащи в обхвата на схемата на ЕС за търговия с емисии (СТЕ). Трябва да се гарантира, че няма изпускания на метан. Трябва също така да се гарантира, че геотермалното сондиране няма да окаже вредно въздействие върху недостига на вода и качеството на водата. Критериите за допустимост освен това ще изискват да могат да бъдат избирани само дейности, които съблюдават съответното законодателство на ЕС и национално законодателство в областта на околната среда. </w:t>
      </w:r>
    </w:p>
    <w:p w14:paraId="669301B2" w14:textId="77777777" w:rsidR="005F55E4" w:rsidRPr="00562D16" w:rsidRDefault="005F55E4" w:rsidP="000750E7">
      <w:pPr>
        <w:spacing w:before="120" w:after="120" w:line="240" w:lineRule="auto"/>
        <w:ind w:left="851"/>
        <w:jc w:val="both"/>
        <w:rPr>
          <w:rFonts w:ascii="Times New Roman" w:eastAsia="Calibri" w:hAnsi="Times New Roman" w:cs="Times New Roman"/>
          <w:noProof/>
          <w:sz w:val="24"/>
        </w:rPr>
      </w:pPr>
      <w:r>
        <w:rPr>
          <w:rFonts w:ascii="Times New Roman" w:hAnsi="Times New Roman"/>
          <w:noProof/>
          <w:sz w:val="24"/>
        </w:rPr>
        <w:t>Изпълнението на инвестицията ще приключи до 30 юни 2026 г.</w:t>
      </w:r>
    </w:p>
    <w:p w14:paraId="30B4FD94" w14:textId="77777777" w:rsidR="005F55E4" w:rsidRPr="008A0F8A" w:rsidRDefault="005F55E4" w:rsidP="000750E7">
      <w:pPr>
        <w:spacing w:before="120" w:after="120" w:line="240" w:lineRule="auto"/>
        <w:ind w:left="851"/>
        <w:jc w:val="both"/>
        <w:rPr>
          <w:rFonts w:ascii="Times New Roman" w:eastAsia="Calibri" w:hAnsi="Times New Roman" w:cs="Times New Roman"/>
          <w:noProof/>
          <w:sz w:val="24"/>
          <w:lang w:val="ru-RU"/>
        </w:rPr>
      </w:pPr>
    </w:p>
    <w:p w14:paraId="2A70F088" w14:textId="2AF1A38D" w:rsidR="005F55E4" w:rsidRPr="00562D16" w:rsidRDefault="005F55E4" w:rsidP="000750E7">
      <w:pPr>
        <w:spacing w:before="120" w:after="120" w:line="240" w:lineRule="auto"/>
        <w:ind w:left="851"/>
        <w:jc w:val="both"/>
        <w:rPr>
          <w:rFonts w:ascii="Times New Roman" w:eastAsia="Calibri" w:hAnsi="Times New Roman" w:cs="Times New Roman"/>
          <w:noProof/>
          <w:sz w:val="24"/>
          <w:szCs w:val="24"/>
          <w:u w:val="single"/>
        </w:rPr>
      </w:pPr>
      <w:r>
        <w:rPr>
          <w:rFonts w:ascii="Times New Roman" w:hAnsi="Times New Roman"/>
          <w:noProof/>
          <w:sz w:val="24"/>
          <w:u w:val="single"/>
        </w:rPr>
        <w:t>Инвестиция 8 (C4.I8): Национална инфраструктура за съхранение на електроенергия от възобновяеми източници (RESTORE)</w:t>
      </w:r>
    </w:p>
    <w:p w14:paraId="49C85C1C" w14:textId="77777777" w:rsidR="005F55E4" w:rsidRPr="00562D16" w:rsidRDefault="005F55E4" w:rsidP="000750E7">
      <w:pPr>
        <w:spacing w:before="120" w:after="120" w:line="240" w:lineRule="auto"/>
        <w:ind w:left="851"/>
        <w:jc w:val="both"/>
        <w:rPr>
          <w:rFonts w:ascii="Times New Roman" w:eastAsia="Calibri" w:hAnsi="Times New Roman" w:cs="Times New Roman"/>
          <w:noProof/>
          <w:sz w:val="24"/>
        </w:rPr>
      </w:pPr>
      <w:r>
        <w:rPr>
          <w:rFonts w:ascii="Times New Roman" w:hAnsi="Times New Roman"/>
          <w:noProof/>
          <w:sz w:val="24"/>
        </w:rPr>
        <w:t xml:space="preserve">Целта на инвестицията е да се даде възможност за значително увеличаване на дела на енергията от възобновяеми източници (вятърна и слънчева) в енергийния микс и да се гарантира сигурността, стабилността и готовността на българската електроенергийна система. </w:t>
      </w:r>
    </w:p>
    <w:p w14:paraId="76CFB66C" w14:textId="22725B33" w:rsidR="005F55E4" w:rsidRPr="00562D16" w:rsidRDefault="001BFAA0" w:rsidP="000750E7">
      <w:pPr>
        <w:pStyle w:val="Default"/>
        <w:ind w:left="851"/>
        <w:jc w:val="both"/>
        <w:rPr>
          <w:rFonts w:eastAsia="Calibri"/>
          <w:noProof/>
        </w:rPr>
      </w:pPr>
      <w:r>
        <w:rPr>
          <w:noProof/>
        </w:rPr>
        <w:t>Инвестицията се състои в подкрепа за изграждане и въвеждане в експлоатация на национална инфраструктура от съоръжения за съхранение на електроенергия с 3000 MWh използваем енергиен капацитет на равнището на електроенергийната мрежа. Съоръженията ще бъдат разпределени на територията на България и в близост до мощности за производство на енергия от възобновяеми източници. Изпълнението се осъществява чрез открити и конкурентни тръжни процедури въз основа на ясни, прозрачни и недискриминационни критерии. Тя също така ще допринесе за изграждането на интелигентни мрежи, като гарантира висока степен на балансиране и управление на претоварването на мрежите, което е необходимо за интегриране на електроенергията, произведена от възобновяеми енергийни източници.</w:t>
      </w:r>
    </w:p>
    <w:p w14:paraId="199642E0" w14:textId="77777777" w:rsidR="005F55E4" w:rsidRPr="00562D16" w:rsidRDefault="005F55E4" w:rsidP="000750E7">
      <w:pPr>
        <w:pStyle w:val="Default"/>
        <w:ind w:left="851"/>
        <w:jc w:val="both"/>
        <w:rPr>
          <w:rFonts w:eastAsia="Calibri"/>
          <w:noProof/>
        </w:rPr>
      </w:pPr>
    </w:p>
    <w:p w14:paraId="1DD076F9" w14:textId="32ACD3A8" w:rsidR="005F55E4" w:rsidRPr="00562D16" w:rsidRDefault="005F55E4" w:rsidP="2146F73B">
      <w:pPr>
        <w:spacing w:before="120" w:after="120" w:line="240" w:lineRule="auto"/>
        <w:ind w:left="851"/>
        <w:jc w:val="both"/>
        <w:rPr>
          <w:rFonts w:ascii="Times New Roman" w:eastAsia="Calibri" w:hAnsi="Times New Roman" w:cs="Times New Roman"/>
          <w:noProof/>
          <w:sz w:val="24"/>
          <w:szCs w:val="24"/>
        </w:rPr>
      </w:pPr>
      <w:r>
        <w:rPr>
          <w:rFonts w:ascii="Times New Roman" w:hAnsi="Times New Roman"/>
          <w:noProof/>
          <w:sz w:val="24"/>
        </w:rPr>
        <w:t>Изпълнението на инвестицията ще приключи до 30 юни 2026 г.</w:t>
      </w:r>
    </w:p>
    <w:p w14:paraId="6170E5FA" w14:textId="77777777" w:rsidR="005F55E4" w:rsidRPr="008A0F8A" w:rsidRDefault="005F55E4" w:rsidP="000750E7">
      <w:pPr>
        <w:spacing w:before="120" w:after="120" w:line="240" w:lineRule="auto"/>
        <w:ind w:left="851"/>
        <w:jc w:val="both"/>
        <w:rPr>
          <w:rFonts w:ascii="Times New Roman" w:eastAsia="Calibri" w:hAnsi="Times New Roman" w:cs="Times New Roman"/>
          <w:noProof/>
          <w:sz w:val="24"/>
          <w:lang w:val="ru-RU"/>
        </w:rPr>
      </w:pPr>
    </w:p>
    <w:p w14:paraId="43339883" w14:textId="17B400D4" w:rsidR="005F55E4" w:rsidRPr="00562D16" w:rsidRDefault="005F55E4" w:rsidP="000750E7">
      <w:pPr>
        <w:spacing w:before="120" w:after="120" w:line="240" w:lineRule="auto"/>
        <w:ind w:left="851"/>
        <w:jc w:val="both"/>
        <w:rPr>
          <w:rFonts w:ascii="Times New Roman" w:eastAsia="Calibri" w:hAnsi="Times New Roman" w:cs="Times New Roman"/>
          <w:noProof/>
          <w:sz w:val="24"/>
          <w:u w:val="single"/>
        </w:rPr>
      </w:pPr>
      <w:r>
        <w:rPr>
          <w:rFonts w:ascii="Times New Roman" w:hAnsi="Times New Roman"/>
          <w:noProof/>
          <w:sz w:val="24"/>
          <w:u w:val="single"/>
        </w:rPr>
        <w:t>Реформа 11 (C4.R11). Подобряване на корпоративното управление на държавните предприятия в енергийния сектор</w:t>
      </w:r>
    </w:p>
    <w:p w14:paraId="2D6EBAA0" w14:textId="47275753" w:rsidR="005F55E4" w:rsidRPr="00562D16" w:rsidRDefault="005F55E4" w:rsidP="000750E7">
      <w:pPr>
        <w:spacing w:before="120" w:after="120" w:line="240" w:lineRule="auto"/>
        <w:ind w:left="851"/>
        <w:jc w:val="both"/>
        <w:rPr>
          <w:rFonts w:ascii="Times New Roman" w:eastAsia="Calibri" w:hAnsi="Times New Roman" w:cs="Times New Roman"/>
          <w:noProof/>
          <w:sz w:val="24"/>
        </w:rPr>
      </w:pPr>
      <w:r>
        <w:rPr>
          <w:rFonts w:ascii="Times New Roman" w:hAnsi="Times New Roman"/>
          <w:noProof/>
          <w:sz w:val="24"/>
        </w:rPr>
        <w:t>Целта на реформата е да се подобри прозрачността и конкурентоспособността на държавните предприятия в енергийния сектор. Мярката се състои в отделяне на собствеността и контрола в рамките на държавата на двата оператора на преносни системи за природен газ и електроенергия (т.е. „Булгартрансаз“ ЕАД и „ЕСО“ ЕАД) от корпоративната структура на „Български енергиен холдинг“ ЕАД. Освен това на Европейската комисия ще се представя независим одитен доклад с подробна оценка на съответствието на пазара на кръстосано субсидиране между държавни или контролирани от държавата енергийни предприятия във връзка с производството на електроенергия от въглища, ако има такова, включително прехвърляне на капитал между отделни дейности и между предприятия от една и съща група във връзка с производството на електроенергия от въглища. Докладът ще се представя ежегодно по отношение на предходната календарна година.</w:t>
      </w:r>
    </w:p>
    <w:p w14:paraId="0BFA4839" w14:textId="0AB0F859" w:rsidR="005F55E4" w:rsidRPr="00562D16" w:rsidRDefault="005F55E4" w:rsidP="000750E7">
      <w:pPr>
        <w:spacing w:before="120" w:after="120" w:line="240" w:lineRule="auto"/>
        <w:ind w:left="851"/>
        <w:jc w:val="both"/>
        <w:rPr>
          <w:rFonts w:ascii="Times New Roman" w:eastAsia="Calibri" w:hAnsi="Times New Roman" w:cs="Times New Roman"/>
          <w:noProof/>
          <w:sz w:val="24"/>
        </w:rPr>
      </w:pPr>
      <w:r>
        <w:rPr>
          <w:rFonts w:ascii="Times New Roman" w:hAnsi="Times New Roman"/>
          <w:noProof/>
          <w:sz w:val="24"/>
        </w:rPr>
        <w:t>Изпълнението на реформата ще приключи до 31 март 2024 г.</w:t>
      </w:r>
    </w:p>
    <w:p w14:paraId="1BB159BF" w14:textId="77777777" w:rsidR="005F55E4" w:rsidRPr="008A0F8A" w:rsidRDefault="005F55E4" w:rsidP="005F55E4">
      <w:pPr>
        <w:spacing w:before="120" w:after="120" w:line="240" w:lineRule="auto"/>
        <w:jc w:val="both"/>
        <w:rPr>
          <w:rFonts w:ascii="Times New Roman" w:eastAsia="Calibri" w:hAnsi="Times New Roman" w:cs="Times New Roman"/>
          <w:noProof/>
          <w:sz w:val="24"/>
          <w:lang w:val="ru-RU"/>
        </w:rPr>
      </w:pPr>
    </w:p>
    <w:p w14:paraId="7DCCC036" w14:textId="77777777" w:rsidR="005F55E4" w:rsidRPr="00562D16" w:rsidRDefault="005F55E4" w:rsidP="005F55E4">
      <w:pPr>
        <w:spacing w:before="120" w:after="120" w:line="240" w:lineRule="auto"/>
        <w:ind w:left="709"/>
        <w:jc w:val="both"/>
        <w:rPr>
          <w:rFonts w:ascii="Times New Roman" w:eastAsia="Calibri" w:hAnsi="Times New Roman" w:cs="Times New Roman"/>
          <w:noProof/>
          <w:sz w:val="24"/>
        </w:rPr>
      </w:pPr>
      <w:r>
        <w:rPr>
          <w:rFonts w:ascii="Times New Roman" w:hAnsi="Times New Roman"/>
          <w:b/>
          <w:noProof/>
          <w:sz w:val="24"/>
          <w:u w:val="single"/>
        </w:rPr>
        <w:t xml:space="preserve">Г.2. </w:t>
      </w:r>
      <w:r>
        <w:rPr>
          <w:rFonts w:ascii="Times New Roman" w:hAnsi="Times New Roman"/>
          <w:b/>
          <w:noProof/>
          <w:sz w:val="24"/>
          <w:u w:val="single"/>
        </w:rPr>
        <w:tab/>
        <w:t>Ключови етапи, цели, показатели и график за мониторинг и изпълнение на безвъзмездната финансова подкрепа</w:t>
      </w:r>
    </w:p>
    <w:p w14:paraId="0B6359A9" w14:textId="21639C27" w:rsidR="00B073DD" w:rsidRPr="008A0F8A" w:rsidRDefault="00B073DD" w:rsidP="00B073DD">
      <w:pPr>
        <w:spacing w:before="120" w:after="120" w:line="240" w:lineRule="auto"/>
        <w:jc w:val="both"/>
        <w:rPr>
          <w:rFonts w:ascii="Times New Roman" w:eastAsia="Calibri" w:hAnsi="Times New Roman" w:cs="Times New Roman"/>
          <w:noProof/>
          <w:sz w:val="24"/>
          <w:lang w:val="ru-RU"/>
        </w:rPr>
        <w:sectPr w:rsidR="00B073DD" w:rsidRPr="008A0F8A" w:rsidSect="00B60432">
          <w:headerReference w:type="even" r:id="rId54"/>
          <w:headerReference w:type="default" r:id="rId55"/>
          <w:footerReference w:type="even" r:id="rId56"/>
          <w:footerReference w:type="default" r:id="rId57"/>
          <w:headerReference w:type="first" r:id="rId58"/>
          <w:footerReference w:type="first" r:id="rId59"/>
          <w:pgSz w:w="11907" w:h="16839"/>
          <w:pgMar w:top="1134" w:right="1134" w:bottom="1134" w:left="1134" w:header="567" w:footer="567" w:gutter="0"/>
          <w:cols w:space="720"/>
          <w:docGrid w:linePitch="360"/>
        </w:sectPr>
      </w:pPr>
    </w:p>
    <w:tbl>
      <w:tblPr>
        <w:tblW w:w="15651" w:type="dxa"/>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1837"/>
        <w:gridCol w:w="1131"/>
        <w:gridCol w:w="1696"/>
        <w:gridCol w:w="1414"/>
        <w:gridCol w:w="1151"/>
        <w:gridCol w:w="1275"/>
        <w:gridCol w:w="1134"/>
        <w:gridCol w:w="851"/>
        <w:gridCol w:w="709"/>
        <w:gridCol w:w="3772"/>
      </w:tblGrid>
      <w:tr w:rsidR="00313A8D" w:rsidRPr="005241FC" w14:paraId="62097BE0" w14:textId="77777777" w:rsidTr="008E16C0">
        <w:trPr>
          <w:trHeight w:val="927"/>
          <w:tblHeader/>
        </w:trPr>
        <w:tc>
          <w:tcPr>
            <w:tcW w:w="681" w:type="dxa"/>
            <w:vMerge w:val="restart"/>
            <w:shd w:val="clear" w:color="auto" w:fill="BDD7EE"/>
            <w:vAlign w:val="center"/>
            <w:hideMark/>
          </w:tcPr>
          <w:p w14:paraId="066504DF" w14:textId="58A709EC" w:rsidR="008B0F39" w:rsidRPr="000A6D93" w:rsidRDefault="004E2CAF" w:rsidP="00855FFB">
            <w:pPr>
              <w:spacing w:after="0" w:line="240" w:lineRule="auto"/>
              <w:jc w:val="center"/>
              <w:rPr>
                <w:rFonts w:ascii="Times New Roman" w:eastAsia="Times New Roman" w:hAnsi="Times New Roman" w:cs="Times New Roman"/>
                <w:b/>
                <w:noProof/>
                <w:sz w:val="18"/>
                <w:szCs w:val="18"/>
              </w:rPr>
            </w:pPr>
            <w:r>
              <w:rPr>
                <w:rFonts w:ascii="Times New Roman" w:hAnsi="Times New Roman"/>
                <w:b/>
                <w:noProof/>
                <w:sz w:val="18"/>
              </w:rPr>
              <w:t>Пореден номер</w:t>
            </w:r>
          </w:p>
        </w:tc>
        <w:tc>
          <w:tcPr>
            <w:tcW w:w="1837" w:type="dxa"/>
            <w:vMerge w:val="restart"/>
            <w:shd w:val="clear" w:color="auto" w:fill="BDD7EE"/>
            <w:vAlign w:val="center"/>
            <w:hideMark/>
          </w:tcPr>
          <w:p w14:paraId="6C789ED9" w14:textId="77777777" w:rsidR="008B0F39" w:rsidRPr="000A6D93" w:rsidRDefault="008B0F39" w:rsidP="00855FFB">
            <w:pPr>
              <w:spacing w:after="0" w:line="240" w:lineRule="auto"/>
              <w:jc w:val="center"/>
              <w:rPr>
                <w:rFonts w:ascii="Times New Roman" w:eastAsia="Times New Roman" w:hAnsi="Times New Roman" w:cs="Times New Roman"/>
                <w:b/>
                <w:noProof/>
                <w:sz w:val="18"/>
                <w:szCs w:val="18"/>
              </w:rPr>
            </w:pPr>
            <w:r>
              <w:rPr>
                <w:rFonts w:ascii="Times New Roman" w:hAnsi="Times New Roman"/>
                <w:b/>
                <w:noProof/>
                <w:sz w:val="18"/>
              </w:rPr>
              <w:t>Свързана мярка (реформа или инвестиция)</w:t>
            </w:r>
          </w:p>
        </w:tc>
        <w:tc>
          <w:tcPr>
            <w:tcW w:w="1131" w:type="dxa"/>
            <w:vMerge w:val="restart"/>
            <w:shd w:val="clear" w:color="auto" w:fill="BDD7EE"/>
            <w:vAlign w:val="center"/>
            <w:hideMark/>
          </w:tcPr>
          <w:p w14:paraId="6A72E1BE" w14:textId="77777777" w:rsidR="008B0F39" w:rsidRPr="000A6D93" w:rsidRDefault="008B0F39" w:rsidP="00855FFB">
            <w:pPr>
              <w:spacing w:after="0" w:line="240" w:lineRule="auto"/>
              <w:jc w:val="center"/>
              <w:rPr>
                <w:rFonts w:ascii="Times New Roman" w:eastAsia="Times New Roman" w:hAnsi="Times New Roman" w:cs="Times New Roman"/>
                <w:b/>
                <w:noProof/>
                <w:sz w:val="18"/>
                <w:szCs w:val="18"/>
              </w:rPr>
            </w:pPr>
            <w:r>
              <w:rPr>
                <w:rFonts w:ascii="Times New Roman" w:hAnsi="Times New Roman"/>
                <w:b/>
                <w:noProof/>
                <w:sz w:val="18"/>
              </w:rPr>
              <w:t>Ключов етап / Цел</w:t>
            </w:r>
          </w:p>
        </w:tc>
        <w:tc>
          <w:tcPr>
            <w:tcW w:w="1696" w:type="dxa"/>
            <w:vMerge w:val="restart"/>
            <w:shd w:val="clear" w:color="auto" w:fill="BDD7EE"/>
            <w:vAlign w:val="center"/>
            <w:hideMark/>
          </w:tcPr>
          <w:p w14:paraId="544B1A0D" w14:textId="77777777" w:rsidR="008B0F39" w:rsidRPr="000A6D93" w:rsidRDefault="008B0F39" w:rsidP="00855FFB">
            <w:pPr>
              <w:spacing w:after="0" w:line="240" w:lineRule="auto"/>
              <w:jc w:val="center"/>
              <w:rPr>
                <w:rFonts w:ascii="Times New Roman" w:eastAsia="Times New Roman" w:hAnsi="Times New Roman" w:cs="Times New Roman"/>
                <w:b/>
                <w:noProof/>
                <w:sz w:val="18"/>
                <w:szCs w:val="18"/>
              </w:rPr>
            </w:pPr>
            <w:r>
              <w:rPr>
                <w:rFonts w:ascii="Times New Roman" w:hAnsi="Times New Roman"/>
                <w:b/>
                <w:noProof/>
                <w:sz w:val="18"/>
              </w:rPr>
              <w:t>Наименование</w:t>
            </w:r>
          </w:p>
        </w:tc>
        <w:tc>
          <w:tcPr>
            <w:tcW w:w="1414" w:type="dxa"/>
            <w:vMerge w:val="restart"/>
            <w:shd w:val="clear" w:color="auto" w:fill="BDD7EE"/>
            <w:vAlign w:val="center"/>
            <w:hideMark/>
          </w:tcPr>
          <w:p w14:paraId="6033515E" w14:textId="77777777" w:rsidR="008B0F39" w:rsidRPr="000A6D93" w:rsidRDefault="008B0F39" w:rsidP="00855FFB">
            <w:pPr>
              <w:spacing w:after="0" w:line="240" w:lineRule="auto"/>
              <w:jc w:val="center"/>
              <w:rPr>
                <w:rFonts w:ascii="Times New Roman" w:eastAsia="Times New Roman" w:hAnsi="Times New Roman" w:cs="Times New Roman"/>
                <w:b/>
                <w:noProof/>
                <w:sz w:val="18"/>
                <w:szCs w:val="18"/>
              </w:rPr>
            </w:pPr>
            <w:r>
              <w:rPr>
                <w:rFonts w:ascii="Times New Roman" w:hAnsi="Times New Roman"/>
                <w:b/>
                <w:noProof/>
                <w:sz w:val="18"/>
              </w:rPr>
              <w:t xml:space="preserve">Качествени показатели </w:t>
            </w:r>
            <w:r>
              <w:rPr>
                <w:rFonts w:ascii="Times New Roman" w:hAnsi="Times New Roman"/>
                <w:b/>
                <w:noProof/>
                <w:sz w:val="18"/>
              </w:rPr>
              <w:br/>
              <w:t>(за ключовите етапи)</w:t>
            </w:r>
          </w:p>
        </w:tc>
        <w:tc>
          <w:tcPr>
            <w:tcW w:w="3560" w:type="dxa"/>
            <w:gridSpan w:val="3"/>
            <w:shd w:val="clear" w:color="auto" w:fill="BDD7EE"/>
            <w:vAlign w:val="center"/>
            <w:hideMark/>
          </w:tcPr>
          <w:p w14:paraId="2BC56B86" w14:textId="77777777" w:rsidR="008B0F39" w:rsidRPr="000A6D93" w:rsidRDefault="008B0F39" w:rsidP="00855FFB">
            <w:pPr>
              <w:spacing w:after="0" w:line="240" w:lineRule="auto"/>
              <w:jc w:val="center"/>
              <w:rPr>
                <w:rFonts w:ascii="Times New Roman" w:eastAsia="Times New Roman" w:hAnsi="Times New Roman" w:cs="Times New Roman"/>
                <w:b/>
                <w:noProof/>
                <w:sz w:val="18"/>
                <w:szCs w:val="18"/>
              </w:rPr>
            </w:pPr>
            <w:r>
              <w:rPr>
                <w:rFonts w:ascii="Times New Roman" w:hAnsi="Times New Roman"/>
                <w:b/>
                <w:noProof/>
                <w:sz w:val="18"/>
              </w:rPr>
              <w:t xml:space="preserve">Количествени показатели </w:t>
            </w:r>
            <w:r>
              <w:rPr>
                <w:rFonts w:ascii="Times New Roman" w:hAnsi="Times New Roman"/>
                <w:b/>
                <w:noProof/>
                <w:sz w:val="18"/>
              </w:rPr>
              <w:br/>
              <w:t>(за целите)</w:t>
            </w:r>
          </w:p>
        </w:tc>
        <w:tc>
          <w:tcPr>
            <w:tcW w:w="1560" w:type="dxa"/>
            <w:gridSpan w:val="2"/>
            <w:shd w:val="clear" w:color="auto" w:fill="BDD7EE"/>
            <w:vAlign w:val="center"/>
            <w:hideMark/>
          </w:tcPr>
          <w:p w14:paraId="4FBACE7E" w14:textId="6849D8EA" w:rsidR="008B0F39" w:rsidRPr="000A6D93" w:rsidRDefault="008B0F39" w:rsidP="00855FFB">
            <w:pPr>
              <w:spacing w:after="0" w:line="240" w:lineRule="auto"/>
              <w:jc w:val="center"/>
              <w:rPr>
                <w:rFonts w:ascii="Times New Roman" w:eastAsia="Times New Roman" w:hAnsi="Times New Roman" w:cs="Times New Roman"/>
                <w:b/>
                <w:noProof/>
                <w:sz w:val="18"/>
                <w:szCs w:val="18"/>
              </w:rPr>
            </w:pPr>
            <w:r>
              <w:rPr>
                <w:rFonts w:ascii="Times New Roman" w:hAnsi="Times New Roman"/>
                <w:b/>
                <w:noProof/>
                <w:sz w:val="18"/>
              </w:rPr>
              <w:t>Ориентировъчен график за приключване</w:t>
            </w:r>
          </w:p>
        </w:tc>
        <w:tc>
          <w:tcPr>
            <w:tcW w:w="3772" w:type="dxa"/>
            <w:vMerge w:val="restart"/>
            <w:shd w:val="clear" w:color="auto" w:fill="BDD7EE"/>
            <w:vAlign w:val="center"/>
            <w:hideMark/>
          </w:tcPr>
          <w:p w14:paraId="4C90974E" w14:textId="77777777" w:rsidR="008B0F39" w:rsidRPr="000A6D93" w:rsidRDefault="008B0F39" w:rsidP="00855FFB">
            <w:pPr>
              <w:spacing w:after="0" w:line="240" w:lineRule="auto"/>
              <w:jc w:val="center"/>
              <w:rPr>
                <w:rFonts w:ascii="Times New Roman" w:eastAsia="Times New Roman" w:hAnsi="Times New Roman" w:cs="Times New Roman"/>
                <w:b/>
                <w:noProof/>
                <w:sz w:val="18"/>
                <w:szCs w:val="18"/>
              </w:rPr>
            </w:pPr>
            <w:r>
              <w:rPr>
                <w:rFonts w:ascii="Times New Roman" w:hAnsi="Times New Roman"/>
                <w:b/>
                <w:noProof/>
                <w:sz w:val="18"/>
              </w:rPr>
              <w:t>Описание на всеки ключов етап и цел</w:t>
            </w:r>
          </w:p>
        </w:tc>
      </w:tr>
      <w:tr w:rsidR="00313A8D" w:rsidRPr="00491076" w14:paraId="3CB2FF67" w14:textId="77777777" w:rsidTr="008E16C0">
        <w:trPr>
          <w:trHeight w:val="196"/>
          <w:tblHeader/>
        </w:trPr>
        <w:tc>
          <w:tcPr>
            <w:tcW w:w="681" w:type="dxa"/>
            <w:vMerge/>
            <w:vAlign w:val="center"/>
            <w:hideMark/>
          </w:tcPr>
          <w:p w14:paraId="20E239D6" w14:textId="77777777" w:rsidR="008B0F39" w:rsidRPr="008A0F8A" w:rsidRDefault="008B0F39" w:rsidP="0066695B">
            <w:pPr>
              <w:spacing w:after="0" w:line="240" w:lineRule="auto"/>
              <w:rPr>
                <w:rFonts w:ascii="Times New Roman" w:eastAsia="Times New Roman" w:hAnsi="Times New Roman" w:cs="Times New Roman"/>
                <w:b/>
                <w:bCs/>
                <w:noProof/>
                <w:sz w:val="18"/>
                <w:szCs w:val="18"/>
                <w:lang w:val="ru-RU" w:eastAsia="en-GB"/>
              </w:rPr>
            </w:pPr>
          </w:p>
        </w:tc>
        <w:tc>
          <w:tcPr>
            <w:tcW w:w="1837" w:type="dxa"/>
            <w:vMerge/>
            <w:vAlign w:val="center"/>
            <w:hideMark/>
          </w:tcPr>
          <w:p w14:paraId="21D18B14" w14:textId="77777777" w:rsidR="008B0F39" w:rsidRPr="008A0F8A" w:rsidRDefault="008B0F39" w:rsidP="0066695B">
            <w:pPr>
              <w:spacing w:after="0" w:line="240" w:lineRule="auto"/>
              <w:rPr>
                <w:rFonts w:ascii="Times New Roman" w:eastAsia="Times New Roman" w:hAnsi="Times New Roman" w:cs="Times New Roman"/>
                <w:b/>
                <w:bCs/>
                <w:noProof/>
                <w:sz w:val="18"/>
                <w:szCs w:val="18"/>
                <w:lang w:val="ru-RU" w:eastAsia="en-GB"/>
              </w:rPr>
            </w:pPr>
          </w:p>
        </w:tc>
        <w:tc>
          <w:tcPr>
            <w:tcW w:w="1131" w:type="dxa"/>
            <w:vMerge/>
            <w:vAlign w:val="center"/>
            <w:hideMark/>
          </w:tcPr>
          <w:p w14:paraId="7ED14AEA" w14:textId="77777777" w:rsidR="008B0F39" w:rsidRPr="008A0F8A" w:rsidRDefault="008B0F39" w:rsidP="0066695B">
            <w:pPr>
              <w:spacing w:after="0" w:line="240" w:lineRule="auto"/>
              <w:rPr>
                <w:rFonts w:ascii="Times New Roman" w:eastAsia="Times New Roman" w:hAnsi="Times New Roman" w:cs="Times New Roman"/>
                <w:b/>
                <w:bCs/>
                <w:noProof/>
                <w:sz w:val="18"/>
                <w:szCs w:val="18"/>
                <w:lang w:val="ru-RU" w:eastAsia="en-GB"/>
              </w:rPr>
            </w:pPr>
          </w:p>
        </w:tc>
        <w:tc>
          <w:tcPr>
            <w:tcW w:w="1696" w:type="dxa"/>
            <w:vMerge/>
            <w:vAlign w:val="center"/>
            <w:hideMark/>
          </w:tcPr>
          <w:p w14:paraId="3E33EC3E" w14:textId="77777777" w:rsidR="008B0F39" w:rsidRPr="008A0F8A" w:rsidRDefault="008B0F39" w:rsidP="0066695B">
            <w:pPr>
              <w:spacing w:after="0" w:line="240" w:lineRule="auto"/>
              <w:rPr>
                <w:rFonts w:ascii="Times New Roman" w:eastAsia="Times New Roman" w:hAnsi="Times New Roman" w:cs="Times New Roman"/>
                <w:b/>
                <w:bCs/>
                <w:noProof/>
                <w:sz w:val="18"/>
                <w:szCs w:val="18"/>
                <w:lang w:val="ru-RU" w:eastAsia="en-GB"/>
              </w:rPr>
            </w:pPr>
          </w:p>
        </w:tc>
        <w:tc>
          <w:tcPr>
            <w:tcW w:w="1414" w:type="dxa"/>
            <w:vMerge/>
            <w:vAlign w:val="center"/>
            <w:hideMark/>
          </w:tcPr>
          <w:p w14:paraId="68FADC77" w14:textId="77777777" w:rsidR="008B0F39" w:rsidRPr="008A0F8A" w:rsidRDefault="008B0F39" w:rsidP="0066695B">
            <w:pPr>
              <w:spacing w:after="0" w:line="240" w:lineRule="auto"/>
              <w:rPr>
                <w:rFonts w:ascii="Times New Roman" w:eastAsia="Times New Roman" w:hAnsi="Times New Roman" w:cs="Times New Roman"/>
                <w:b/>
                <w:bCs/>
                <w:noProof/>
                <w:sz w:val="18"/>
                <w:szCs w:val="18"/>
                <w:lang w:val="ru-RU" w:eastAsia="en-GB"/>
              </w:rPr>
            </w:pPr>
          </w:p>
        </w:tc>
        <w:tc>
          <w:tcPr>
            <w:tcW w:w="1151" w:type="dxa"/>
            <w:shd w:val="clear" w:color="auto" w:fill="BDD7EE"/>
            <w:vAlign w:val="center"/>
            <w:hideMark/>
          </w:tcPr>
          <w:p w14:paraId="7AE8A82E" w14:textId="77777777" w:rsidR="008B0F39" w:rsidRPr="000A6D93" w:rsidRDefault="008B0F39" w:rsidP="00855FFB">
            <w:pPr>
              <w:spacing w:after="0" w:line="240" w:lineRule="auto"/>
              <w:jc w:val="center"/>
              <w:rPr>
                <w:rFonts w:ascii="Times New Roman" w:eastAsia="Times New Roman" w:hAnsi="Times New Roman" w:cs="Times New Roman"/>
                <w:b/>
                <w:noProof/>
                <w:sz w:val="18"/>
                <w:szCs w:val="18"/>
              </w:rPr>
            </w:pPr>
            <w:r>
              <w:rPr>
                <w:rFonts w:ascii="Times New Roman" w:hAnsi="Times New Roman"/>
                <w:b/>
                <w:noProof/>
                <w:sz w:val="18"/>
              </w:rPr>
              <w:t>Мерна единица</w:t>
            </w:r>
          </w:p>
        </w:tc>
        <w:tc>
          <w:tcPr>
            <w:tcW w:w="1275" w:type="dxa"/>
            <w:shd w:val="clear" w:color="auto" w:fill="BDD7EE"/>
            <w:vAlign w:val="center"/>
            <w:hideMark/>
          </w:tcPr>
          <w:p w14:paraId="4A88DC94" w14:textId="52D39C42" w:rsidR="008B0F39" w:rsidRPr="000A6D93" w:rsidRDefault="008B0F39" w:rsidP="00855FFB">
            <w:pPr>
              <w:spacing w:after="0" w:line="240" w:lineRule="auto"/>
              <w:jc w:val="center"/>
              <w:rPr>
                <w:rFonts w:ascii="Times New Roman" w:eastAsia="Times New Roman" w:hAnsi="Times New Roman" w:cs="Times New Roman"/>
                <w:b/>
                <w:noProof/>
                <w:sz w:val="18"/>
                <w:szCs w:val="18"/>
              </w:rPr>
            </w:pPr>
            <w:r>
              <w:rPr>
                <w:rFonts w:ascii="Times New Roman" w:hAnsi="Times New Roman"/>
                <w:b/>
                <w:noProof/>
                <w:sz w:val="18"/>
              </w:rPr>
              <w:t>Базова линия</w:t>
            </w:r>
          </w:p>
        </w:tc>
        <w:tc>
          <w:tcPr>
            <w:tcW w:w="1134" w:type="dxa"/>
            <w:shd w:val="clear" w:color="auto" w:fill="BDD7EE"/>
            <w:vAlign w:val="center"/>
            <w:hideMark/>
          </w:tcPr>
          <w:p w14:paraId="7F82FAF2" w14:textId="1B1E780E" w:rsidR="008B0F39" w:rsidRPr="000A6D93" w:rsidRDefault="008B0F39" w:rsidP="00855FFB">
            <w:pPr>
              <w:spacing w:after="0" w:line="240" w:lineRule="auto"/>
              <w:jc w:val="center"/>
              <w:rPr>
                <w:rFonts w:ascii="Times New Roman" w:eastAsia="Times New Roman" w:hAnsi="Times New Roman" w:cs="Times New Roman"/>
                <w:b/>
                <w:noProof/>
                <w:sz w:val="18"/>
                <w:szCs w:val="18"/>
              </w:rPr>
            </w:pPr>
            <w:r>
              <w:rPr>
                <w:rFonts w:ascii="Times New Roman" w:hAnsi="Times New Roman"/>
                <w:b/>
                <w:noProof/>
                <w:sz w:val="18"/>
              </w:rPr>
              <w:t>Цел</w:t>
            </w:r>
          </w:p>
        </w:tc>
        <w:tc>
          <w:tcPr>
            <w:tcW w:w="851" w:type="dxa"/>
            <w:shd w:val="clear" w:color="auto" w:fill="BDD7EE"/>
            <w:vAlign w:val="center"/>
            <w:hideMark/>
          </w:tcPr>
          <w:p w14:paraId="5EE2064E" w14:textId="77777777" w:rsidR="008B0F39" w:rsidRPr="000A6D93" w:rsidRDefault="008B0F39" w:rsidP="0066695B">
            <w:pPr>
              <w:spacing w:after="0" w:line="240" w:lineRule="auto"/>
              <w:rPr>
                <w:rFonts w:ascii="Times New Roman" w:eastAsia="Times New Roman" w:hAnsi="Times New Roman" w:cs="Times New Roman"/>
                <w:b/>
                <w:noProof/>
                <w:sz w:val="18"/>
                <w:szCs w:val="18"/>
              </w:rPr>
            </w:pPr>
            <w:r>
              <w:rPr>
                <w:rFonts w:ascii="Times New Roman" w:hAnsi="Times New Roman"/>
                <w:b/>
                <w:noProof/>
                <w:sz w:val="18"/>
              </w:rPr>
              <w:t>Тримесечие</w:t>
            </w:r>
          </w:p>
        </w:tc>
        <w:tc>
          <w:tcPr>
            <w:tcW w:w="709" w:type="dxa"/>
            <w:shd w:val="clear" w:color="auto" w:fill="BDD7EE"/>
            <w:vAlign w:val="center"/>
            <w:hideMark/>
          </w:tcPr>
          <w:p w14:paraId="2018C9DC" w14:textId="77777777" w:rsidR="008B0F39" w:rsidRPr="000A6D93" w:rsidRDefault="008B0F39" w:rsidP="0066695B">
            <w:pPr>
              <w:spacing w:after="0" w:line="240" w:lineRule="auto"/>
              <w:rPr>
                <w:rFonts w:ascii="Times New Roman" w:eastAsia="Times New Roman" w:hAnsi="Times New Roman" w:cs="Times New Roman"/>
                <w:b/>
                <w:noProof/>
                <w:sz w:val="18"/>
                <w:szCs w:val="18"/>
              </w:rPr>
            </w:pPr>
            <w:r>
              <w:rPr>
                <w:rFonts w:ascii="Times New Roman" w:hAnsi="Times New Roman"/>
                <w:b/>
                <w:noProof/>
                <w:sz w:val="18"/>
              </w:rPr>
              <w:t>Година</w:t>
            </w:r>
          </w:p>
        </w:tc>
        <w:tc>
          <w:tcPr>
            <w:tcW w:w="3772" w:type="dxa"/>
            <w:vMerge/>
            <w:vAlign w:val="center"/>
            <w:hideMark/>
          </w:tcPr>
          <w:p w14:paraId="7204C97F" w14:textId="77777777" w:rsidR="008B0F39" w:rsidRPr="00491076" w:rsidRDefault="008B0F39" w:rsidP="0066695B">
            <w:pPr>
              <w:spacing w:after="0" w:line="240" w:lineRule="auto"/>
              <w:rPr>
                <w:rFonts w:ascii="Times New Roman" w:eastAsia="Times New Roman" w:hAnsi="Times New Roman" w:cs="Times New Roman"/>
                <w:b/>
                <w:bCs/>
                <w:noProof/>
                <w:sz w:val="20"/>
                <w:szCs w:val="20"/>
                <w:lang w:val="en-GB" w:eastAsia="en-GB"/>
              </w:rPr>
            </w:pPr>
          </w:p>
        </w:tc>
      </w:tr>
      <w:tr w:rsidR="008E16C0" w:rsidRPr="005241FC" w14:paraId="2F5F03F0" w14:textId="77777777" w:rsidTr="008E16C0">
        <w:trPr>
          <w:trHeight w:val="3676"/>
        </w:trPr>
        <w:tc>
          <w:tcPr>
            <w:tcW w:w="681" w:type="dxa"/>
            <w:shd w:val="clear" w:color="auto" w:fill="C6EFCE"/>
            <w:noWrap/>
          </w:tcPr>
          <w:p w14:paraId="39FCEC68" w14:textId="78852273" w:rsidR="008B0F39" w:rsidRPr="00491076" w:rsidRDefault="000E517E"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63</w:t>
            </w:r>
          </w:p>
        </w:tc>
        <w:tc>
          <w:tcPr>
            <w:tcW w:w="1837" w:type="dxa"/>
            <w:shd w:val="clear" w:color="auto" w:fill="C6EFCE"/>
            <w:noWrap/>
          </w:tcPr>
          <w:p w14:paraId="37063164" w14:textId="0A5A39DB" w:rsidR="008B0F39" w:rsidRPr="00491076" w:rsidRDefault="008B0F39" w:rsidP="0073609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C4.R1: Създаване на Национален фонд за декарбонизация</w:t>
            </w:r>
          </w:p>
        </w:tc>
        <w:tc>
          <w:tcPr>
            <w:tcW w:w="1131" w:type="dxa"/>
            <w:shd w:val="clear" w:color="auto" w:fill="C6EFCE"/>
            <w:noWrap/>
          </w:tcPr>
          <w:p w14:paraId="03A19A7B"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696" w:type="dxa"/>
            <w:shd w:val="clear" w:color="auto" w:fill="C6EFCE"/>
            <w:noWrap/>
          </w:tcPr>
          <w:p w14:paraId="69B0094B"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Оценка на националната регулаторна рамка за енергийна ефективност от независима експертна група</w:t>
            </w:r>
          </w:p>
        </w:tc>
        <w:tc>
          <w:tcPr>
            <w:tcW w:w="1414" w:type="dxa"/>
            <w:shd w:val="clear" w:color="auto" w:fill="C6EFCE"/>
            <w:noWrap/>
          </w:tcPr>
          <w:p w14:paraId="21616D52"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Публикуване на оценката на националната регулаторна рамка за енергийна ефективност на уебсайта на Министерството на енергетиката</w:t>
            </w:r>
          </w:p>
        </w:tc>
        <w:tc>
          <w:tcPr>
            <w:tcW w:w="1151" w:type="dxa"/>
            <w:shd w:val="clear" w:color="auto" w:fill="C6EFCE"/>
            <w:noWrap/>
          </w:tcPr>
          <w:p w14:paraId="31ABABEC" w14:textId="77777777" w:rsidR="008B0F39" w:rsidRPr="008A0F8A" w:rsidRDefault="008B0F39" w:rsidP="0066695B">
            <w:pPr>
              <w:spacing w:after="0" w:line="240" w:lineRule="auto"/>
              <w:rPr>
                <w:rFonts w:ascii="Times New Roman" w:eastAsia="Times New Roman" w:hAnsi="Times New Roman" w:cs="Times New Roman"/>
                <w:noProof/>
                <w:color w:val="006100"/>
                <w:sz w:val="20"/>
                <w:szCs w:val="20"/>
                <w:lang w:val="ru-RU" w:eastAsia="en-GB"/>
              </w:rPr>
            </w:pPr>
          </w:p>
        </w:tc>
        <w:tc>
          <w:tcPr>
            <w:tcW w:w="1275" w:type="dxa"/>
            <w:shd w:val="clear" w:color="auto" w:fill="C6EFCE"/>
            <w:noWrap/>
          </w:tcPr>
          <w:p w14:paraId="21EF3B00" w14:textId="77777777" w:rsidR="008B0F39" w:rsidRPr="008A0F8A" w:rsidRDefault="008B0F39" w:rsidP="0066695B">
            <w:pPr>
              <w:spacing w:after="0" w:line="240" w:lineRule="auto"/>
              <w:rPr>
                <w:rFonts w:ascii="Times New Roman" w:eastAsia="Times New Roman" w:hAnsi="Times New Roman" w:cs="Times New Roman"/>
                <w:noProof/>
                <w:color w:val="006100"/>
                <w:sz w:val="20"/>
                <w:szCs w:val="20"/>
                <w:lang w:val="ru-RU" w:eastAsia="en-GB"/>
              </w:rPr>
            </w:pPr>
          </w:p>
        </w:tc>
        <w:tc>
          <w:tcPr>
            <w:tcW w:w="1134" w:type="dxa"/>
            <w:shd w:val="clear" w:color="auto" w:fill="C6EFCE"/>
            <w:noWrap/>
          </w:tcPr>
          <w:p w14:paraId="71B746AA" w14:textId="77777777" w:rsidR="008B0F39" w:rsidRPr="008A0F8A" w:rsidRDefault="008B0F39" w:rsidP="0066695B">
            <w:pPr>
              <w:spacing w:after="0" w:line="240" w:lineRule="auto"/>
              <w:rPr>
                <w:rFonts w:ascii="Times New Roman" w:eastAsia="Times New Roman" w:hAnsi="Times New Roman" w:cs="Times New Roman"/>
                <w:noProof/>
                <w:color w:val="006100"/>
                <w:sz w:val="20"/>
                <w:szCs w:val="20"/>
                <w:lang w:val="ru-RU" w:eastAsia="en-GB"/>
              </w:rPr>
            </w:pPr>
          </w:p>
        </w:tc>
        <w:tc>
          <w:tcPr>
            <w:tcW w:w="851" w:type="dxa"/>
            <w:shd w:val="clear" w:color="auto" w:fill="C6EFCE"/>
            <w:noWrap/>
          </w:tcPr>
          <w:p w14:paraId="1F1ED588"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T3</w:t>
            </w:r>
          </w:p>
        </w:tc>
        <w:tc>
          <w:tcPr>
            <w:tcW w:w="709" w:type="dxa"/>
            <w:shd w:val="clear" w:color="auto" w:fill="C6EFCE"/>
            <w:noWrap/>
          </w:tcPr>
          <w:p w14:paraId="7CF279ED"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2022</w:t>
            </w:r>
          </w:p>
        </w:tc>
        <w:tc>
          <w:tcPr>
            <w:tcW w:w="3772" w:type="dxa"/>
            <w:shd w:val="clear" w:color="auto" w:fill="C6EFCE"/>
            <w:noWrap/>
          </w:tcPr>
          <w:p w14:paraId="7D3C69C9" w14:textId="63527C82" w:rsidR="008B0F39" w:rsidRPr="00491076" w:rsidRDefault="008B0F39" w:rsidP="0066695B">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Оценката на националната регулаторна рамка за енергийна ефективност се извършва от независима експертна група и:</w:t>
            </w:r>
          </w:p>
          <w:p w14:paraId="11B34B6B" w14:textId="77777777" w:rsidR="008B0F39" w:rsidRPr="00491076" w:rsidRDefault="008B0F39" w:rsidP="008B0F39">
            <w:pPr>
              <w:pStyle w:val="ListParagraph"/>
              <w:numPr>
                <w:ilvl w:val="0"/>
                <w:numId w:val="23"/>
              </w:num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идентифицира пречките пред инвестициите в енергийна ефективност;</w:t>
            </w:r>
          </w:p>
          <w:p w14:paraId="2661040A" w14:textId="77777777" w:rsidR="008B0F39" w:rsidRPr="00491076" w:rsidRDefault="008B0F39" w:rsidP="008B0F39">
            <w:pPr>
              <w:pStyle w:val="ListParagraph"/>
              <w:numPr>
                <w:ilvl w:val="0"/>
                <w:numId w:val="23"/>
              </w:num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предоставя препоръки за промени в националната регулаторна рамка; </w:t>
            </w:r>
          </w:p>
          <w:p w14:paraId="72E4C800" w14:textId="6E7F7811" w:rsidR="008B0F39" w:rsidRPr="00491076" w:rsidRDefault="008B0F39" w:rsidP="008B0F39">
            <w:pPr>
              <w:pStyle w:val="ListParagraph"/>
              <w:numPr>
                <w:ilvl w:val="0"/>
                <w:numId w:val="23"/>
              </w:num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набелязва варианти за структурата на Националния фонд за декарбонизация, по-специално по отношение на собствеността и управлението; </w:t>
            </w:r>
          </w:p>
          <w:p w14:paraId="4DD99612" w14:textId="77777777" w:rsidR="008B0F39" w:rsidRPr="00491076" w:rsidRDefault="008B0F39" w:rsidP="008B0F39">
            <w:pPr>
              <w:pStyle w:val="ListParagraph"/>
              <w:numPr>
                <w:ilvl w:val="0"/>
                <w:numId w:val="23"/>
              </w:num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идентифицира потенциални източници за капитализация на Националния фонд за декарбонизация.</w:t>
            </w:r>
          </w:p>
        </w:tc>
      </w:tr>
      <w:tr w:rsidR="008E16C0" w:rsidRPr="005241FC" w14:paraId="3A7C640D" w14:textId="77777777" w:rsidTr="008E16C0">
        <w:trPr>
          <w:trHeight w:val="309"/>
        </w:trPr>
        <w:tc>
          <w:tcPr>
            <w:tcW w:w="681" w:type="dxa"/>
            <w:shd w:val="clear" w:color="auto" w:fill="C6EFCE"/>
            <w:noWrap/>
          </w:tcPr>
          <w:p w14:paraId="6B26C808" w14:textId="08D0D956" w:rsidR="008B0F39" w:rsidRPr="00491076" w:rsidRDefault="000E517E"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64</w:t>
            </w:r>
          </w:p>
        </w:tc>
        <w:tc>
          <w:tcPr>
            <w:tcW w:w="1837" w:type="dxa"/>
            <w:shd w:val="clear" w:color="auto" w:fill="C6EFCE"/>
            <w:noWrap/>
          </w:tcPr>
          <w:p w14:paraId="49D4BD70" w14:textId="4AB7FAEE" w:rsidR="008B0F39" w:rsidRPr="00491076" w:rsidRDefault="008B0F39" w:rsidP="0073609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C4.R1: Създаване на Национален фонд за декарбонизация</w:t>
            </w:r>
          </w:p>
        </w:tc>
        <w:tc>
          <w:tcPr>
            <w:tcW w:w="1131" w:type="dxa"/>
            <w:shd w:val="clear" w:color="auto" w:fill="C6EFCE"/>
            <w:noWrap/>
          </w:tcPr>
          <w:p w14:paraId="01744623"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696" w:type="dxa"/>
            <w:shd w:val="clear" w:color="auto" w:fill="C6EFCE"/>
            <w:noWrap/>
          </w:tcPr>
          <w:p w14:paraId="64B35506" w14:textId="77777777" w:rsidR="008B0F39" w:rsidRPr="00491076" w:rsidRDefault="008B0F39" w:rsidP="0066695B">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Влизане в сила на Закона за създаване на Национален фонд за декарбонизация и неговите подфондове и съответното вторично законодателство. </w:t>
            </w:r>
          </w:p>
        </w:tc>
        <w:tc>
          <w:tcPr>
            <w:tcW w:w="1414" w:type="dxa"/>
            <w:shd w:val="clear" w:color="auto" w:fill="C6EFCE"/>
            <w:noWrap/>
          </w:tcPr>
          <w:p w14:paraId="4ED1BCBE" w14:textId="2B2E1325"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Разпоредба в закона, в която се указва датата на влизането му в сила, както и тази на вторичното законодателство</w:t>
            </w:r>
          </w:p>
        </w:tc>
        <w:tc>
          <w:tcPr>
            <w:tcW w:w="1151" w:type="dxa"/>
            <w:shd w:val="clear" w:color="auto" w:fill="C6EFCE"/>
            <w:noWrap/>
          </w:tcPr>
          <w:p w14:paraId="5F42AA1A" w14:textId="77777777" w:rsidR="008B0F39" w:rsidRPr="008A0F8A" w:rsidRDefault="008B0F39" w:rsidP="0066695B">
            <w:pPr>
              <w:spacing w:after="0" w:line="240" w:lineRule="auto"/>
              <w:rPr>
                <w:rFonts w:ascii="Times New Roman" w:eastAsia="Times New Roman" w:hAnsi="Times New Roman" w:cs="Times New Roman"/>
                <w:noProof/>
                <w:color w:val="006100"/>
                <w:sz w:val="20"/>
                <w:szCs w:val="20"/>
                <w:lang w:val="ru-RU" w:eastAsia="en-GB"/>
              </w:rPr>
            </w:pPr>
          </w:p>
        </w:tc>
        <w:tc>
          <w:tcPr>
            <w:tcW w:w="1275" w:type="dxa"/>
            <w:shd w:val="clear" w:color="auto" w:fill="C6EFCE"/>
            <w:noWrap/>
          </w:tcPr>
          <w:p w14:paraId="1B848290" w14:textId="77777777" w:rsidR="008B0F39" w:rsidRPr="008A0F8A" w:rsidRDefault="008B0F39" w:rsidP="0066695B">
            <w:pPr>
              <w:spacing w:after="0" w:line="240" w:lineRule="auto"/>
              <w:rPr>
                <w:rFonts w:ascii="Times New Roman" w:eastAsia="Times New Roman" w:hAnsi="Times New Roman" w:cs="Times New Roman"/>
                <w:noProof/>
                <w:color w:val="006100"/>
                <w:sz w:val="20"/>
                <w:szCs w:val="20"/>
                <w:lang w:val="ru-RU" w:eastAsia="en-GB"/>
              </w:rPr>
            </w:pPr>
          </w:p>
        </w:tc>
        <w:tc>
          <w:tcPr>
            <w:tcW w:w="1134" w:type="dxa"/>
            <w:shd w:val="clear" w:color="auto" w:fill="C6EFCE"/>
            <w:noWrap/>
          </w:tcPr>
          <w:p w14:paraId="45917CFE" w14:textId="77777777" w:rsidR="008B0F39" w:rsidRPr="008A0F8A" w:rsidRDefault="008B0F39" w:rsidP="0066695B">
            <w:pPr>
              <w:spacing w:after="0" w:line="240" w:lineRule="auto"/>
              <w:rPr>
                <w:rFonts w:ascii="Times New Roman" w:eastAsia="Times New Roman" w:hAnsi="Times New Roman" w:cs="Times New Roman"/>
                <w:noProof/>
                <w:color w:val="006100"/>
                <w:sz w:val="20"/>
                <w:szCs w:val="20"/>
                <w:lang w:val="ru-RU" w:eastAsia="en-GB"/>
              </w:rPr>
            </w:pPr>
          </w:p>
        </w:tc>
        <w:tc>
          <w:tcPr>
            <w:tcW w:w="851" w:type="dxa"/>
            <w:shd w:val="clear" w:color="auto" w:fill="C6EFCE"/>
            <w:noWrap/>
          </w:tcPr>
          <w:p w14:paraId="7974FC54"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T1</w:t>
            </w:r>
          </w:p>
        </w:tc>
        <w:tc>
          <w:tcPr>
            <w:tcW w:w="709" w:type="dxa"/>
            <w:shd w:val="clear" w:color="auto" w:fill="C6EFCE"/>
            <w:noWrap/>
          </w:tcPr>
          <w:p w14:paraId="18011D7A"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2023</w:t>
            </w:r>
          </w:p>
        </w:tc>
        <w:tc>
          <w:tcPr>
            <w:tcW w:w="3772" w:type="dxa"/>
            <w:shd w:val="clear" w:color="auto" w:fill="C6EFCE"/>
            <w:noWrap/>
          </w:tcPr>
          <w:p w14:paraId="7DD487A4" w14:textId="77777777" w:rsidR="008B0F39" w:rsidRPr="00491076" w:rsidRDefault="008B0F39" w:rsidP="0066695B">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Влизане в сила на закона и свързаното с него вторично законодателство за създаване на Национален фонд за декарбонизация и неговите подфондове. </w:t>
            </w:r>
          </w:p>
          <w:p w14:paraId="5D6492DE" w14:textId="77777777" w:rsidR="008B0F39" w:rsidRPr="008A0F8A" w:rsidRDefault="008B0F39" w:rsidP="0066695B">
            <w:pPr>
              <w:spacing w:after="0"/>
              <w:rPr>
                <w:rFonts w:ascii="Times New Roman" w:eastAsia="Times New Roman" w:hAnsi="Times New Roman" w:cs="Times New Roman"/>
                <w:noProof/>
                <w:color w:val="006100"/>
                <w:sz w:val="20"/>
                <w:szCs w:val="20"/>
                <w:lang w:val="ru-RU" w:eastAsia="en-GB"/>
              </w:rPr>
            </w:pPr>
          </w:p>
          <w:p w14:paraId="766324E3" w14:textId="77777777"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 xml:space="preserve">В закона се определят структурата, управлението и правилата за дейността на Фонда. Управлението трябва да е в съответствие със съответните насоки на ОИСР за корпоративно управление, включително подбора и назначаването на управителя на фонда и управителите на подфондове чрез прозрачна, открита и основана на заслуги процедура. </w:t>
            </w:r>
          </w:p>
          <w:p w14:paraId="548B1B4A" w14:textId="77777777" w:rsidR="008B0F39" w:rsidRPr="008A0F8A" w:rsidRDefault="008B0F39" w:rsidP="0066695B">
            <w:pPr>
              <w:spacing w:after="0"/>
              <w:rPr>
                <w:rFonts w:ascii="Times New Roman" w:hAnsi="Times New Roman" w:cs="Times New Roman"/>
                <w:noProof/>
                <w:color w:val="006100"/>
                <w:sz w:val="20"/>
                <w:szCs w:val="20"/>
                <w:lang w:val="ru-RU"/>
              </w:rPr>
            </w:pPr>
          </w:p>
          <w:p w14:paraId="77A2C56A" w14:textId="77777777" w:rsidR="008B0F39" w:rsidRPr="00491076" w:rsidRDefault="008B0F39" w:rsidP="0066695B">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Оперативните правила включват инвестиционната стратегия, мерките за изпълнение, финансовите продукти, крайните получатели, комбинацията от финансови инструменти и безвъзмездни средства, както и допустимите проекти, насърчаването на енергийната ефективност, използването на възобновяеми източници и намаляването на замърсяването. </w:t>
            </w:r>
          </w:p>
        </w:tc>
      </w:tr>
      <w:tr w:rsidR="008E16C0" w:rsidRPr="005241FC" w14:paraId="39415AF5" w14:textId="77777777" w:rsidTr="008E16C0">
        <w:trPr>
          <w:trHeight w:val="309"/>
        </w:trPr>
        <w:tc>
          <w:tcPr>
            <w:tcW w:w="681" w:type="dxa"/>
            <w:shd w:val="clear" w:color="auto" w:fill="C6EFCE"/>
            <w:noWrap/>
            <w:hideMark/>
          </w:tcPr>
          <w:p w14:paraId="511719F8" w14:textId="1C8CD8DC" w:rsidR="008B0F39" w:rsidRPr="00491076" w:rsidRDefault="000E517E"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65</w:t>
            </w:r>
          </w:p>
        </w:tc>
        <w:tc>
          <w:tcPr>
            <w:tcW w:w="1837" w:type="dxa"/>
            <w:shd w:val="clear" w:color="auto" w:fill="C6EFCE"/>
            <w:noWrap/>
            <w:hideMark/>
          </w:tcPr>
          <w:p w14:paraId="7E4C115D" w14:textId="2FF374BA" w:rsidR="008B0F39" w:rsidRPr="00491076" w:rsidRDefault="008B0F39" w:rsidP="0073609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C4.R1: Създаване на Национален фонд за декарбонизация</w:t>
            </w:r>
          </w:p>
        </w:tc>
        <w:tc>
          <w:tcPr>
            <w:tcW w:w="1131" w:type="dxa"/>
            <w:shd w:val="clear" w:color="auto" w:fill="C6EFCE"/>
            <w:noWrap/>
            <w:hideMark/>
          </w:tcPr>
          <w:p w14:paraId="4743078F"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696" w:type="dxa"/>
            <w:shd w:val="clear" w:color="auto" w:fill="C6EFCE"/>
            <w:noWrap/>
            <w:hideMark/>
          </w:tcPr>
          <w:p w14:paraId="7185CCA4" w14:textId="21A14CBB" w:rsidR="008B0F39" w:rsidRPr="00491076" w:rsidRDefault="008B0F39" w:rsidP="0066695B">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Националният фонд за декарбонизация и неговите подфондове функционират.</w:t>
            </w:r>
          </w:p>
          <w:p w14:paraId="3508ABA9" w14:textId="77777777" w:rsidR="008B0F39" w:rsidRPr="008A0F8A" w:rsidRDefault="008B0F39" w:rsidP="0066695B">
            <w:pPr>
              <w:spacing w:after="0"/>
              <w:rPr>
                <w:rFonts w:ascii="Times New Roman" w:eastAsia="Times New Roman" w:hAnsi="Times New Roman" w:cs="Times New Roman"/>
                <w:noProof/>
                <w:color w:val="006100"/>
                <w:sz w:val="20"/>
                <w:szCs w:val="20"/>
                <w:lang w:val="ru-RU" w:eastAsia="en-GB"/>
              </w:rPr>
            </w:pPr>
          </w:p>
          <w:p w14:paraId="28AE4471" w14:textId="77777777" w:rsidR="008B0F39" w:rsidRPr="008A0F8A" w:rsidRDefault="008B0F39" w:rsidP="0066695B">
            <w:pPr>
              <w:spacing w:after="0" w:line="240" w:lineRule="auto"/>
              <w:rPr>
                <w:rFonts w:ascii="Times New Roman" w:eastAsia="Times New Roman" w:hAnsi="Times New Roman" w:cs="Times New Roman"/>
                <w:noProof/>
                <w:color w:val="006100"/>
                <w:sz w:val="20"/>
                <w:szCs w:val="20"/>
                <w:lang w:val="ru-RU" w:eastAsia="en-GB"/>
              </w:rPr>
            </w:pPr>
          </w:p>
        </w:tc>
        <w:tc>
          <w:tcPr>
            <w:tcW w:w="1414" w:type="dxa"/>
            <w:shd w:val="clear" w:color="auto" w:fill="C6EFCE"/>
            <w:noWrap/>
            <w:hideMark/>
          </w:tcPr>
          <w:p w14:paraId="408478EB"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Подписано договорно споразумение между българското правителство и управителя на Фонда </w:t>
            </w:r>
          </w:p>
        </w:tc>
        <w:tc>
          <w:tcPr>
            <w:tcW w:w="1151" w:type="dxa"/>
            <w:shd w:val="clear" w:color="auto" w:fill="C6EFCE"/>
            <w:noWrap/>
            <w:hideMark/>
          </w:tcPr>
          <w:p w14:paraId="351FAF5B" w14:textId="77777777" w:rsidR="008B0F39" w:rsidRPr="008A0F8A" w:rsidRDefault="008B0F39" w:rsidP="0066695B">
            <w:pPr>
              <w:spacing w:after="0" w:line="240" w:lineRule="auto"/>
              <w:rPr>
                <w:rFonts w:ascii="Times New Roman" w:eastAsia="Times New Roman" w:hAnsi="Times New Roman" w:cs="Times New Roman"/>
                <w:noProof/>
                <w:color w:val="006100"/>
                <w:sz w:val="20"/>
                <w:szCs w:val="20"/>
                <w:lang w:val="ru-RU" w:eastAsia="en-GB"/>
              </w:rPr>
            </w:pPr>
          </w:p>
        </w:tc>
        <w:tc>
          <w:tcPr>
            <w:tcW w:w="1275" w:type="dxa"/>
            <w:shd w:val="clear" w:color="auto" w:fill="C6EFCE"/>
            <w:noWrap/>
            <w:hideMark/>
          </w:tcPr>
          <w:p w14:paraId="1B9703B0" w14:textId="77777777" w:rsidR="008B0F39" w:rsidRPr="008A0F8A" w:rsidRDefault="008B0F39" w:rsidP="0066695B">
            <w:pPr>
              <w:spacing w:after="0" w:line="240" w:lineRule="auto"/>
              <w:rPr>
                <w:rFonts w:ascii="Times New Roman" w:eastAsia="Times New Roman" w:hAnsi="Times New Roman" w:cs="Times New Roman"/>
                <w:noProof/>
                <w:color w:val="006100"/>
                <w:sz w:val="20"/>
                <w:szCs w:val="20"/>
                <w:lang w:val="ru-RU" w:eastAsia="en-GB"/>
              </w:rPr>
            </w:pPr>
          </w:p>
        </w:tc>
        <w:tc>
          <w:tcPr>
            <w:tcW w:w="1134" w:type="dxa"/>
            <w:shd w:val="clear" w:color="auto" w:fill="C6EFCE"/>
            <w:noWrap/>
            <w:hideMark/>
          </w:tcPr>
          <w:p w14:paraId="0B75314F" w14:textId="77777777" w:rsidR="008B0F39" w:rsidRPr="008A0F8A" w:rsidRDefault="008B0F39" w:rsidP="0066695B">
            <w:pPr>
              <w:spacing w:after="0" w:line="240" w:lineRule="auto"/>
              <w:rPr>
                <w:rFonts w:ascii="Times New Roman" w:eastAsia="Times New Roman" w:hAnsi="Times New Roman" w:cs="Times New Roman"/>
                <w:noProof/>
                <w:color w:val="006100"/>
                <w:sz w:val="20"/>
                <w:szCs w:val="20"/>
                <w:lang w:val="ru-RU" w:eastAsia="en-GB"/>
              </w:rPr>
            </w:pPr>
          </w:p>
        </w:tc>
        <w:tc>
          <w:tcPr>
            <w:tcW w:w="851" w:type="dxa"/>
            <w:shd w:val="clear" w:color="auto" w:fill="C6EFCE"/>
            <w:noWrap/>
            <w:hideMark/>
          </w:tcPr>
          <w:p w14:paraId="29F16A49"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T3</w:t>
            </w:r>
          </w:p>
        </w:tc>
        <w:tc>
          <w:tcPr>
            <w:tcW w:w="709" w:type="dxa"/>
            <w:shd w:val="clear" w:color="auto" w:fill="C6EFCE"/>
            <w:noWrap/>
            <w:hideMark/>
          </w:tcPr>
          <w:p w14:paraId="2D872A0B"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2024</w:t>
            </w:r>
          </w:p>
        </w:tc>
        <w:tc>
          <w:tcPr>
            <w:tcW w:w="3772" w:type="dxa"/>
            <w:shd w:val="clear" w:color="auto" w:fill="C6EFCE"/>
            <w:noWrap/>
            <w:hideMark/>
          </w:tcPr>
          <w:p w14:paraId="3564B253" w14:textId="77777777"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Споразумението между българското правителство и управителя на Фонда трябва да съдържа:</w:t>
            </w:r>
          </w:p>
          <w:p w14:paraId="7319FB2F" w14:textId="77777777" w:rsidR="008B0F39" w:rsidRPr="00491076" w:rsidRDefault="008B0F39" w:rsidP="00A17CA8">
            <w:pPr>
              <w:pStyle w:val="ListParagraph"/>
              <w:numPr>
                <w:ilvl w:val="0"/>
                <w:numId w:val="81"/>
              </w:numPr>
              <w:spacing w:after="0"/>
              <w:rPr>
                <w:rFonts w:ascii="Times New Roman" w:hAnsi="Times New Roman" w:cs="Times New Roman"/>
                <w:noProof/>
                <w:color w:val="006100"/>
                <w:sz w:val="20"/>
                <w:szCs w:val="20"/>
              </w:rPr>
            </w:pPr>
            <w:r>
              <w:rPr>
                <w:rFonts w:ascii="Times New Roman" w:hAnsi="Times New Roman"/>
                <w:noProof/>
                <w:color w:val="006100"/>
                <w:sz w:val="20"/>
              </w:rPr>
              <w:t xml:space="preserve">критерии за допустимост на инвестициите и крайните бенефициери; </w:t>
            </w:r>
          </w:p>
          <w:p w14:paraId="46C61C88" w14:textId="77777777" w:rsidR="008B0F39" w:rsidRPr="00491076" w:rsidRDefault="008B0F39" w:rsidP="00A17CA8">
            <w:pPr>
              <w:pStyle w:val="ListParagraph"/>
              <w:numPr>
                <w:ilvl w:val="0"/>
                <w:numId w:val="81"/>
              </w:num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подробности относно правилата за управление и финансиране, ефект на лоста, източниците на финансиране, включително частни фондове, механизмите за изпълнение, финансовите продукти, политиката по отношение на риска и другите съответни политики.</w:t>
            </w:r>
          </w:p>
        </w:tc>
      </w:tr>
      <w:tr w:rsidR="008E16C0" w:rsidRPr="005241FC" w14:paraId="4B8BDFFE" w14:textId="77777777" w:rsidTr="008E16C0">
        <w:trPr>
          <w:trHeight w:val="309"/>
        </w:trPr>
        <w:tc>
          <w:tcPr>
            <w:tcW w:w="681" w:type="dxa"/>
            <w:shd w:val="clear" w:color="auto" w:fill="C6EFCE"/>
            <w:noWrap/>
          </w:tcPr>
          <w:p w14:paraId="1B4B42C5" w14:textId="52459E30" w:rsidR="008B0F39" w:rsidRPr="00491076" w:rsidRDefault="000E517E"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66</w:t>
            </w:r>
          </w:p>
        </w:tc>
        <w:tc>
          <w:tcPr>
            <w:tcW w:w="1837" w:type="dxa"/>
            <w:shd w:val="clear" w:color="auto" w:fill="C6EFCE"/>
            <w:noWrap/>
          </w:tcPr>
          <w:p w14:paraId="3CADCBF4" w14:textId="77777777" w:rsidR="00183158" w:rsidRPr="00491076" w:rsidRDefault="008B0F39" w:rsidP="0073609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C4.R3: </w:t>
            </w:r>
          </w:p>
          <w:p w14:paraId="314D4A45" w14:textId="460EB11F" w:rsidR="008B0F39" w:rsidRPr="00491076" w:rsidRDefault="008B0F39" w:rsidP="0073609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Определение на „енергийна бедност“ и на критерии за определяне на домакинствата в положение на енергийна бедност и уязвимите потребители</w:t>
            </w:r>
          </w:p>
        </w:tc>
        <w:tc>
          <w:tcPr>
            <w:tcW w:w="1131" w:type="dxa"/>
            <w:shd w:val="clear" w:color="auto" w:fill="C6EFCE"/>
            <w:noWrap/>
          </w:tcPr>
          <w:p w14:paraId="7D271693"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696" w:type="dxa"/>
            <w:shd w:val="clear" w:color="auto" w:fill="C6EFCE"/>
            <w:noWrap/>
          </w:tcPr>
          <w:p w14:paraId="5F99F99D" w14:textId="550DDA39"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Влизане в сила на измененията в Закона за енергетиката и подзаконовите актове относно „енергийната бедност“ </w:t>
            </w:r>
          </w:p>
        </w:tc>
        <w:tc>
          <w:tcPr>
            <w:tcW w:w="1414" w:type="dxa"/>
            <w:shd w:val="clear" w:color="auto" w:fill="C6EFCE"/>
            <w:noWrap/>
          </w:tcPr>
          <w:p w14:paraId="3109F1C0" w14:textId="0F7999B2"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Разпоредба в Закона за енергетиката, в която се посочва влизането в сила на измененията в Закона за енергетиката и подзаконовите актове</w:t>
            </w:r>
          </w:p>
        </w:tc>
        <w:tc>
          <w:tcPr>
            <w:tcW w:w="1151" w:type="dxa"/>
            <w:shd w:val="clear" w:color="auto" w:fill="C6EFCE"/>
            <w:noWrap/>
          </w:tcPr>
          <w:p w14:paraId="658C13F0"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1275" w:type="dxa"/>
            <w:shd w:val="clear" w:color="auto" w:fill="C6EFCE"/>
            <w:noWrap/>
          </w:tcPr>
          <w:p w14:paraId="49E5B913"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1134" w:type="dxa"/>
            <w:shd w:val="clear" w:color="auto" w:fill="C6EFCE"/>
            <w:noWrap/>
          </w:tcPr>
          <w:p w14:paraId="0CF9F468"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851" w:type="dxa"/>
            <w:shd w:val="clear" w:color="auto" w:fill="C6EFCE"/>
            <w:noWrap/>
          </w:tcPr>
          <w:p w14:paraId="6C21FFD6" w14:textId="32BBEE10"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T4</w:t>
            </w:r>
          </w:p>
        </w:tc>
        <w:tc>
          <w:tcPr>
            <w:tcW w:w="709" w:type="dxa"/>
            <w:shd w:val="clear" w:color="auto" w:fill="C6EFCE"/>
            <w:noWrap/>
          </w:tcPr>
          <w:p w14:paraId="6F60AE93"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2022</w:t>
            </w:r>
          </w:p>
        </w:tc>
        <w:tc>
          <w:tcPr>
            <w:tcW w:w="3772" w:type="dxa"/>
            <w:shd w:val="clear" w:color="auto" w:fill="C6EFCE"/>
            <w:noWrap/>
          </w:tcPr>
          <w:p w14:paraId="6B1624BA"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С измененията на Закона за енергетиката и последващите подзаконови актове се регламентира определението за „енергийна бедност“ и се установяват критериите за определяне на домакинствата в положение на енергийна бедност и уязвимите потребители. При измененията трябва да се вземат предвид критериите, изброени в Директива (ЕС) 2019/944: ниски доходи, високи разходи за енергия като дял от наличните доходи и ниска енергийна ефективност. </w:t>
            </w:r>
          </w:p>
        </w:tc>
      </w:tr>
      <w:tr w:rsidR="008E16C0" w:rsidRPr="005241FC" w14:paraId="00657E7C" w14:textId="77777777" w:rsidTr="008E16C0">
        <w:trPr>
          <w:trHeight w:val="309"/>
        </w:trPr>
        <w:tc>
          <w:tcPr>
            <w:tcW w:w="681" w:type="dxa"/>
            <w:shd w:val="clear" w:color="auto" w:fill="C6EFCE"/>
            <w:noWrap/>
          </w:tcPr>
          <w:p w14:paraId="501CE6D1" w14:textId="4E27C3D9" w:rsidR="008B0F39" w:rsidRPr="00491076" w:rsidRDefault="000E517E"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67</w:t>
            </w:r>
          </w:p>
        </w:tc>
        <w:tc>
          <w:tcPr>
            <w:tcW w:w="1837" w:type="dxa"/>
            <w:shd w:val="clear" w:color="auto" w:fill="C6EFCE"/>
            <w:noWrap/>
          </w:tcPr>
          <w:p w14:paraId="17C7767C" w14:textId="77777777" w:rsidR="00183158" w:rsidRPr="00491076" w:rsidRDefault="008B0F39" w:rsidP="0073609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C4.R2: </w:t>
            </w:r>
          </w:p>
          <w:p w14:paraId="7FCFCE11" w14:textId="07BA792D" w:rsidR="008B0F39" w:rsidRPr="00491076" w:rsidRDefault="008B0F39" w:rsidP="0073609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Улесняване на инвестициите в енергийно-ефективно обновяване на жилищни сгради </w:t>
            </w:r>
          </w:p>
        </w:tc>
        <w:tc>
          <w:tcPr>
            <w:tcW w:w="1131" w:type="dxa"/>
            <w:shd w:val="clear" w:color="auto" w:fill="C6EFCE"/>
            <w:noWrap/>
          </w:tcPr>
          <w:p w14:paraId="622162D3"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696" w:type="dxa"/>
            <w:shd w:val="clear" w:color="auto" w:fill="C6EFCE"/>
            <w:noWrap/>
          </w:tcPr>
          <w:p w14:paraId="35D93436" w14:textId="18216AAD" w:rsidR="008B0F39" w:rsidRPr="00491076" w:rsidRDefault="008B0F39" w:rsidP="00757955">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Влизане в сила на измененията в Закона за управление на етажната собственост </w:t>
            </w:r>
          </w:p>
        </w:tc>
        <w:tc>
          <w:tcPr>
            <w:tcW w:w="1414" w:type="dxa"/>
            <w:shd w:val="clear" w:color="auto" w:fill="C6EFCE"/>
            <w:noWrap/>
          </w:tcPr>
          <w:p w14:paraId="68B4C33F" w14:textId="48BFDE95" w:rsidR="008B0F39" w:rsidRPr="00491076" w:rsidRDefault="008B0F39" w:rsidP="004251CE">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Разпоредба в Закона за управление на етажната собственост, указваща влизането в сила на измененията</w:t>
            </w:r>
          </w:p>
        </w:tc>
        <w:tc>
          <w:tcPr>
            <w:tcW w:w="1151" w:type="dxa"/>
            <w:shd w:val="clear" w:color="auto" w:fill="C6EFCE"/>
            <w:noWrap/>
          </w:tcPr>
          <w:p w14:paraId="79B33A99" w14:textId="77777777" w:rsidR="008B0F39" w:rsidRPr="00491076" w:rsidRDefault="008B0F39" w:rsidP="0066695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w:t>
            </w:r>
          </w:p>
        </w:tc>
        <w:tc>
          <w:tcPr>
            <w:tcW w:w="1275" w:type="dxa"/>
            <w:shd w:val="clear" w:color="auto" w:fill="C6EFCE"/>
            <w:noWrap/>
          </w:tcPr>
          <w:p w14:paraId="6BDC034E" w14:textId="77777777" w:rsidR="008B0F39" w:rsidRPr="00491076" w:rsidRDefault="008B0F39" w:rsidP="0066695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w:t>
            </w:r>
          </w:p>
        </w:tc>
        <w:tc>
          <w:tcPr>
            <w:tcW w:w="1134" w:type="dxa"/>
            <w:shd w:val="clear" w:color="auto" w:fill="C6EFCE"/>
            <w:noWrap/>
          </w:tcPr>
          <w:p w14:paraId="7277ADC3" w14:textId="77777777" w:rsidR="008B0F39" w:rsidRPr="00491076" w:rsidRDefault="008B0F39" w:rsidP="0066695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w:t>
            </w:r>
          </w:p>
        </w:tc>
        <w:tc>
          <w:tcPr>
            <w:tcW w:w="851" w:type="dxa"/>
            <w:shd w:val="clear" w:color="auto" w:fill="C6EFCE"/>
            <w:noWrap/>
          </w:tcPr>
          <w:p w14:paraId="7451F75D" w14:textId="77777777" w:rsidR="008B0F39" w:rsidRPr="00491076" w:rsidRDefault="008B0F39" w:rsidP="0066695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T3</w:t>
            </w:r>
          </w:p>
        </w:tc>
        <w:tc>
          <w:tcPr>
            <w:tcW w:w="709" w:type="dxa"/>
            <w:shd w:val="clear" w:color="auto" w:fill="C6EFCE"/>
            <w:noWrap/>
          </w:tcPr>
          <w:p w14:paraId="078BAFC9" w14:textId="77777777" w:rsidR="008B0F39" w:rsidRPr="00491076" w:rsidRDefault="008B0F39" w:rsidP="0066695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2022</w:t>
            </w:r>
          </w:p>
        </w:tc>
        <w:tc>
          <w:tcPr>
            <w:tcW w:w="3772" w:type="dxa"/>
            <w:shd w:val="clear" w:color="auto" w:fill="C6EFCE"/>
            <w:noWrap/>
          </w:tcPr>
          <w:p w14:paraId="14E37562" w14:textId="396A37DF"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С измененията в Закона за управление на етажната собственост:</w:t>
            </w:r>
          </w:p>
          <w:p w14:paraId="751AEF63" w14:textId="7C0DE07D" w:rsidR="008B0F39" w:rsidRPr="00491076" w:rsidRDefault="008B0F39" w:rsidP="008B0F39">
            <w:pPr>
              <w:pStyle w:val="ListParagraph"/>
              <w:numPr>
                <w:ilvl w:val="0"/>
                <w:numId w:val="26"/>
              </w:numPr>
              <w:spacing w:after="0"/>
              <w:ind w:left="360"/>
              <w:rPr>
                <w:rFonts w:ascii="Times New Roman" w:hAnsi="Times New Roman" w:cs="Times New Roman"/>
                <w:noProof/>
                <w:color w:val="006100"/>
                <w:sz w:val="20"/>
                <w:szCs w:val="20"/>
              </w:rPr>
            </w:pPr>
            <w:r>
              <w:rPr>
                <w:rFonts w:ascii="Times New Roman" w:hAnsi="Times New Roman"/>
                <w:noProof/>
                <w:color w:val="006100"/>
                <w:sz w:val="20"/>
              </w:rPr>
              <w:t>се улеснява вземането на решения от собствениците на отделни обекти в многофамилни сгради чрез намаляване на прага, необходим за подпомагане на обновяването на сгради.</w:t>
            </w:r>
          </w:p>
          <w:p w14:paraId="255EB169" w14:textId="77777777" w:rsidR="008B0F39" w:rsidRPr="00491076" w:rsidRDefault="008B0F39" w:rsidP="008B0F39">
            <w:pPr>
              <w:pStyle w:val="ListParagraph"/>
              <w:numPr>
                <w:ilvl w:val="0"/>
                <w:numId w:val="26"/>
              </w:numPr>
              <w:spacing w:after="0"/>
              <w:ind w:left="360"/>
              <w:rPr>
                <w:rFonts w:ascii="Times New Roman" w:hAnsi="Times New Roman" w:cs="Times New Roman"/>
                <w:noProof/>
                <w:color w:val="006100"/>
                <w:sz w:val="20"/>
                <w:szCs w:val="20"/>
              </w:rPr>
            </w:pPr>
            <w:r>
              <w:rPr>
                <w:rFonts w:ascii="Times New Roman" w:hAnsi="Times New Roman"/>
                <w:noProof/>
                <w:color w:val="006100"/>
                <w:sz w:val="20"/>
              </w:rPr>
              <w:t>се регулира професионалното управление чрез създаване на условия за подобряване на неговото качество.</w:t>
            </w:r>
          </w:p>
          <w:p w14:paraId="3CC8DA24" w14:textId="77777777" w:rsidR="008B0F39" w:rsidRPr="00491076" w:rsidRDefault="008B0F39" w:rsidP="008B0F39">
            <w:pPr>
              <w:pStyle w:val="ListParagraph"/>
              <w:numPr>
                <w:ilvl w:val="0"/>
                <w:numId w:val="26"/>
              </w:numPr>
              <w:spacing w:after="0" w:line="240" w:lineRule="auto"/>
              <w:ind w:left="360"/>
              <w:rPr>
                <w:rFonts w:ascii="Times New Roman" w:hAnsi="Times New Roman" w:cs="Times New Roman"/>
                <w:noProof/>
                <w:color w:val="006100"/>
                <w:sz w:val="20"/>
                <w:szCs w:val="20"/>
              </w:rPr>
            </w:pPr>
            <w:r>
              <w:rPr>
                <w:rFonts w:ascii="Times New Roman" w:hAnsi="Times New Roman"/>
                <w:noProof/>
                <w:color w:val="006100"/>
                <w:sz w:val="20"/>
              </w:rPr>
              <w:t>се улеснява кандидатстването за колективни кредити от страна на етажната собственост чрез откриване на съвместна банкова сметка на името на етажната собственост.</w:t>
            </w:r>
          </w:p>
        </w:tc>
      </w:tr>
      <w:tr w:rsidR="008E16C0" w:rsidRPr="005241FC" w14:paraId="3AD9E8B6" w14:textId="77777777" w:rsidTr="008E16C0">
        <w:trPr>
          <w:trHeight w:val="309"/>
        </w:trPr>
        <w:tc>
          <w:tcPr>
            <w:tcW w:w="681" w:type="dxa"/>
            <w:shd w:val="clear" w:color="auto" w:fill="C6EFCE"/>
            <w:noWrap/>
          </w:tcPr>
          <w:p w14:paraId="50B201A2" w14:textId="343F40A7" w:rsidR="008B0F39" w:rsidRPr="00491076" w:rsidRDefault="000E517E"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68</w:t>
            </w:r>
          </w:p>
        </w:tc>
        <w:tc>
          <w:tcPr>
            <w:tcW w:w="1837" w:type="dxa"/>
            <w:shd w:val="clear" w:color="auto" w:fill="C6EFCE"/>
            <w:noWrap/>
          </w:tcPr>
          <w:p w14:paraId="334C7340" w14:textId="77777777" w:rsidR="00183158" w:rsidRPr="00491076" w:rsidRDefault="008B0F39" w:rsidP="0066695B">
            <w:pPr>
              <w:spacing w:after="0" w:line="240" w:lineRule="auto"/>
              <w:rPr>
                <w:rFonts w:ascii="Times New Roman" w:hAnsi="Times New Roman" w:cs="Times New Roman"/>
                <w:noProof/>
                <w:sz w:val="20"/>
                <w:szCs w:val="20"/>
              </w:rPr>
            </w:pPr>
            <w:r>
              <w:rPr>
                <w:rFonts w:ascii="Times New Roman" w:hAnsi="Times New Roman"/>
                <w:noProof/>
                <w:color w:val="006100"/>
                <w:sz w:val="20"/>
              </w:rPr>
              <w:t>C4.I1:</w:t>
            </w:r>
            <w:r>
              <w:rPr>
                <w:rFonts w:ascii="Times New Roman" w:hAnsi="Times New Roman"/>
                <w:noProof/>
                <w:sz w:val="20"/>
              </w:rPr>
              <w:t xml:space="preserve"> </w:t>
            </w:r>
          </w:p>
          <w:p w14:paraId="57F59299" w14:textId="321A3ABF" w:rsidR="008B0F39" w:rsidRPr="00491076" w:rsidRDefault="008B0F39" w:rsidP="0066695B">
            <w:pPr>
              <w:spacing w:after="0" w:line="240" w:lineRule="auto"/>
              <w:rPr>
                <w:rFonts w:ascii="Times New Roman" w:eastAsia="Calibri" w:hAnsi="Times New Roman" w:cs="Times New Roman"/>
                <w:noProof/>
                <w:sz w:val="20"/>
                <w:szCs w:val="20"/>
                <w:u w:val="single"/>
              </w:rPr>
            </w:pPr>
            <w:r>
              <w:rPr>
                <w:rFonts w:ascii="Times New Roman" w:hAnsi="Times New Roman"/>
                <w:noProof/>
                <w:color w:val="006100"/>
                <w:sz w:val="20"/>
              </w:rPr>
              <w:t>Подкрепа за обновяване на сградния фонд </w:t>
            </w:r>
          </w:p>
          <w:p w14:paraId="0305CB48" w14:textId="77777777" w:rsidR="008B0F39" w:rsidRPr="008A0F8A" w:rsidRDefault="008B0F39" w:rsidP="0066695B">
            <w:pPr>
              <w:spacing w:after="0" w:line="240" w:lineRule="auto"/>
              <w:rPr>
                <w:rFonts w:ascii="Times New Roman" w:eastAsia="Calibri" w:hAnsi="Times New Roman" w:cs="Times New Roman"/>
                <w:noProof/>
                <w:sz w:val="20"/>
                <w:szCs w:val="20"/>
                <w:u w:val="single"/>
                <w:lang w:val="ru-RU"/>
              </w:rPr>
            </w:pPr>
          </w:p>
          <w:p w14:paraId="10543884" w14:textId="77777777" w:rsidR="008B0F39" w:rsidRPr="008A0F8A" w:rsidRDefault="008B0F39" w:rsidP="0066695B">
            <w:pPr>
              <w:spacing w:after="0" w:line="240" w:lineRule="auto"/>
              <w:rPr>
                <w:rFonts w:ascii="Times New Roman" w:eastAsia="Times New Roman" w:hAnsi="Times New Roman" w:cs="Times New Roman"/>
                <w:noProof/>
                <w:color w:val="006100"/>
                <w:sz w:val="20"/>
                <w:szCs w:val="20"/>
                <w:lang w:val="ru-RU" w:eastAsia="en-GB"/>
              </w:rPr>
            </w:pPr>
          </w:p>
        </w:tc>
        <w:tc>
          <w:tcPr>
            <w:tcW w:w="1131" w:type="dxa"/>
            <w:shd w:val="clear" w:color="auto" w:fill="C6EFCE"/>
            <w:noWrap/>
          </w:tcPr>
          <w:p w14:paraId="0A08CBA4"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696" w:type="dxa"/>
            <w:shd w:val="clear" w:color="auto" w:fill="C6EFCE"/>
            <w:noWrap/>
          </w:tcPr>
          <w:p w14:paraId="0E791917" w14:textId="7128026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Създаване на национална схема за подпомагане на енергийно ефективно обновяване на жилищни и нежилищни сгради </w:t>
            </w:r>
            <w:r>
              <w:rPr>
                <w:rFonts w:ascii="Times New Roman" w:hAnsi="Times New Roman"/>
                <w:noProof/>
                <w:color w:val="006100"/>
                <w:sz w:val="20"/>
              </w:rPr>
              <w:br/>
            </w:r>
          </w:p>
        </w:tc>
        <w:tc>
          <w:tcPr>
            <w:tcW w:w="1414" w:type="dxa"/>
            <w:shd w:val="clear" w:color="auto" w:fill="C6EFCE"/>
            <w:noWrap/>
          </w:tcPr>
          <w:p w14:paraId="56C437E8"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Публикуване на министерското постановление за установяване на схемата</w:t>
            </w:r>
          </w:p>
        </w:tc>
        <w:tc>
          <w:tcPr>
            <w:tcW w:w="1151" w:type="dxa"/>
            <w:shd w:val="clear" w:color="auto" w:fill="C6EFCE"/>
            <w:noWrap/>
          </w:tcPr>
          <w:p w14:paraId="40A1B418" w14:textId="77777777" w:rsidR="008B0F39" w:rsidRPr="008A0F8A" w:rsidRDefault="008B0F39" w:rsidP="0066695B">
            <w:pPr>
              <w:spacing w:after="0" w:line="240" w:lineRule="auto"/>
              <w:rPr>
                <w:rFonts w:ascii="Times New Roman" w:eastAsia="Times New Roman" w:hAnsi="Times New Roman" w:cs="Times New Roman"/>
                <w:noProof/>
                <w:color w:val="006100"/>
                <w:sz w:val="20"/>
                <w:szCs w:val="20"/>
                <w:lang w:val="ru-RU" w:eastAsia="en-GB"/>
              </w:rPr>
            </w:pPr>
          </w:p>
        </w:tc>
        <w:tc>
          <w:tcPr>
            <w:tcW w:w="1275" w:type="dxa"/>
            <w:shd w:val="clear" w:color="auto" w:fill="C6EFCE"/>
            <w:noWrap/>
          </w:tcPr>
          <w:p w14:paraId="1686DD61" w14:textId="77777777" w:rsidR="008B0F39" w:rsidRPr="008A0F8A" w:rsidRDefault="008B0F39" w:rsidP="0066695B">
            <w:pPr>
              <w:spacing w:after="0" w:line="240" w:lineRule="auto"/>
              <w:rPr>
                <w:rFonts w:ascii="Times New Roman" w:eastAsia="Times New Roman" w:hAnsi="Times New Roman" w:cs="Times New Roman"/>
                <w:noProof/>
                <w:color w:val="006100"/>
                <w:sz w:val="20"/>
                <w:szCs w:val="20"/>
                <w:lang w:val="ru-RU" w:eastAsia="en-GB"/>
              </w:rPr>
            </w:pPr>
          </w:p>
        </w:tc>
        <w:tc>
          <w:tcPr>
            <w:tcW w:w="1134" w:type="dxa"/>
            <w:shd w:val="clear" w:color="auto" w:fill="C6EFCE"/>
            <w:noWrap/>
          </w:tcPr>
          <w:p w14:paraId="4EE791DA" w14:textId="77777777" w:rsidR="008B0F39" w:rsidRPr="008A0F8A" w:rsidRDefault="008B0F39" w:rsidP="0066695B">
            <w:pPr>
              <w:spacing w:after="0" w:line="240" w:lineRule="auto"/>
              <w:rPr>
                <w:rFonts w:ascii="Times New Roman" w:eastAsia="Times New Roman" w:hAnsi="Times New Roman" w:cs="Times New Roman"/>
                <w:noProof/>
                <w:color w:val="006100"/>
                <w:sz w:val="20"/>
                <w:szCs w:val="20"/>
                <w:lang w:val="ru-RU" w:eastAsia="en-GB"/>
              </w:rPr>
            </w:pPr>
          </w:p>
        </w:tc>
        <w:tc>
          <w:tcPr>
            <w:tcW w:w="851" w:type="dxa"/>
            <w:shd w:val="clear" w:color="auto" w:fill="C6EFCE"/>
            <w:noWrap/>
          </w:tcPr>
          <w:p w14:paraId="24D33A34"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T3</w:t>
            </w:r>
          </w:p>
        </w:tc>
        <w:tc>
          <w:tcPr>
            <w:tcW w:w="709" w:type="dxa"/>
            <w:shd w:val="clear" w:color="auto" w:fill="C6EFCE"/>
            <w:noWrap/>
          </w:tcPr>
          <w:p w14:paraId="566CA6D8"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2022</w:t>
            </w:r>
          </w:p>
        </w:tc>
        <w:tc>
          <w:tcPr>
            <w:tcW w:w="3772" w:type="dxa"/>
            <w:shd w:val="clear" w:color="auto" w:fill="C6EFCE"/>
            <w:noWrap/>
          </w:tcPr>
          <w:p w14:paraId="19FD7A45" w14:textId="77777777" w:rsidR="008B0F39" w:rsidRPr="00491076" w:rsidRDefault="008B0F39" w:rsidP="0066695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Схемата включва три подмерки: </w:t>
            </w:r>
          </w:p>
          <w:p w14:paraId="2C486024" w14:textId="154F6A8D" w:rsidR="008B0F39" w:rsidRPr="00491076" w:rsidRDefault="47BDAFE8" w:rsidP="00A17CA8">
            <w:pPr>
              <w:pStyle w:val="ListParagraph"/>
              <w:numPr>
                <w:ilvl w:val="0"/>
                <w:numId w:val="82"/>
              </w:numPr>
              <w:spacing w:after="0" w:line="240" w:lineRule="auto"/>
              <w:ind w:left="360"/>
              <w:rPr>
                <w:rFonts w:ascii="Times New Roman" w:hAnsi="Times New Roman" w:cs="Times New Roman"/>
                <w:noProof/>
                <w:color w:val="006100"/>
                <w:sz w:val="20"/>
                <w:szCs w:val="20"/>
              </w:rPr>
            </w:pPr>
            <w:r>
              <w:rPr>
                <w:rFonts w:ascii="Times New Roman" w:hAnsi="Times New Roman"/>
                <w:noProof/>
                <w:color w:val="006100"/>
                <w:sz w:val="20"/>
              </w:rPr>
              <w:t>подмярка 1: Енергийно обновяване на най-малко 3,6 милиона m² обща брутна застроена площ на жилищни сгради;</w:t>
            </w:r>
          </w:p>
          <w:p w14:paraId="6F9D0BF5" w14:textId="77777777" w:rsidR="008B0F39" w:rsidRPr="008A0F8A" w:rsidRDefault="008B0F39" w:rsidP="0066695B">
            <w:pPr>
              <w:spacing w:after="0" w:line="240" w:lineRule="auto"/>
              <w:rPr>
                <w:rFonts w:ascii="Times New Roman" w:hAnsi="Times New Roman" w:cs="Times New Roman"/>
                <w:noProof/>
                <w:color w:val="006100"/>
                <w:sz w:val="20"/>
                <w:szCs w:val="20"/>
                <w:lang w:val="ru-RU"/>
              </w:rPr>
            </w:pPr>
          </w:p>
          <w:p w14:paraId="76E0AFC2" w14:textId="29037A72" w:rsidR="008B0F39" w:rsidRPr="00491076" w:rsidRDefault="309CC214" w:rsidP="10B90BD2">
            <w:pPr>
              <w:numPr>
                <w:ilvl w:val="0"/>
                <w:numId w:val="82"/>
              </w:numPr>
              <w:spacing w:after="0" w:line="240" w:lineRule="auto"/>
              <w:ind w:left="360"/>
              <w:rPr>
                <w:rFonts w:ascii="Times New Roman" w:hAnsi="Times New Roman" w:cs="Times New Roman"/>
                <w:noProof/>
                <w:color w:val="006100"/>
                <w:sz w:val="20"/>
                <w:szCs w:val="20"/>
              </w:rPr>
            </w:pPr>
            <w:r>
              <w:rPr>
                <w:rFonts w:ascii="Times New Roman" w:hAnsi="Times New Roman"/>
                <w:noProof/>
                <w:color w:val="006100"/>
                <w:sz w:val="20"/>
              </w:rPr>
              <w:t xml:space="preserve">подмярка 2: Енергийно обновяване на най-малко 1,4 милиона m² нежилищни обществени сгради; както и </w:t>
            </w:r>
          </w:p>
          <w:p w14:paraId="24C3AC20" w14:textId="77777777" w:rsidR="008B0F39" w:rsidRPr="008A0F8A" w:rsidRDefault="008B0F39" w:rsidP="0066695B">
            <w:pPr>
              <w:spacing w:after="0" w:line="240" w:lineRule="auto"/>
              <w:rPr>
                <w:rFonts w:ascii="Times New Roman" w:hAnsi="Times New Roman" w:cs="Times New Roman"/>
                <w:noProof/>
                <w:color w:val="006100"/>
                <w:sz w:val="20"/>
                <w:szCs w:val="20"/>
                <w:lang w:val="ru-RU"/>
              </w:rPr>
            </w:pPr>
          </w:p>
          <w:p w14:paraId="333F8AF6" w14:textId="62A35A6C" w:rsidR="008B0F39" w:rsidRPr="00491076" w:rsidRDefault="4D271A3E" w:rsidP="3C726291">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подмерки 2 и 3, взети заедно: Енергийно обновяване на 742 нежилищни сгради</w:t>
            </w:r>
          </w:p>
          <w:p w14:paraId="75CC54B0" w14:textId="47EB7090" w:rsidR="008B0F39" w:rsidRPr="00491076" w:rsidRDefault="008B0F39" w:rsidP="00C2179C">
            <w:pPr>
              <w:rPr>
                <w:rFonts w:ascii="Times New Roman" w:hAnsi="Times New Roman" w:cs="Times New Roman"/>
                <w:noProof/>
                <w:color w:val="006100"/>
                <w:sz w:val="20"/>
                <w:szCs w:val="20"/>
              </w:rPr>
            </w:pPr>
            <w:r>
              <w:rPr>
                <w:rFonts w:ascii="Times New Roman" w:hAnsi="Times New Roman"/>
                <w:noProof/>
                <w:color w:val="006100"/>
                <w:sz w:val="20"/>
              </w:rPr>
              <w:t>Схемата трябва да осигури най-малко 30 % икономии от потреблението на първична енергия в сравнение със състоянието преди обновяването и съответствие с техническите насоки за прилагането на принципа за „ненанасяне на значителни вреди“ (2021/C58/01).</w:t>
            </w:r>
          </w:p>
        </w:tc>
      </w:tr>
      <w:tr w:rsidR="008E16C0" w:rsidRPr="005241FC" w14:paraId="1417D905" w14:textId="77777777" w:rsidTr="008E16C0">
        <w:trPr>
          <w:trHeight w:val="309"/>
        </w:trPr>
        <w:tc>
          <w:tcPr>
            <w:tcW w:w="681" w:type="dxa"/>
            <w:shd w:val="clear" w:color="auto" w:fill="C6EFCE"/>
            <w:noWrap/>
          </w:tcPr>
          <w:p w14:paraId="54C162DC" w14:textId="69E02B41" w:rsidR="008B0F39" w:rsidRPr="00491076" w:rsidRDefault="000E517E"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69</w:t>
            </w:r>
          </w:p>
        </w:tc>
        <w:tc>
          <w:tcPr>
            <w:tcW w:w="1837" w:type="dxa"/>
            <w:shd w:val="clear" w:color="auto" w:fill="C6EFCE"/>
            <w:noWrap/>
          </w:tcPr>
          <w:p w14:paraId="753EEB29" w14:textId="77777777" w:rsidR="00183158"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C4.I1: </w:t>
            </w:r>
          </w:p>
          <w:p w14:paraId="19FA7C79" w14:textId="009F2AF0" w:rsidR="008B0F39" w:rsidRPr="00491076" w:rsidRDefault="008B0F39" w:rsidP="0066695B">
            <w:pPr>
              <w:spacing w:after="0" w:line="240" w:lineRule="auto"/>
              <w:rPr>
                <w:rFonts w:ascii="Times New Roman" w:eastAsia="Calibri" w:hAnsi="Times New Roman" w:cs="Times New Roman"/>
                <w:noProof/>
                <w:sz w:val="20"/>
                <w:szCs w:val="20"/>
                <w:u w:val="single"/>
              </w:rPr>
            </w:pPr>
            <w:r>
              <w:rPr>
                <w:rFonts w:ascii="Times New Roman" w:hAnsi="Times New Roman"/>
                <w:noProof/>
                <w:color w:val="006100"/>
                <w:sz w:val="20"/>
              </w:rPr>
              <w:t>Подкрепа за обновяване на сградния фонд</w:t>
            </w:r>
            <w:r>
              <w:rPr>
                <w:rFonts w:ascii="Times New Roman" w:hAnsi="Times New Roman"/>
                <w:noProof/>
                <w:sz w:val="20"/>
              </w:rPr>
              <w:t> </w:t>
            </w:r>
          </w:p>
          <w:p w14:paraId="3985ECAC" w14:textId="77777777" w:rsidR="008B0F39" w:rsidRPr="008A0F8A" w:rsidRDefault="008B0F39" w:rsidP="0066695B">
            <w:pPr>
              <w:spacing w:after="0" w:line="240" w:lineRule="auto"/>
              <w:rPr>
                <w:rFonts w:ascii="Times New Roman" w:eastAsia="Calibri" w:hAnsi="Times New Roman" w:cs="Times New Roman"/>
                <w:noProof/>
                <w:sz w:val="20"/>
                <w:szCs w:val="20"/>
                <w:u w:val="single"/>
                <w:lang w:val="ru-RU"/>
              </w:rPr>
            </w:pPr>
          </w:p>
          <w:p w14:paraId="61D55D98"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Подмярка 1: Обновяване на жилищни сгради</w:t>
            </w:r>
          </w:p>
          <w:p w14:paraId="51748BA0"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lang w:val="en-GB" w:eastAsia="en-GB"/>
              </w:rPr>
            </w:pPr>
          </w:p>
        </w:tc>
        <w:tc>
          <w:tcPr>
            <w:tcW w:w="1131" w:type="dxa"/>
            <w:shd w:val="clear" w:color="auto" w:fill="C6EFCE"/>
            <w:noWrap/>
          </w:tcPr>
          <w:p w14:paraId="7F1D592E"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696" w:type="dxa"/>
            <w:shd w:val="clear" w:color="auto" w:fill="C6EFCE"/>
            <w:noWrap/>
          </w:tcPr>
          <w:p w14:paraId="23F334AC"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Покана за представяне на предложения за енергийно ефективно обновяване на жилищни сгради</w:t>
            </w:r>
          </w:p>
        </w:tc>
        <w:tc>
          <w:tcPr>
            <w:tcW w:w="1414" w:type="dxa"/>
            <w:shd w:val="clear" w:color="auto" w:fill="C6EFCE"/>
            <w:noWrap/>
          </w:tcPr>
          <w:p w14:paraId="443860CF"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Публикуване на спецификациите на поканата </w:t>
            </w:r>
          </w:p>
        </w:tc>
        <w:tc>
          <w:tcPr>
            <w:tcW w:w="1151" w:type="dxa"/>
            <w:shd w:val="clear" w:color="auto" w:fill="C6EFCE"/>
            <w:noWrap/>
          </w:tcPr>
          <w:p w14:paraId="41E6B320" w14:textId="77777777" w:rsidR="008B0F39" w:rsidRPr="008A0F8A" w:rsidRDefault="008B0F39" w:rsidP="0066695B">
            <w:pPr>
              <w:spacing w:after="0" w:line="240" w:lineRule="auto"/>
              <w:rPr>
                <w:rFonts w:ascii="Times New Roman" w:eastAsia="Times New Roman" w:hAnsi="Times New Roman" w:cs="Times New Roman"/>
                <w:noProof/>
                <w:color w:val="006100"/>
                <w:sz w:val="20"/>
                <w:szCs w:val="20"/>
                <w:lang w:val="ru-RU" w:eastAsia="en-GB"/>
              </w:rPr>
            </w:pPr>
          </w:p>
        </w:tc>
        <w:tc>
          <w:tcPr>
            <w:tcW w:w="1275" w:type="dxa"/>
            <w:shd w:val="clear" w:color="auto" w:fill="C6EFCE"/>
            <w:noWrap/>
          </w:tcPr>
          <w:p w14:paraId="4A72A8DE" w14:textId="77777777" w:rsidR="008B0F39" w:rsidRPr="008A0F8A" w:rsidRDefault="008B0F39" w:rsidP="0066695B">
            <w:pPr>
              <w:spacing w:after="0" w:line="240" w:lineRule="auto"/>
              <w:rPr>
                <w:rFonts w:ascii="Times New Roman" w:eastAsia="Times New Roman" w:hAnsi="Times New Roman" w:cs="Times New Roman"/>
                <w:noProof/>
                <w:color w:val="006100"/>
                <w:sz w:val="20"/>
                <w:szCs w:val="20"/>
                <w:lang w:val="ru-RU" w:eastAsia="en-GB"/>
              </w:rPr>
            </w:pPr>
          </w:p>
        </w:tc>
        <w:tc>
          <w:tcPr>
            <w:tcW w:w="1134" w:type="dxa"/>
            <w:shd w:val="clear" w:color="auto" w:fill="C6EFCE"/>
            <w:noWrap/>
          </w:tcPr>
          <w:p w14:paraId="2BC5291D" w14:textId="77777777" w:rsidR="008B0F39" w:rsidRPr="008A0F8A" w:rsidRDefault="008B0F39" w:rsidP="0066695B">
            <w:pPr>
              <w:spacing w:after="0" w:line="240" w:lineRule="auto"/>
              <w:rPr>
                <w:rFonts w:ascii="Times New Roman" w:eastAsia="Times New Roman" w:hAnsi="Times New Roman" w:cs="Times New Roman"/>
                <w:noProof/>
                <w:color w:val="006100"/>
                <w:sz w:val="20"/>
                <w:szCs w:val="20"/>
                <w:lang w:val="ru-RU" w:eastAsia="en-GB"/>
              </w:rPr>
            </w:pPr>
          </w:p>
        </w:tc>
        <w:tc>
          <w:tcPr>
            <w:tcW w:w="851" w:type="dxa"/>
            <w:shd w:val="clear" w:color="auto" w:fill="C6EFCE"/>
            <w:noWrap/>
          </w:tcPr>
          <w:p w14:paraId="45C6F68E"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T3</w:t>
            </w:r>
          </w:p>
        </w:tc>
        <w:tc>
          <w:tcPr>
            <w:tcW w:w="709" w:type="dxa"/>
            <w:shd w:val="clear" w:color="auto" w:fill="C6EFCE"/>
            <w:noWrap/>
          </w:tcPr>
          <w:p w14:paraId="7CED8830"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2022</w:t>
            </w:r>
          </w:p>
        </w:tc>
        <w:tc>
          <w:tcPr>
            <w:tcW w:w="3772" w:type="dxa"/>
            <w:shd w:val="clear" w:color="auto" w:fill="C6EFCE"/>
            <w:noWrap/>
          </w:tcPr>
          <w:p w14:paraId="3F8E9B24" w14:textId="77777777"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Поканата за представяне на предложения се публикува от Министерството на регионалното развитие и благоустройството, което е органът, отговорен за енергийно-ефективното обновяване на жилищните сгради. Поканата включва следните два етапа на кандидатстване:</w:t>
            </w:r>
          </w:p>
          <w:p w14:paraId="5CE277BD" w14:textId="77777777" w:rsidR="008B0F39" w:rsidRPr="00491076" w:rsidRDefault="008B0F39" w:rsidP="008B0F39">
            <w:pPr>
              <w:pStyle w:val="ListParagraph"/>
              <w:numPr>
                <w:ilvl w:val="0"/>
                <w:numId w:val="24"/>
              </w:numPr>
              <w:spacing w:after="0"/>
              <w:rPr>
                <w:rFonts w:ascii="Times New Roman" w:hAnsi="Times New Roman" w:cs="Times New Roman"/>
                <w:noProof/>
                <w:color w:val="006100"/>
                <w:sz w:val="20"/>
                <w:szCs w:val="20"/>
              </w:rPr>
            </w:pPr>
            <w:r>
              <w:rPr>
                <w:rFonts w:ascii="Times New Roman" w:hAnsi="Times New Roman"/>
                <w:noProof/>
                <w:color w:val="006100"/>
                <w:sz w:val="20"/>
              </w:rPr>
              <w:t xml:space="preserve">етап 1 — отворен за заявления със 100 % финансиране под формата на безвъзмездни средства; </w:t>
            </w:r>
          </w:p>
          <w:p w14:paraId="77186852" w14:textId="77777777" w:rsidR="008B0F39" w:rsidRPr="00491076" w:rsidRDefault="008B0F39" w:rsidP="008B0F39">
            <w:pPr>
              <w:pStyle w:val="ListParagraph"/>
              <w:numPr>
                <w:ilvl w:val="0"/>
                <w:numId w:val="24"/>
              </w:num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етап 2 — отворен за заявления с 80 % финансиране с безвъзмездни средства и 20 % собствено финансиране от собствениците на жилища.</w:t>
            </w:r>
          </w:p>
          <w:p w14:paraId="2D4D9347" w14:textId="31589E79" w:rsidR="008B0F39" w:rsidRPr="00491076" w:rsidRDefault="008B0F39" w:rsidP="002F32C2">
            <w:pPr>
              <w:spacing w:after="0" w:line="240" w:lineRule="auto"/>
              <w:ind w:left="48"/>
              <w:rPr>
                <w:rFonts w:ascii="Times New Roman" w:eastAsia="Times New Roman" w:hAnsi="Times New Roman" w:cs="Times New Roman"/>
                <w:noProof/>
                <w:color w:val="006100"/>
                <w:sz w:val="20"/>
                <w:szCs w:val="20"/>
              </w:rPr>
            </w:pPr>
            <w:r>
              <w:rPr>
                <w:rFonts w:ascii="Times New Roman" w:hAnsi="Times New Roman"/>
                <w:noProof/>
                <w:color w:val="006100"/>
                <w:sz w:val="20"/>
              </w:rPr>
              <w:t>Двата етапа на приемане на заявления протичат последователно, а не успоредно.</w:t>
            </w:r>
          </w:p>
        </w:tc>
      </w:tr>
      <w:tr w:rsidR="008E16C0" w:rsidRPr="005241FC" w14:paraId="46102C95" w14:textId="77777777" w:rsidTr="008E16C0">
        <w:trPr>
          <w:trHeight w:val="309"/>
        </w:trPr>
        <w:tc>
          <w:tcPr>
            <w:tcW w:w="681" w:type="dxa"/>
            <w:tcBorders>
              <w:bottom w:val="single" w:sz="4" w:space="0" w:color="auto"/>
            </w:tcBorders>
            <w:shd w:val="clear" w:color="auto" w:fill="C6EFCE"/>
            <w:noWrap/>
          </w:tcPr>
          <w:p w14:paraId="71ED6091" w14:textId="20ACE016" w:rsidR="008B0F39" w:rsidRPr="00491076" w:rsidRDefault="000E517E"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70</w:t>
            </w:r>
          </w:p>
        </w:tc>
        <w:tc>
          <w:tcPr>
            <w:tcW w:w="1837" w:type="dxa"/>
            <w:tcBorders>
              <w:bottom w:val="single" w:sz="4" w:space="0" w:color="auto"/>
            </w:tcBorders>
            <w:shd w:val="clear" w:color="auto" w:fill="C6EFCE"/>
            <w:noWrap/>
          </w:tcPr>
          <w:p w14:paraId="72373656" w14:textId="77777777" w:rsidR="00183158" w:rsidRPr="00491076" w:rsidRDefault="008B0F39" w:rsidP="0066695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C4.I1: </w:t>
            </w:r>
          </w:p>
          <w:p w14:paraId="3A9E8D04" w14:textId="6D550895" w:rsidR="008B0F39" w:rsidRPr="00491076" w:rsidRDefault="008B0F39" w:rsidP="0066695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Подкрепа за обновяване на сградния фонд </w:t>
            </w:r>
          </w:p>
          <w:p w14:paraId="6F94B37C" w14:textId="77777777" w:rsidR="008B0F39" w:rsidRPr="008A0F8A" w:rsidRDefault="008B0F39" w:rsidP="0066695B">
            <w:pPr>
              <w:spacing w:after="0" w:line="240" w:lineRule="auto"/>
              <w:rPr>
                <w:rFonts w:ascii="Times New Roman" w:hAnsi="Times New Roman" w:cs="Times New Roman"/>
                <w:noProof/>
                <w:color w:val="006100"/>
                <w:sz w:val="20"/>
                <w:szCs w:val="20"/>
                <w:u w:val="single"/>
                <w:lang w:val="ru-RU"/>
              </w:rPr>
            </w:pPr>
          </w:p>
          <w:p w14:paraId="121FE86B" w14:textId="590C001D" w:rsidR="008B0F39" w:rsidRPr="00491076" w:rsidRDefault="008B0F39" w:rsidP="00C2179C">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Подмярка 1: Обновяване на жилищни сгради</w:t>
            </w:r>
          </w:p>
        </w:tc>
        <w:tc>
          <w:tcPr>
            <w:tcW w:w="1131" w:type="dxa"/>
            <w:tcBorders>
              <w:bottom w:val="single" w:sz="4" w:space="0" w:color="auto"/>
            </w:tcBorders>
            <w:shd w:val="clear" w:color="auto" w:fill="C6EFCE"/>
            <w:noWrap/>
          </w:tcPr>
          <w:p w14:paraId="6D240445"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696" w:type="dxa"/>
            <w:tcBorders>
              <w:bottom w:val="single" w:sz="4" w:space="0" w:color="auto"/>
            </w:tcBorders>
            <w:shd w:val="clear" w:color="auto" w:fill="C6EFCE"/>
            <w:noWrap/>
          </w:tcPr>
          <w:p w14:paraId="19C4BC23" w14:textId="4BFCF50B"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Подписване на договори за енергийно-ефективно обновяване на многофамилни жилищни сгради </w:t>
            </w:r>
          </w:p>
        </w:tc>
        <w:tc>
          <w:tcPr>
            <w:tcW w:w="1414" w:type="dxa"/>
            <w:tcBorders>
              <w:bottom w:val="single" w:sz="4" w:space="0" w:color="auto"/>
            </w:tcBorders>
            <w:shd w:val="clear" w:color="auto" w:fill="C6EFCE"/>
            <w:noWrap/>
          </w:tcPr>
          <w:p w14:paraId="2B7241F0" w14:textId="4E7E98F3" w:rsidR="008B0F39" w:rsidRPr="00491076" w:rsidRDefault="008B0F39" w:rsidP="00A5331F">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Подписани договори от Министерството на регионалното развитие и благоустройството и бенефициерите </w:t>
            </w:r>
          </w:p>
        </w:tc>
        <w:tc>
          <w:tcPr>
            <w:tcW w:w="1151" w:type="dxa"/>
            <w:tcBorders>
              <w:bottom w:val="single" w:sz="4" w:space="0" w:color="auto"/>
            </w:tcBorders>
            <w:shd w:val="clear" w:color="auto" w:fill="C6EFCE"/>
            <w:noWrap/>
          </w:tcPr>
          <w:p w14:paraId="59586901" w14:textId="77777777" w:rsidR="008B0F39" w:rsidRPr="008A0F8A" w:rsidRDefault="008B0F39" w:rsidP="0066695B">
            <w:pPr>
              <w:spacing w:after="0" w:line="240" w:lineRule="auto"/>
              <w:rPr>
                <w:rFonts w:ascii="Times New Roman" w:eastAsia="Times New Roman" w:hAnsi="Times New Roman" w:cs="Times New Roman"/>
                <w:noProof/>
                <w:color w:val="006100"/>
                <w:sz w:val="20"/>
                <w:szCs w:val="20"/>
                <w:lang w:val="ru-RU" w:eastAsia="en-GB"/>
              </w:rPr>
            </w:pPr>
          </w:p>
        </w:tc>
        <w:tc>
          <w:tcPr>
            <w:tcW w:w="1275" w:type="dxa"/>
            <w:tcBorders>
              <w:bottom w:val="single" w:sz="4" w:space="0" w:color="auto"/>
            </w:tcBorders>
            <w:shd w:val="clear" w:color="auto" w:fill="C6EFCE"/>
            <w:noWrap/>
          </w:tcPr>
          <w:p w14:paraId="2FC13CE2" w14:textId="77777777" w:rsidR="008B0F39" w:rsidRPr="008A0F8A" w:rsidRDefault="008B0F39" w:rsidP="0066695B">
            <w:pPr>
              <w:spacing w:after="0" w:line="240" w:lineRule="auto"/>
              <w:rPr>
                <w:rFonts w:ascii="Times New Roman" w:eastAsia="Times New Roman" w:hAnsi="Times New Roman" w:cs="Times New Roman"/>
                <w:noProof/>
                <w:color w:val="006100"/>
                <w:sz w:val="20"/>
                <w:szCs w:val="20"/>
                <w:lang w:val="ru-RU" w:eastAsia="en-GB"/>
              </w:rPr>
            </w:pPr>
          </w:p>
        </w:tc>
        <w:tc>
          <w:tcPr>
            <w:tcW w:w="1134" w:type="dxa"/>
            <w:tcBorders>
              <w:bottom w:val="single" w:sz="4" w:space="0" w:color="auto"/>
            </w:tcBorders>
            <w:shd w:val="clear" w:color="auto" w:fill="C6EFCE"/>
            <w:noWrap/>
          </w:tcPr>
          <w:p w14:paraId="234964B3" w14:textId="77777777" w:rsidR="008B0F39" w:rsidRPr="008A0F8A" w:rsidRDefault="008B0F39" w:rsidP="0066695B">
            <w:pPr>
              <w:spacing w:after="0" w:line="240" w:lineRule="auto"/>
              <w:rPr>
                <w:rFonts w:ascii="Times New Roman" w:eastAsia="Times New Roman" w:hAnsi="Times New Roman" w:cs="Times New Roman"/>
                <w:noProof/>
                <w:color w:val="006100"/>
                <w:sz w:val="20"/>
                <w:szCs w:val="20"/>
                <w:lang w:val="ru-RU" w:eastAsia="en-GB"/>
              </w:rPr>
            </w:pPr>
          </w:p>
        </w:tc>
        <w:tc>
          <w:tcPr>
            <w:tcW w:w="851" w:type="dxa"/>
            <w:tcBorders>
              <w:bottom w:val="single" w:sz="4" w:space="0" w:color="auto"/>
            </w:tcBorders>
            <w:shd w:val="clear" w:color="auto" w:fill="C6EFCE"/>
            <w:noWrap/>
          </w:tcPr>
          <w:p w14:paraId="51A8DC27" w14:textId="69BE8ACD"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T2</w:t>
            </w:r>
          </w:p>
        </w:tc>
        <w:tc>
          <w:tcPr>
            <w:tcW w:w="709" w:type="dxa"/>
            <w:tcBorders>
              <w:bottom w:val="single" w:sz="4" w:space="0" w:color="auto"/>
            </w:tcBorders>
            <w:shd w:val="clear" w:color="auto" w:fill="C6EFCE"/>
            <w:noWrap/>
          </w:tcPr>
          <w:p w14:paraId="561295B0" w14:textId="4DDFC339"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2024</w:t>
            </w:r>
          </w:p>
        </w:tc>
        <w:tc>
          <w:tcPr>
            <w:tcW w:w="3772" w:type="dxa"/>
            <w:tcBorders>
              <w:bottom w:val="single" w:sz="4" w:space="0" w:color="auto"/>
            </w:tcBorders>
            <w:shd w:val="clear" w:color="auto" w:fill="C6EFCE"/>
            <w:noWrap/>
          </w:tcPr>
          <w:p w14:paraId="220572C1" w14:textId="06441BCA" w:rsidR="008B0F39" w:rsidRPr="00491076" w:rsidRDefault="00331CF3"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Подписване на последната партида от договори. Всички договори по схемата се изготвят в съответствие с условията на ключови етапи 68 и 69.</w:t>
            </w:r>
          </w:p>
        </w:tc>
      </w:tr>
      <w:tr w:rsidR="008E16C0" w:rsidRPr="005241FC" w14:paraId="7F75DE9D" w14:textId="77777777" w:rsidTr="008E16C0">
        <w:trPr>
          <w:trHeight w:val="309"/>
        </w:trPr>
        <w:tc>
          <w:tcPr>
            <w:tcW w:w="681" w:type="dxa"/>
            <w:tcBorders>
              <w:top w:val="single" w:sz="4" w:space="0" w:color="auto"/>
              <w:left w:val="single" w:sz="4" w:space="0" w:color="auto"/>
              <w:bottom w:val="single" w:sz="4" w:space="0" w:color="auto"/>
              <w:right w:val="single" w:sz="4" w:space="0" w:color="auto"/>
            </w:tcBorders>
            <w:shd w:val="clear" w:color="auto" w:fill="C6EFCE"/>
            <w:noWrap/>
          </w:tcPr>
          <w:p w14:paraId="758B1B21" w14:textId="6B0F21B8" w:rsidR="008B0F39" w:rsidRPr="00491076" w:rsidRDefault="000E517E"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71</w:t>
            </w:r>
          </w:p>
        </w:tc>
        <w:tc>
          <w:tcPr>
            <w:tcW w:w="1837" w:type="dxa"/>
            <w:tcBorders>
              <w:top w:val="single" w:sz="4" w:space="0" w:color="auto"/>
              <w:left w:val="single" w:sz="4" w:space="0" w:color="auto"/>
              <w:bottom w:val="single" w:sz="4" w:space="0" w:color="auto"/>
              <w:right w:val="single" w:sz="4" w:space="0" w:color="auto"/>
            </w:tcBorders>
            <w:shd w:val="clear" w:color="auto" w:fill="C6EFCE"/>
            <w:noWrap/>
          </w:tcPr>
          <w:p w14:paraId="54D33A06" w14:textId="77777777" w:rsidR="00183158" w:rsidRPr="00491076" w:rsidRDefault="008B0F39" w:rsidP="0066695B">
            <w:pPr>
              <w:spacing w:after="0" w:line="240" w:lineRule="auto"/>
              <w:rPr>
                <w:rFonts w:ascii="Times New Roman" w:hAnsi="Times New Roman" w:cs="Times New Roman"/>
                <w:noProof/>
                <w:sz w:val="20"/>
                <w:szCs w:val="20"/>
              </w:rPr>
            </w:pPr>
            <w:r>
              <w:rPr>
                <w:rFonts w:ascii="Times New Roman" w:hAnsi="Times New Roman"/>
                <w:noProof/>
                <w:color w:val="006100"/>
                <w:sz w:val="20"/>
              </w:rPr>
              <w:t>C4.I1:</w:t>
            </w:r>
            <w:r>
              <w:rPr>
                <w:rFonts w:ascii="Times New Roman" w:hAnsi="Times New Roman"/>
                <w:noProof/>
                <w:sz w:val="20"/>
              </w:rPr>
              <w:t xml:space="preserve"> </w:t>
            </w:r>
          </w:p>
          <w:p w14:paraId="749CBA5F" w14:textId="452C700B" w:rsidR="008B0F39" w:rsidRPr="00491076" w:rsidRDefault="008B0F39" w:rsidP="0066695B">
            <w:pPr>
              <w:spacing w:after="0" w:line="240" w:lineRule="auto"/>
              <w:rPr>
                <w:rFonts w:ascii="Times New Roman" w:eastAsia="Calibri" w:hAnsi="Times New Roman" w:cs="Times New Roman"/>
                <w:noProof/>
                <w:sz w:val="20"/>
                <w:szCs w:val="20"/>
                <w:u w:val="single"/>
              </w:rPr>
            </w:pPr>
            <w:r>
              <w:rPr>
                <w:rFonts w:ascii="Times New Roman" w:hAnsi="Times New Roman"/>
                <w:noProof/>
                <w:color w:val="006100"/>
                <w:sz w:val="20"/>
              </w:rPr>
              <w:t>Подкрепа за обновяване на сградния фонд </w:t>
            </w:r>
          </w:p>
          <w:p w14:paraId="3BA6B23E" w14:textId="77777777" w:rsidR="008B0F39" w:rsidRPr="008A0F8A" w:rsidRDefault="008B0F39" w:rsidP="0066695B">
            <w:pPr>
              <w:spacing w:after="0" w:line="240" w:lineRule="auto"/>
              <w:rPr>
                <w:rFonts w:ascii="Times New Roman" w:eastAsia="Calibri" w:hAnsi="Times New Roman" w:cs="Times New Roman"/>
                <w:noProof/>
                <w:sz w:val="20"/>
                <w:szCs w:val="20"/>
                <w:u w:val="single"/>
                <w:lang w:val="ru-RU"/>
              </w:rPr>
            </w:pPr>
          </w:p>
          <w:p w14:paraId="0510C560" w14:textId="77777777" w:rsidR="008B0F39" w:rsidRPr="00491076" w:rsidRDefault="008B0F39" w:rsidP="0066695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Подмярка 1: Обновяване на жилищни сгради</w:t>
            </w:r>
          </w:p>
          <w:p w14:paraId="6F70A6F9"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lang w:val="en-GB" w:eastAsia="en-GB"/>
              </w:rPr>
            </w:pPr>
          </w:p>
        </w:tc>
        <w:tc>
          <w:tcPr>
            <w:tcW w:w="1131" w:type="dxa"/>
            <w:tcBorders>
              <w:top w:val="single" w:sz="4" w:space="0" w:color="auto"/>
              <w:left w:val="single" w:sz="4" w:space="0" w:color="auto"/>
              <w:bottom w:val="single" w:sz="4" w:space="0" w:color="auto"/>
              <w:right w:val="single" w:sz="4" w:space="0" w:color="auto"/>
            </w:tcBorders>
            <w:shd w:val="clear" w:color="auto" w:fill="C6EFCE"/>
            <w:noWrap/>
          </w:tcPr>
          <w:p w14:paraId="4FC29A03"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Цел</w:t>
            </w:r>
          </w:p>
        </w:tc>
        <w:tc>
          <w:tcPr>
            <w:tcW w:w="1696" w:type="dxa"/>
            <w:tcBorders>
              <w:top w:val="single" w:sz="4" w:space="0" w:color="auto"/>
              <w:left w:val="single" w:sz="4" w:space="0" w:color="auto"/>
              <w:bottom w:val="single" w:sz="4" w:space="0" w:color="auto"/>
              <w:right w:val="single" w:sz="4" w:space="0" w:color="auto"/>
            </w:tcBorders>
            <w:shd w:val="clear" w:color="auto" w:fill="C6EFCE"/>
            <w:noWrap/>
          </w:tcPr>
          <w:p w14:paraId="779B5328" w14:textId="6AC622D8"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Завършено енергийно-ефективно обновяване на многофамилни жилищни сгради — обновена жилищна инфраструктура (брутна застроена площ)</w:t>
            </w:r>
          </w:p>
        </w:tc>
        <w:tc>
          <w:tcPr>
            <w:tcW w:w="1414" w:type="dxa"/>
            <w:tcBorders>
              <w:top w:val="single" w:sz="4" w:space="0" w:color="auto"/>
              <w:left w:val="single" w:sz="4" w:space="0" w:color="auto"/>
              <w:bottom w:val="single" w:sz="4" w:space="0" w:color="auto"/>
              <w:right w:val="single" w:sz="4" w:space="0" w:color="auto"/>
            </w:tcBorders>
            <w:shd w:val="clear" w:color="auto" w:fill="C6EFCE"/>
            <w:noWrap/>
          </w:tcPr>
          <w:p w14:paraId="1CD21F38" w14:textId="77777777" w:rsidR="008B0F39" w:rsidRPr="008A0F8A" w:rsidRDefault="008B0F39" w:rsidP="0066695B">
            <w:pPr>
              <w:spacing w:after="0" w:line="240" w:lineRule="auto"/>
              <w:rPr>
                <w:rFonts w:ascii="Times New Roman" w:eastAsia="Times New Roman" w:hAnsi="Times New Roman" w:cs="Times New Roman"/>
                <w:noProof/>
                <w:color w:val="006100"/>
                <w:sz w:val="20"/>
                <w:szCs w:val="20"/>
                <w:lang w:val="ru-RU" w:eastAsia="en-GB"/>
              </w:rPr>
            </w:pPr>
          </w:p>
        </w:tc>
        <w:tc>
          <w:tcPr>
            <w:tcW w:w="1151" w:type="dxa"/>
            <w:tcBorders>
              <w:top w:val="single" w:sz="4" w:space="0" w:color="auto"/>
              <w:left w:val="single" w:sz="4" w:space="0" w:color="auto"/>
              <w:bottom w:val="single" w:sz="4" w:space="0" w:color="auto"/>
              <w:right w:val="single" w:sz="4" w:space="0" w:color="auto"/>
            </w:tcBorders>
            <w:shd w:val="clear" w:color="auto" w:fill="C6EFCE"/>
            <w:noWrap/>
          </w:tcPr>
          <w:p w14:paraId="44045A38" w14:textId="73047FED" w:rsidR="008B0F39" w:rsidRPr="00491076" w:rsidRDefault="008B0F39" w:rsidP="0087054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Обновена брутна застроена площ на жилищните сгради (m²)</w:t>
            </w:r>
          </w:p>
        </w:tc>
        <w:tc>
          <w:tcPr>
            <w:tcW w:w="1275" w:type="dxa"/>
            <w:tcBorders>
              <w:top w:val="single" w:sz="4" w:space="0" w:color="auto"/>
              <w:left w:val="single" w:sz="4" w:space="0" w:color="auto"/>
              <w:bottom w:val="single" w:sz="4" w:space="0" w:color="auto"/>
              <w:right w:val="single" w:sz="4" w:space="0" w:color="auto"/>
            </w:tcBorders>
            <w:shd w:val="clear" w:color="auto" w:fill="C6EFCE"/>
            <w:noWrap/>
          </w:tcPr>
          <w:p w14:paraId="7605FCFE"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0</w:t>
            </w:r>
          </w:p>
        </w:tc>
        <w:tc>
          <w:tcPr>
            <w:tcW w:w="1134" w:type="dxa"/>
            <w:tcBorders>
              <w:top w:val="single" w:sz="4" w:space="0" w:color="auto"/>
              <w:left w:val="single" w:sz="4" w:space="0" w:color="auto"/>
              <w:bottom w:val="single" w:sz="4" w:space="0" w:color="auto"/>
              <w:right w:val="single" w:sz="4" w:space="0" w:color="auto"/>
            </w:tcBorders>
            <w:shd w:val="clear" w:color="auto" w:fill="C6EFCE"/>
            <w:noWrap/>
          </w:tcPr>
          <w:p w14:paraId="5EC796A1"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3,6 милиона </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14:paraId="29EA9028" w14:textId="0EAC9984"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T2</w:t>
            </w:r>
          </w:p>
        </w:tc>
        <w:tc>
          <w:tcPr>
            <w:tcW w:w="709" w:type="dxa"/>
            <w:tcBorders>
              <w:top w:val="single" w:sz="4" w:space="0" w:color="auto"/>
              <w:left w:val="single" w:sz="4" w:space="0" w:color="auto"/>
              <w:bottom w:val="single" w:sz="4" w:space="0" w:color="auto"/>
              <w:right w:val="single" w:sz="4" w:space="0" w:color="auto"/>
            </w:tcBorders>
            <w:shd w:val="clear" w:color="auto" w:fill="C6EFCE"/>
            <w:noWrap/>
          </w:tcPr>
          <w:p w14:paraId="26A91710" w14:textId="0E8A1E85"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2026</w:t>
            </w:r>
          </w:p>
        </w:tc>
        <w:tc>
          <w:tcPr>
            <w:tcW w:w="3772" w:type="dxa"/>
            <w:tcBorders>
              <w:top w:val="single" w:sz="4" w:space="0" w:color="auto"/>
              <w:left w:val="single" w:sz="4" w:space="0" w:color="auto"/>
              <w:bottom w:val="single" w:sz="4" w:space="0" w:color="auto"/>
              <w:right w:val="single" w:sz="4" w:space="0" w:color="auto"/>
            </w:tcBorders>
            <w:shd w:val="clear" w:color="auto" w:fill="C6EFCE"/>
            <w:noWrap/>
          </w:tcPr>
          <w:p w14:paraId="3FE6940F" w14:textId="352AE3AF" w:rsidR="008B0F39" w:rsidRPr="00491076" w:rsidRDefault="008B0F39" w:rsidP="0066695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Завършване на енергийно-ефективното обновяване на многофамилни жилищни сгради. </w:t>
            </w:r>
          </w:p>
          <w:p w14:paraId="0BCAD5B9"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Обновяването трябва да намали потреблението на първична енергия средно с най-малко 30 %. </w:t>
            </w:r>
          </w:p>
        </w:tc>
      </w:tr>
      <w:tr w:rsidR="008E16C0" w:rsidRPr="005241FC" w14:paraId="6CF8B050" w14:textId="77777777" w:rsidTr="008E16C0">
        <w:trPr>
          <w:trHeight w:val="309"/>
        </w:trPr>
        <w:tc>
          <w:tcPr>
            <w:tcW w:w="681" w:type="dxa"/>
            <w:tcBorders>
              <w:top w:val="single" w:sz="4" w:space="0" w:color="auto"/>
            </w:tcBorders>
            <w:shd w:val="clear" w:color="auto" w:fill="C6EFCE"/>
            <w:noWrap/>
          </w:tcPr>
          <w:p w14:paraId="67EA2704" w14:textId="737FE31E" w:rsidR="008B0F39" w:rsidRPr="00491076" w:rsidRDefault="000E517E"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72</w:t>
            </w:r>
          </w:p>
        </w:tc>
        <w:tc>
          <w:tcPr>
            <w:tcW w:w="1837" w:type="dxa"/>
            <w:tcBorders>
              <w:top w:val="single" w:sz="4" w:space="0" w:color="auto"/>
            </w:tcBorders>
            <w:shd w:val="clear" w:color="auto" w:fill="C6EFCE"/>
            <w:noWrap/>
          </w:tcPr>
          <w:p w14:paraId="22F5297E" w14:textId="77777777" w:rsidR="00183158" w:rsidRPr="00491076" w:rsidRDefault="008B0F39" w:rsidP="0066695B">
            <w:pPr>
              <w:spacing w:after="0" w:line="240" w:lineRule="auto"/>
              <w:rPr>
                <w:rFonts w:ascii="Times New Roman" w:hAnsi="Times New Roman" w:cs="Times New Roman"/>
                <w:noProof/>
                <w:sz w:val="20"/>
                <w:szCs w:val="20"/>
              </w:rPr>
            </w:pPr>
            <w:r>
              <w:rPr>
                <w:rFonts w:ascii="Times New Roman" w:hAnsi="Times New Roman"/>
                <w:noProof/>
                <w:color w:val="006100"/>
                <w:sz w:val="20"/>
              </w:rPr>
              <w:t>C4.I1:</w:t>
            </w:r>
            <w:r>
              <w:rPr>
                <w:rFonts w:ascii="Times New Roman" w:hAnsi="Times New Roman"/>
                <w:noProof/>
                <w:sz w:val="20"/>
              </w:rPr>
              <w:t xml:space="preserve"> </w:t>
            </w:r>
          </w:p>
          <w:p w14:paraId="1CE7B992" w14:textId="4EE78564" w:rsidR="008B0F39" w:rsidRPr="00491076" w:rsidRDefault="008B0F39" w:rsidP="0066695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Подкрепа за обновяване на сградния фонд </w:t>
            </w:r>
          </w:p>
          <w:p w14:paraId="199BEF11" w14:textId="4B8BD19A" w:rsidR="008B0F39" w:rsidRPr="00491076" w:rsidRDefault="008B0F39" w:rsidP="0066695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Подмярка 2: Обновяване на нежилищни сгради, включително обществени сгради и подмярка 3: Обновяване на нежилищни сгради в производството, търговията и услугите, както и на сгради от туристическия сектор </w:t>
            </w:r>
          </w:p>
          <w:p w14:paraId="0E2F1D98" w14:textId="77777777" w:rsidR="008B0F39" w:rsidRPr="008A0F8A" w:rsidRDefault="008B0F39" w:rsidP="0066695B">
            <w:pPr>
              <w:spacing w:after="0" w:line="240" w:lineRule="auto"/>
              <w:rPr>
                <w:rFonts w:ascii="Times New Roman" w:eastAsia="Times New Roman" w:hAnsi="Times New Roman" w:cs="Times New Roman"/>
                <w:noProof/>
                <w:color w:val="006100"/>
                <w:sz w:val="20"/>
                <w:szCs w:val="20"/>
                <w:lang w:val="ru-RU" w:eastAsia="en-GB"/>
              </w:rPr>
            </w:pPr>
          </w:p>
        </w:tc>
        <w:tc>
          <w:tcPr>
            <w:tcW w:w="1131" w:type="dxa"/>
            <w:tcBorders>
              <w:top w:val="single" w:sz="4" w:space="0" w:color="auto"/>
            </w:tcBorders>
            <w:shd w:val="clear" w:color="auto" w:fill="C6EFCE"/>
            <w:noWrap/>
          </w:tcPr>
          <w:p w14:paraId="408F0F75"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696" w:type="dxa"/>
            <w:tcBorders>
              <w:top w:val="single" w:sz="4" w:space="0" w:color="auto"/>
            </w:tcBorders>
            <w:shd w:val="clear" w:color="auto" w:fill="C6EFCE"/>
            <w:noWrap/>
          </w:tcPr>
          <w:p w14:paraId="4B50E108"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Покани за представяне на предложения за енергийно ефективно обновяване на нежилищни сгради</w:t>
            </w:r>
          </w:p>
        </w:tc>
        <w:tc>
          <w:tcPr>
            <w:tcW w:w="1414" w:type="dxa"/>
            <w:tcBorders>
              <w:top w:val="single" w:sz="4" w:space="0" w:color="auto"/>
            </w:tcBorders>
            <w:shd w:val="clear" w:color="auto" w:fill="C6EFCE"/>
            <w:noWrap/>
          </w:tcPr>
          <w:p w14:paraId="78D5CE76"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Публикуване на спецификации на покани за представяне на предложения № 1 (обществени сгради) и покана № 2 (сгради в производството, търговията и услугите) </w:t>
            </w:r>
          </w:p>
        </w:tc>
        <w:tc>
          <w:tcPr>
            <w:tcW w:w="1151" w:type="dxa"/>
            <w:tcBorders>
              <w:top w:val="single" w:sz="4" w:space="0" w:color="auto"/>
            </w:tcBorders>
            <w:shd w:val="clear" w:color="auto" w:fill="C6EFCE"/>
            <w:noWrap/>
          </w:tcPr>
          <w:p w14:paraId="3D5E8DE9" w14:textId="77777777" w:rsidR="008B0F39" w:rsidRPr="008A0F8A" w:rsidRDefault="008B0F39" w:rsidP="0066695B">
            <w:pPr>
              <w:spacing w:after="0" w:line="240" w:lineRule="auto"/>
              <w:rPr>
                <w:rFonts w:ascii="Times New Roman" w:eastAsia="Times New Roman" w:hAnsi="Times New Roman" w:cs="Times New Roman"/>
                <w:noProof/>
                <w:color w:val="006100"/>
                <w:sz w:val="20"/>
                <w:szCs w:val="20"/>
                <w:lang w:val="ru-RU" w:eastAsia="en-GB"/>
              </w:rPr>
            </w:pPr>
          </w:p>
        </w:tc>
        <w:tc>
          <w:tcPr>
            <w:tcW w:w="1275" w:type="dxa"/>
            <w:tcBorders>
              <w:top w:val="single" w:sz="4" w:space="0" w:color="auto"/>
            </w:tcBorders>
            <w:shd w:val="clear" w:color="auto" w:fill="C6EFCE"/>
            <w:noWrap/>
          </w:tcPr>
          <w:p w14:paraId="6F770606" w14:textId="77777777" w:rsidR="008B0F39" w:rsidRPr="008A0F8A" w:rsidRDefault="008B0F39" w:rsidP="0066695B">
            <w:pPr>
              <w:spacing w:after="0" w:line="240" w:lineRule="auto"/>
              <w:rPr>
                <w:rFonts w:ascii="Times New Roman" w:eastAsia="Times New Roman" w:hAnsi="Times New Roman" w:cs="Times New Roman"/>
                <w:noProof/>
                <w:color w:val="006100"/>
                <w:sz w:val="20"/>
                <w:szCs w:val="20"/>
                <w:lang w:val="ru-RU" w:eastAsia="en-GB"/>
              </w:rPr>
            </w:pPr>
          </w:p>
        </w:tc>
        <w:tc>
          <w:tcPr>
            <w:tcW w:w="1134" w:type="dxa"/>
            <w:tcBorders>
              <w:top w:val="single" w:sz="4" w:space="0" w:color="auto"/>
            </w:tcBorders>
            <w:shd w:val="clear" w:color="auto" w:fill="C6EFCE"/>
            <w:noWrap/>
          </w:tcPr>
          <w:p w14:paraId="442F00FA" w14:textId="77777777" w:rsidR="008B0F39" w:rsidRPr="008A0F8A" w:rsidRDefault="008B0F39" w:rsidP="0066695B">
            <w:pPr>
              <w:spacing w:after="0" w:line="240" w:lineRule="auto"/>
              <w:rPr>
                <w:rFonts w:ascii="Times New Roman" w:eastAsia="Times New Roman" w:hAnsi="Times New Roman" w:cs="Times New Roman"/>
                <w:noProof/>
                <w:color w:val="006100"/>
                <w:sz w:val="20"/>
                <w:szCs w:val="20"/>
                <w:lang w:val="ru-RU" w:eastAsia="en-GB"/>
              </w:rPr>
            </w:pPr>
          </w:p>
        </w:tc>
        <w:tc>
          <w:tcPr>
            <w:tcW w:w="851" w:type="dxa"/>
            <w:tcBorders>
              <w:top w:val="single" w:sz="4" w:space="0" w:color="auto"/>
            </w:tcBorders>
            <w:shd w:val="clear" w:color="auto" w:fill="C6EFCE"/>
            <w:noWrap/>
          </w:tcPr>
          <w:p w14:paraId="5A4546C4"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T3</w:t>
            </w:r>
          </w:p>
        </w:tc>
        <w:tc>
          <w:tcPr>
            <w:tcW w:w="709" w:type="dxa"/>
            <w:tcBorders>
              <w:top w:val="single" w:sz="4" w:space="0" w:color="auto"/>
            </w:tcBorders>
            <w:shd w:val="clear" w:color="auto" w:fill="C6EFCE"/>
            <w:noWrap/>
          </w:tcPr>
          <w:p w14:paraId="2EB8C624"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2022</w:t>
            </w:r>
          </w:p>
        </w:tc>
        <w:tc>
          <w:tcPr>
            <w:tcW w:w="3772" w:type="dxa"/>
            <w:tcBorders>
              <w:top w:val="single" w:sz="4" w:space="0" w:color="auto"/>
            </w:tcBorders>
            <w:shd w:val="clear" w:color="auto" w:fill="C6EFCE"/>
            <w:noWrap/>
          </w:tcPr>
          <w:p w14:paraId="01960D00" w14:textId="0A724622"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Следните покани за представяне на предложения се публикуват от Министерството на регионалното развитие и благоустройството за енергийно-ефективното обновяване на жилищните сгради:</w:t>
            </w:r>
          </w:p>
          <w:p w14:paraId="747D7C22" w14:textId="77777777" w:rsidR="008B0F39" w:rsidRPr="00491076" w:rsidRDefault="008B0F39" w:rsidP="008B0F39">
            <w:pPr>
              <w:pStyle w:val="ListParagraph"/>
              <w:numPr>
                <w:ilvl w:val="0"/>
                <w:numId w:val="27"/>
              </w:numPr>
              <w:spacing w:after="0"/>
              <w:rPr>
                <w:rFonts w:ascii="Times New Roman" w:hAnsi="Times New Roman" w:cs="Times New Roman"/>
                <w:noProof/>
                <w:color w:val="006100"/>
                <w:sz w:val="20"/>
                <w:szCs w:val="20"/>
              </w:rPr>
            </w:pPr>
            <w:r>
              <w:rPr>
                <w:rFonts w:ascii="Times New Roman" w:hAnsi="Times New Roman"/>
                <w:noProof/>
                <w:color w:val="006100"/>
                <w:sz w:val="20"/>
              </w:rPr>
              <w:t>покана за обществени сгради;</w:t>
            </w:r>
          </w:p>
          <w:p w14:paraId="0D101AF8" w14:textId="61825C4C" w:rsidR="008B0F39" w:rsidRPr="00491076" w:rsidRDefault="008B0F39" w:rsidP="008B0F39">
            <w:pPr>
              <w:pStyle w:val="ListParagraph"/>
              <w:numPr>
                <w:ilvl w:val="0"/>
                <w:numId w:val="27"/>
              </w:numPr>
              <w:spacing w:after="0"/>
              <w:rPr>
                <w:rFonts w:ascii="Times New Roman" w:hAnsi="Times New Roman" w:cs="Times New Roman"/>
                <w:noProof/>
                <w:color w:val="006100"/>
                <w:sz w:val="20"/>
                <w:szCs w:val="20"/>
              </w:rPr>
            </w:pPr>
            <w:r>
              <w:rPr>
                <w:rFonts w:ascii="Times New Roman" w:hAnsi="Times New Roman"/>
                <w:noProof/>
                <w:color w:val="006100"/>
                <w:sz w:val="20"/>
              </w:rPr>
              <w:t>покана за сгради в производството, търговията и услугите.</w:t>
            </w:r>
          </w:p>
          <w:p w14:paraId="3DE7496D" w14:textId="77777777" w:rsidR="008B0F39" w:rsidRPr="008A0F8A" w:rsidRDefault="008B0F39" w:rsidP="0066695B">
            <w:pPr>
              <w:spacing w:after="0" w:line="240" w:lineRule="auto"/>
              <w:rPr>
                <w:rFonts w:ascii="Times New Roman" w:eastAsia="Times New Roman" w:hAnsi="Times New Roman" w:cs="Times New Roman"/>
                <w:noProof/>
                <w:color w:val="006100"/>
                <w:sz w:val="20"/>
                <w:szCs w:val="20"/>
                <w:lang w:val="ru-RU" w:eastAsia="en-GB"/>
              </w:rPr>
            </w:pPr>
          </w:p>
        </w:tc>
      </w:tr>
      <w:tr w:rsidR="008E16C0" w:rsidRPr="005241FC" w14:paraId="133C80E8" w14:textId="77777777" w:rsidTr="008E16C0">
        <w:trPr>
          <w:trHeight w:val="309"/>
        </w:trPr>
        <w:tc>
          <w:tcPr>
            <w:tcW w:w="681" w:type="dxa"/>
            <w:shd w:val="clear" w:color="auto" w:fill="C6EFCE"/>
            <w:noWrap/>
          </w:tcPr>
          <w:p w14:paraId="1B90E57A" w14:textId="5AB387E8" w:rsidR="008B0F39" w:rsidRPr="00491076" w:rsidRDefault="000E517E"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73</w:t>
            </w:r>
          </w:p>
        </w:tc>
        <w:tc>
          <w:tcPr>
            <w:tcW w:w="1837" w:type="dxa"/>
            <w:shd w:val="clear" w:color="auto" w:fill="C6EFCE"/>
            <w:noWrap/>
          </w:tcPr>
          <w:p w14:paraId="013DF9D8" w14:textId="77777777" w:rsidR="00183158" w:rsidRPr="00491076" w:rsidRDefault="008B0F39" w:rsidP="0066695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C4.I1: </w:t>
            </w:r>
          </w:p>
          <w:p w14:paraId="20C028E7" w14:textId="5B0F9E6F" w:rsidR="008B0F39" w:rsidRPr="00491076" w:rsidRDefault="008B0F39" w:rsidP="0066695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Подкрепа за обновяване на сградния фонд </w:t>
            </w:r>
          </w:p>
          <w:p w14:paraId="06EDE683" w14:textId="77777777" w:rsidR="008B0F39" w:rsidRPr="008A0F8A" w:rsidRDefault="008B0F39" w:rsidP="0066695B">
            <w:pPr>
              <w:spacing w:after="0" w:line="240" w:lineRule="auto"/>
              <w:rPr>
                <w:rFonts w:ascii="Times New Roman" w:hAnsi="Times New Roman" w:cs="Times New Roman"/>
                <w:noProof/>
                <w:color w:val="006100"/>
                <w:sz w:val="20"/>
                <w:szCs w:val="20"/>
                <w:lang w:val="ru-RU"/>
              </w:rPr>
            </w:pPr>
          </w:p>
          <w:p w14:paraId="7613360E" w14:textId="15F2653A" w:rsidR="008B0F39" w:rsidRPr="00491076" w:rsidRDefault="008B0F39" w:rsidP="0066695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Подмярка 2: Обновяване на нежилищни сгради, включително обществени сгради и </w:t>
            </w:r>
          </w:p>
          <w:p w14:paraId="58C50015" w14:textId="77777777" w:rsidR="008B0F39" w:rsidRPr="00491076" w:rsidRDefault="008B0F39" w:rsidP="0066695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Подмярка 3: Обновяване на нежилищни сгради в производството, търговията и услугите, както и на сгради от туристическия сектор</w:t>
            </w:r>
          </w:p>
          <w:p w14:paraId="18A0F7E7" w14:textId="77777777" w:rsidR="008B0F39" w:rsidRPr="008A0F8A" w:rsidRDefault="008B0F39" w:rsidP="0066695B">
            <w:pPr>
              <w:spacing w:after="0" w:line="240" w:lineRule="auto"/>
              <w:rPr>
                <w:rFonts w:ascii="Times New Roman" w:hAnsi="Times New Roman" w:cs="Times New Roman"/>
                <w:noProof/>
                <w:color w:val="006100"/>
                <w:sz w:val="20"/>
                <w:szCs w:val="20"/>
                <w:lang w:val="ru-RU"/>
              </w:rPr>
            </w:pPr>
          </w:p>
        </w:tc>
        <w:tc>
          <w:tcPr>
            <w:tcW w:w="1131" w:type="dxa"/>
            <w:shd w:val="clear" w:color="auto" w:fill="C6EFCE"/>
            <w:noWrap/>
          </w:tcPr>
          <w:p w14:paraId="72531D53"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696" w:type="dxa"/>
            <w:shd w:val="clear" w:color="auto" w:fill="C6EFCE"/>
            <w:noWrap/>
          </w:tcPr>
          <w:p w14:paraId="7998F322"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Подписване на договори за енергийно-ефективно обновяване на нежилищни сгради</w:t>
            </w:r>
          </w:p>
        </w:tc>
        <w:tc>
          <w:tcPr>
            <w:tcW w:w="1414" w:type="dxa"/>
            <w:shd w:val="clear" w:color="auto" w:fill="C6EFCE"/>
            <w:noWrap/>
          </w:tcPr>
          <w:p w14:paraId="7BB45476"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Подписани договори от Министерството на регионалното развитие и благоустройството и публични институции/собственици на сгради</w:t>
            </w:r>
          </w:p>
        </w:tc>
        <w:tc>
          <w:tcPr>
            <w:tcW w:w="1151" w:type="dxa"/>
            <w:shd w:val="clear" w:color="auto" w:fill="C6EFCE"/>
            <w:noWrap/>
          </w:tcPr>
          <w:p w14:paraId="50192F79" w14:textId="77777777" w:rsidR="008B0F39" w:rsidRPr="008A0F8A" w:rsidRDefault="008B0F39" w:rsidP="0066695B">
            <w:pPr>
              <w:spacing w:after="0" w:line="240" w:lineRule="auto"/>
              <w:rPr>
                <w:rFonts w:ascii="Times New Roman" w:eastAsia="Times New Roman" w:hAnsi="Times New Roman" w:cs="Times New Roman"/>
                <w:noProof/>
                <w:color w:val="006100"/>
                <w:sz w:val="20"/>
                <w:szCs w:val="20"/>
                <w:lang w:val="ru-RU" w:eastAsia="en-GB"/>
              </w:rPr>
            </w:pPr>
          </w:p>
        </w:tc>
        <w:tc>
          <w:tcPr>
            <w:tcW w:w="1275" w:type="dxa"/>
            <w:shd w:val="clear" w:color="auto" w:fill="C6EFCE"/>
            <w:noWrap/>
          </w:tcPr>
          <w:p w14:paraId="713F117E" w14:textId="77777777" w:rsidR="008B0F39" w:rsidRPr="008A0F8A" w:rsidRDefault="008B0F39" w:rsidP="0066695B">
            <w:pPr>
              <w:spacing w:after="0" w:line="240" w:lineRule="auto"/>
              <w:rPr>
                <w:rFonts w:ascii="Times New Roman" w:eastAsia="Times New Roman" w:hAnsi="Times New Roman" w:cs="Times New Roman"/>
                <w:noProof/>
                <w:color w:val="006100"/>
                <w:sz w:val="20"/>
                <w:szCs w:val="20"/>
                <w:lang w:val="ru-RU" w:eastAsia="en-GB"/>
              </w:rPr>
            </w:pPr>
          </w:p>
        </w:tc>
        <w:tc>
          <w:tcPr>
            <w:tcW w:w="1134" w:type="dxa"/>
            <w:shd w:val="clear" w:color="auto" w:fill="C6EFCE"/>
            <w:noWrap/>
          </w:tcPr>
          <w:p w14:paraId="1B8EF521" w14:textId="77777777" w:rsidR="008B0F39" w:rsidRPr="008A0F8A" w:rsidRDefault="008B0F39" w:rsidP="0066695B">
            <w:pPr>
              <w:spacing w:after="0" w:line="240" w:lineRule="auto"/>
              <w:rPr>
                <w:rFonts w:ascii="Times New Roman" w:eastAsia="Times New Roman" w:hAnsi="Times New Roman" w:cs="Times New Roman"/>
                <w:noProof/>
                <w:color w:val="006100"/>
                <w:sz w:val="20"/>
                <w:szCs w:val="20"/>
                <w:lang w:val="ru-RU" w:eastAsia="en-GB"/>
              </w:rPr>
            </w:pPr>
          </w:p>
        </w:tc>
        <w:tc>
          <w:tcPr>
            <w:tcW w:w="851" w:type="dxa"/>
            <w:shd w:val="clear" w:color="auto" w:fill="C6EFCE"/>
            <w:noWrap/>
          </w:tcPr>
          <w:p w14:paraId="565EAB42"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T4</w:t>
            </w:r>
          </w:p>
        </w:tc>
        <w:tc>
          <w:tcPr>
            <w:tcW w:w="709" w:type="dxa"/>
            <w:shd w:val="clear" w:color="auto" w:fill="C6EFCE"/>
            <w:noWrap/>
          </w:tcPr>
          <w:p w14:paraId="08DCECA1"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2023</w:t>
            </w:r>
          </w:p>
        </w:tc>
        <w:tc>
          <w:tcPr>
            <w:tcW w:w="3772" w:type="dxa"/>
            <w:shd w:val="clear" w:color="auto" w:fill="C6EFCE"/>
            <w:noWrap/>
          </w:tcPr>
          <w:p w14:paraId="1E6E9450" w14:textId="62A43BCC" w:rsidR="008B0F39" w:rsidRPr="00491076" w:rsidRDefault="3A7AB128"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Всички договори по схемата се изготвят в съответствие с условията на ключови етапи 68 и 69.</w:t>
            </w:r>
          </w:p>
        </w:tc>
      </w:tr>
      <w:tr w:rsidR="008E16C0" w:rsidRPr="005241FC" w14:paraId="74090005" w14:textId="77777777" w:rsidTr="008E16C0">
        <w:trPr>
          <w:trHeight w:val="309"/>
        </w:trPr>
        <w:tc>
          <w:tcPr>
            <w:tcW w:w="681" w:type="dxa"/>
            <w:shd w:val="clear" w:color="auto" w:fill="C6EFCE"/>
            <w:noWrap/>
          </w:tcPr>
          <w:p w14:paraId="1329EE78" w14:textId="420153E5" w:rsidR="008B0F39" w:rsidRPr="00491076" w:rsidRDefault="000E517E"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74</w:t>
            </w:r>
          </w:p>
        </w:tc>
        <w:tc>
          <w:tcPr>
            <w:tcW w:w="1837" w:type="dxa"/>
            <w:shd w:val="clear" w:color="auto" w:fill="C6EFCE"/>
            <w:noWrap/>
          </w:tcPr>
          <w:p w14:paraId="490F7727" w14:textId="77777777" w:rsidR="00183158" w:rsidRPr="00491076" w:rsidRDefault="008B0F39" w:rsidP="0066695B">
            <w:pPr>
              <w:spacing w:after="0" w:line="240" w:lineRule="auto"/>
              <w:rPr>
                <w:rFonts w:ascii="Times New Roman" w:hAnsi="Times New Roman" w:cs="Times New Roman"/>
                <w:noProof/>
                <w:sz w:val="20"/>
                <w:szCs w:val="20"/>
              </w:rPr>
            </w:pPr>
            <w:r>
              <w:rPr>
                <w:rFonts w:ascii="Times New Roman" w:hAnsi="Times New Roman"/>
                <w:noProof/>
                <w:color w:val="006100"/>
                <w:sz w:val="20"/>
              </w:rPr>
              <w:t>C4.I1:</w:t>
            </w:r>
            <w:r>
              <w:rPr>
                <w:rFonts w:ascii="Times New Roman" w:hAnsi="Times New Roman"/>
                <w:noProof/>
                <w:sz w:val="20"/>
              </w:rPr>
              <w:t xml:space="preserve"> </w:t>
            </w:r>
          </w:p>
          <w:p w14:paraId="4AAE2F2F" w14:textId="75368EC1" w:rsidR="008B0F39" w:rsidRPr="00491076" w:rsidRDefault="008B0F39" w:rsidP="0066695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Подкрепа за обновяване на сградния фонд </w:t>
            </w:r>
          </w:p>
          <w:p w14:paraId="175503C1" w14:textId="77777777" w:rsidR="008B0F39" w:rsidRPr="008A0F8A" w:rsidRDefault="008B0F39" w:rsidP="0066695B">
            <w:pPr>
              <w:spacing w:after="0" w:line="240" w:lineRule="auto"/>
              <w:rPr>
                <w:rFonts w:ascii="Times New Roman" w:hAnsi="Times New Roman" w:cs="Times New Roman"/>
                <w:noProof/>
                <w:color w:val="006100"/>
                <w:sz w:val="20"/>
                <w:szCs w:val="20"/>
                <w:lang w:val="ru-RU"/>
              </w:rPr>
            </w:pPr>
          </w:p>
          <w:p w14:paraId="7B9E5052" w14:textId="6087BEB8" w:rsidR="008B0F39" w:rsidRPr="00491076" w:rsidRDefault="47BDAFE8" w:rsidP="71F3F1F6">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Подмярка 2: Обновяване на нежилищни сгради, включително обществени сгради</w:t>
            </w:r>
          </w:p>
        </w:tc>
        <w:tc>
          <w:tcPr>
            <w:tcW w:w="1131" w:type="dxa"/>
            <w:shd w:val="clear" w:color="auto" w:fill="C6EFCE"/>
            <w:noWrap/>
          </w:tcPr>
          <w:p w14:paraId="037C6336"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Цел</w:t>
            </w:r>
          </w:p>
        </w:tc>
        <w:tc>
          <w:tcPr>
            <w:tcW w:w="1696" w:type="dxa"/>
            <w:shd w:val="clear" w:color="auto" w:fill="C6EFCE"/>
            <w:noWrap/>
          </w:tcPr>
          <w:p w14:paraId="55F6C730" w14:textId="701BAF01" w:rsidR="008B0F39" w:rsidRPr="00491076" w:rsidRDefault="47BDAFE8" w:rsidP="71F3F1F6">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Завършено енергийно-ефективно обновяване на нежилищни сгради — обновена площ на обществени сгради (подмярка 2)</w:t>
            </w:r>
          </w:p>
        </w:tc>
        <w:tc>
          <w:tcPr>
            <w:tcW w:w="1414" w:type="dxa"/>
            <w:shd w:val="clear" w:color="auto" w:fill="C6EFCE"/>
            <w:noWrap/>
          </w:tcPr>
          <w:p w14:paraId="77445B98" w14:textId="77777777" w:rsidR="008B0F39" w:rsidRPr="008A0F8A" w:rsidRDefault="008B0F39" w:rsidP="0066695B">
            <w:pPr>
              <w:spacing w:after="0" w:line="240" w:lineRule="auto"/>
              <w:rPr>
                <w:rFonts w:ascii="Times New Roman" w:eastAsia="Times New Roman" w:hAnsi="Times New Roman" w:cs="Times New Roman"/>
                <w:noProof/>
                <w:color w:val="006100"/>
                <w:sz w:val="20"/>
                <w:szCs w:val="20"/>
                <w:lang w:val="ru-RU" w:eastAsia="en-GB"/>
              </w:rPr>
            </w:pPr>
          </w:p>
        </w:tc>
        <w:tc>
          <w:tcPr>
            <w:tcW w:w="1151" w:type="dxa"/>
            <w:shd w:val="clear" w:color="auto" w:fill="C6EFCE"/>
            <w:noWrap/>
          </w:tcPr>
          <w:p w14:paraId="147ACA49" w14:textId="0614A789" w:rsidR="008B0F39" w:rsidRPr="00491076" w:rsidRDefault="1ECD9840" w:rsidP="71F3F1F6">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Обновена брутна застроена площ на обществените сгради (m²)</w:t>
            </w:r>
          </w:p>
        </w:tc>
        <w:tc>
          <w:tcPr>
            <w:tcW w:w="1275" w:type="dxa"/>
            <w:shd w:val="clear" w:color="auto" w:fill="C6EFCE"/>
            <w:noWrap/>
          </w:tcPr>
          <w:p w14:paraId="45AF13EF"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0</w:t>
            </w:r>
          </w:p>
        </w:tc>
        <w:tc>
          <w:tcPr>
            <w:tcW w:w="1134" w:type="dxa"/>
            <w:shd w:val="clear" w:color="auto" w:fill="C6EFCE"/>
            <w:noWrap/>
          </w:tcPr>
          <w:p w14:paraId="689C8140" w14:textId="0365FE7D" w:rsidR="008B0F39" w:rsidRPr="00491076" w:rsidRDefault="4A654FD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1,4 милиона</w:t>
            </w:r>
            <w:r>
              <w:rPr>
                <w:rFonts w:ascii="Times New Roman" w:hAnsi="Times New Roman"/>
                <w:noProof/>
                <w:sz w:val="20"/>
              </w:rPr>
              <w:t> </w:t>
            </w:r>
          </w:p>
        </w:tc>
        <w:tc>
          <w:tcPr>
            <w:tcW w:w="851" w:type="dxa"/>
            <w:shd w:val="clear" w:color="auto" w:fill="C6EFCE"/>
            <w:noWrap/>
          </w:tcPr>
          <w:p w14:paraId="571774C0"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T2</w:t>
            </w:r>
          </w:p>
        </w:tc>
        <w:tc>
          <w:tcPr>
            <w:tcW w:w="709" w:type="dxa"/>
            <w:shd w:val="clear" w:color="auto" w:fill="C6EFCE"/>
            <w:noWrap/>
          </w:tcPr>
          <w:p w14:paraId="39E6D74C"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2026</w:t>
            </w:r>
          </w:p>
        </w:tc>
        <w:tc>
          <w:tcPr>
            <w:tcW w:w="3772" w:type="dxa"/>
            <w:shd w:val="clear" w:color="auto" w:fill="C6EFCE"/>
            <w:noWrap/>
          </w:tcPr>
          <w:p w14:paraId="67DE4783" w14:textId="6EEC8709" w:rsidR="008B0F39" w:rsidRPr="00491076" w:rsidRDefault="3B30133D" w:rsidP="0066695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Завършване на енергийно-ефективно обновяване на нежилищни сгради в съответствие с условията на ключов етап 73.</w:t>
            </w:r>
          </w:p>
          <w:p w14:paraId="556A62AD" w14:textId="77777777" w:rsidR="008B0F39" w:rsidRPr="008A0F8A" w:rsidRDefault="008B0F39" w:rsidP="0066695B">
            <w:pPr>
              <w:spacing w:after="0" w:line="240" w:lineRule="auto"/>
              <w:rPr>
                <w:rFonts w:ascii="Times New Roman" w:hAnsi="Times New Roman" w:cs="Times New Roman"/>
                <w:noProof/>
                <w:color w:val="006100"/>
                <w:sz w:val="20"/>
                <w:szCs w:val="20"/>
                <w:lang w:val="ru-RU"/>
              </w:rPr>
            </w:pPr>
          </w:p>
          <w:p w14:paraId="6D586AE0"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Обновяването трябва да намали потреблението на първична енергия средно с най-малко 30 %.</w:t>
            </w:r>
          </w:p>
        </w:tc>
      </w:tr>
      <w:tr w:rsidR="008E16C0" w:rsidRPr="005241FC" w14:paraId="32DDBD8F" w14:textId="77777777" w:rsidTr="008E16C0">
        <w:trPr>
          <w:trHeight w:val="309"/>
        </w:trPr>
        <w:tc>
          <w:tcPr>
            <w:tcW w:w="681" w:type="dxa"/>
            <w:shd w:val="clear" w:color="auto" w:fill="C6EFCE"/>
            <w:noWrap/>
          </w:tcPr>
          <w:p w14:paraId="1852A858" w14:textId="6320A25F" w:rsidR="008B0F39" w:rsidRPr="00491076" w:rsidRDefault="000E517E"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75</w:t>
            </w:r>
          </w:p>
        </w:tc>
        <w:tc>
          <w:tcPr>
            <w:tcW w:w="1837" w:type="dxa"/>
            <w:shd w:val="clear" w:color="auto" w:fill="C6EFCE"/>
            <w:noWrap/>
          </w:tcPr>
          <w:p w14:paraId="1AF2B3D2" w14:textId="77777777" w:rsidR="00183158" w:rsidRPr="00491076" w:rsidRDefault="008B0F39" w:rsidP="0066695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C4.I1: </w:t>
            </w:r>
          </w:p>
          <w:p w14:paraId="3610FA6E" w14:textId="1B655ECE" w:rsidR="008B0F39" w:rsidRPr="00491076" w:rsidRDefault="008B0F39" w:rsidP="0066695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Подкрепа за обновяване на сградния фонд </w:t>
            </w:r>
          </w:p>
          <w:p w14:paraId="44642C39" w14:textId="77777777" w:rsidR="008B0F39" w:rsidRPr="008A0F8A" w:rsidRDefault="008B0F39" w:rsidP="0066695B">
            <w:pPr>
              <w:spacing w:after="0" w:line="240" w:lineRule="auto"/>
              <w:rPr>
                <w:rFonts w:ascii="Times New Roman" w:hAnsi="Times New Roman" w:cs="Times New Roman"/>
                <w:noProof/>
                <w:color w:val="006100"/>
                <w:sz w:val="20"/>
                <w:szCs w:val="20"/>
                <w:lang w:val="ru-RU"/>
              </w:rPr>
            </w:pPr>
          </w:p>
          <w:p w14:paraId="0536C546" w14:textId="67E7B728" w:rsidR="008B0F39" w:rsidRPr="00491076" w:rsidRDefault="008B0F39" w:rsidP="0066695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Подмярка 2: Обновяване на нежилищни сгради, включително обществени сгради и подмярка 3: Обновяване на нежилищни сгради в производството, търговията и услугите, както и на сгради от туристическия сектор</w:t>
            </w:r>
          </w:p>
          <w:p w14:paraId="213AC461" w14:textId="77777777" w:rsidR="008B0F39" w:rsidRPr="008A0F8A" w:rsidRDefault="008B0F39" w:rsidP="0066695B">
            <w:pPr>
              <w:spacing w:after="0" w:line="240" w:lineRule="auto"/>
              <w:rPr>
                <w:rFonts w:ascii="Times New Roman" w:eastAsia="Times New Roman" w:hAnsi="Times New Roman" w:cs="Times New Roman"/>
                <w:noProof/>
                <w:color w:val="006100"/>
                <w:sz w:val="20"/>
                <w:szCs w:val="20"/>
                <w:lang w:val="ru-RU" w:eastAsia="en-GB"/>
              </w:rPr>
            </w:pPr>
          </w:p>
        </w:tc>
        <w:tc>
          <w:tcPr>
            <w:tcW w:w="1131" w:type="dxa"/>
            <w:shd w:val="clear" w:color="auto" w:fill="C6EFCE"/>
            <w:noWrap/>
          </w:tcPr>
          <w:p w14:paraId="668C8EAF"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Цел</w:t>
            </w:r>
          </w:p>
        </w:tc>
        <w:tc>
          <w:tcPr>
            <w:tcW w:w="1696" w:type="dxa"/>
            <w:shd w:val="clear" w:color="auto" w:fill="C6EFCE"/>
            <w:noWrap/>
          </w:tcPr>
          <w:p w14:paraId="394ABA6C"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Завършено енергийно-ефективно обновяване на нежилищни сгради — брой на обновените сгради (подмерки 2 и 3)</w:t>
            </w:r>
          </w:p>
        </w:tc>
        <w:tc>
          <w:tcPr>
            <w:tcW w:w="1414" w:type="dxa"/>
            <w:shd w:val="clear" w:color="auto" w:fill="C6EFCE"/>
            <w:noWrap/>
          </w:tcPr>
          <w:p w14:paraId="02DE9BD4" w14:textId="77777777" w:rsidR="008B0F39" w:rsidRPr="008A0F8A" w:rsidRDefault="008B0F39" w:rsidP="0066695B">
            <w:pPr>
              <w:spacing w:after="0" w:line="240" w:lineRule="auto"/>
              <w:rPr>
                <w:rFonts w:ascii="Times New Roman" w:eastAsia="Times New Roman" w:hAnsi="Times New Roman" w:cs="Times New Roman"/>
                <w:noProof/>
                <w:color w:val="006100"/>
                <w:sz w:val="20"/>
                <w:szCs w:val="20"/>
                <w:lang w:val="ru-RU" w:eastAsia="en-GB"/>
              </w:rPr>
            </w:pPr>
          </w:p>
        </w:tc>
        <w:tc>
          <w:tcPr>
            <w:tcW w:w="1151" w:type="dxa"/>
            <w:shd w:val="clear" w:color="auto" w:fill="C6EFCE"/>
            <w:noWrap/>
          </w:tcPr>
          <w:p w14:paraId="310CB848"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Брой </w:t>
            </w:r>
          </w:p>
        </w:tc>
        <w:tc>
          <w:tcPr>
            <w:tcW w:w="1275" w:type="dxa"/>
            <w:shd w:val="clear" w:color="auto" w:fill="C6EFCE"/>
            <w:noWrap/>
          </w:tcPr>
          <w:p w14:paraId="500678B3"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0</w:t>
            </w:r>
          </w:p>
        </w:tc>
        <w:tc>
          <w:tcPr>
            <w:tcW w:w="1134" w:type="dxa"/>
            <w:shd w:val="clear" w:color="auto" w:fill="C6EFCE"/>
            <w:noWrap/>
          </w:tcPr>
          <w:p w14:paraId="23515401" w14:textId="1A6BCCD3" w:rsidR="008B0F39" w:rsidRPr="00491076" w:rsidRDefault="4E5392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742</w:t>
            </w:r>
          </w:p>
        </w:tc>
        <w:tc>
          <w:tcPr>
            <w:tcW w:w="851" w:type="dxa"/>
            <w:shd w:val="clear" w:color="auto" w:fill="C6EFCE"/>
            <w:noWrap/>
          </w:tcPr>
          <w:p w14:paraId="02107033"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T2</w:t>
            </w:r>
          </w:p>
        </w:tc>
        <w:tc>
          <w:tcPr>
            <w:tcW w:w="709" w:type="dxa"/>
            <w:shd w:val="clear" w:color="auto" w:fill="C6EFCE"/>
            <w:noWrap/>
          </w:tcPr>
          <w:p w14:paraId="4BAD1318"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2026</w:t>
            </w:r>
          </w:p>
        </w:tc>
        <w:tc>
          <w:tcPr>
            <w:tcW w:w="3772" w:type="dxa"/>
            <w:shd w:val="clear" w:color="auto" w:fill="C6EFCE"/>
            <w:noWrap/>
          </w:tcPr>
          <w:p w14:paraId="49C24CE6" w14:textId="7BB2FEE7" w:rsidR="008B0F39" w:rsidRPr="00491076" w:rsidRDefault="4EBAB738" w:rsidP="0066695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Завършване на енергийно-ефективно обновяване на нежилищни сгради в съответствие с условията на ключов етап 68.</w:t>
            </w:r>
          </w:p>
          <w:p w14:paraId="3E0CE17B" w14:textId="77777777" w:rsidR="008B0F39" w:rsidRPr="008A0F8A" w:rsidRDefault="008B0F39" w:rsidP="0066695B">
            <w:pPr>
              <w:spacing w:after="0" w:line="240" w:lineRule="auto"/>
              <w:rPr>
                <w:rFonts w:ascii="Times New Roman" w:hAnsi="Times New Roman" w:cs="Times New Roman"/>
                <w:noProof/>
                <w:color w:val="006100"/>
                <w:sz w:val="20"/>
                <w:szCs w:val="20"/>
                <w:lang w:val="ru-RU"/>
              </w:rPr>
            </w:pPr>
          </w:p>
          <w:p w14:paraId="0F3301EE"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Обновяването трябва да намали потреблението на първична енергия средно с най-малко 30 %.</w:t>
            </w:r>
          </w:p>
        </w:tc>
      </w:tr>
      <w:tr w:rsidR="008E16C0" w:rsidRPr="005241FC" w14:paraId="76E1D764" w14:textId="77777777" w:rsidTr="008E16C0">
        <w:trPr>
          <w:trHeight w:val="309"/>
        </w:trPr>
        <w:tc>
          <w:tcPr>
            <w:tcW w:w="681" w:type="dxa"/>
            <w:shd w:val="clear" w:color="auto" w:fill="C6EFCE"/>
            <w:noWrap/>
          </w:tcPr>
          <w:p w14:paraId="7FBDF654" w14:textId="190BD6EF" w:rsidR="008B0F39" w:rsidRPr="00491076" w:rsidRDefault="000E517E"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76</w:t>
            </w:r>
          </w:p>
        </w:tc>
        <w:tc>
          <w:tcPr>
            <w:tcW w:w="1837" w:type="dxa"/>
            <w:shd w:val="clear" w:color="auto" w:fill="C6EFCE"/>
            <w:noWrap/>
          </w:tcPr>
          <w:p w14:paraId="5611BA0E" w14:textId="77777777" w:rsidR="00183158" w:rsidRPr="00491076" w:rsidRDefault="008B0F39" w:rsidP="0073609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C4.I2: </w:t>
            </w:r>
          </w:p>
          <w:p w14:paraId="359FFD7C" w14:textId="3B16002E" w:rsidR="008B0F39" w:rsidRPr="00491076" w:rsidRDefault="008B0F39" w:rsidP="0073609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Подкрепа за енергия от възобновяеми източници за домакинствата </w:t>
            </w:r>
          </w:p>
        </w:tc>
        <w:tc>
          <w:tcPr>
            <w:tcW w:w="1131" w:type="dxa"/>
            <w:shd w:val="clear" w:color="auto" w:fill="C6EFCE"/>
            <w:noWrap/>
          </w:tcPr>
          <w:p w14:paraId="55CC5962"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696" w:type="dxa"/>
            <w:shd w:val="clear" w:color="auto" w:fill="C6EFCE"/>
            <w:noWrap/>
          </w:tcPr>
          <w:p w14:paraId="1B8DEE8D" w14:textId="6754EDAF"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Създаване на национална схема за подпомагане на домакинствата в областта на енергията от възобновяеми източници </w:t>
            </w:r>
          </w:p>
        </w:tc>
        <w:tc>
          <w:tcPr>
            <w:tcW w:w="1414" w:type="dxa"/>
            <w:shd w:val="clear" w:color="auto" w:fill="C6EFCE"/>
            <w:noWrap/>
          </w:tcPr>
          <w:p w14:paraId="2F056AEB"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Публикуване на министерското постановление за установяване на схемата</w:t>
            </w:r>
          </w:p>
        </w:tc>
        <w:tc>
          <w:tcPr>
            <w:tcW w:w="1151" w:type="dxa"/>
            <w:shd w:val="clear" w:color="auto" w:fill="C6EFCE"/>
            <w:noWrap/>
          </w:tcPr>
          <w:p w14:paraId="7DE38F16"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1275" w:type="dxa"/>
            <w:shd w:val="clear" w:color="auto" w:fill="C6EFCE"/>
            <w:noWrap/>
          </w:tcPr>
          <w:p w14:paraId="1DF53768"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1134" w:type="dxa"/>
            <w:shd w:val="clear" w:color="auto" w:fill="C6EFCE"/>
            <w:noWrap/>
          </w:tcPr>
          <w:p w14:paraId="635B405C"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851" w:type="dxa"/>
            <w:shd w:val="clear" w:color="auto" w:fill="C6EFCE"/>
            <w:noWrap/>
          </w:tcPr>
          <w:p w14:paraId="3EC0F060" w14:textId="63C18551"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T4</w:t>
            </w:r>
          </w:p>
        </w:tc>
        <w:tc>
          <w:tcPr>
            <w:tcW w:w="709" w:type="dxa"/>
            <w:shd w:val="clear" w:color="auto" w:fill="C6EFCE"/>
            <w:noWrap/>
          </w:tcPr>
          <w:p w14:paraId="0AD25C62"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2022</w:t>
            </w:r>
          </w:p>
        </w:tc>
        <w:tc>
          <w:tcPr>
            <w:tcW w:w="3772" w:type="dxa"/>
            <w:shd w:val="clear" w:color="auto" w:fill="C6EFCE"/>
            <w:noWrap/>
          </w:tcPr>
          <w:p w14:paraId="432ED658" w14:textId="77777777"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Със схемата се финансира закупуването на най-добро слънчево битово горещо водоснабдяване (БГВ) или фотоволтаични системи до 10 kWp и се осигурява съответствие с техническите насоки за прилагането на принципа за „ненанасяне на значителни вреди“ (2021/C58/01).</w:t>
            </w:r>
          </w:p>
        </w:tc>
      </w:tr>
      <w:tr w:rsidR="008E16C0" w:rsidRPr="005241FC" w14:paraId="50999D92" w14:textId="77777777" w:rsidTr="008E16C0">
        <w:trPr>
          <w:trHeight w:val="309"/>
        </w:trPr>
        <w:tc>
          <w:tcPr>
            <w:tcW w:w="681" w:type="dxa"/>
            <w:shd w:val="clear" w:color="auto" w:fill="C6EFCE"/>
            <w:noWrap/>
          </w:tcPr>
          <w:p w14:paraId="511106F8" w14:textId="12AE1D60" w:rsidR="008B0F39" w:rsidRPr="00491076" w:rsidRDefault="000E517E"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77</w:t>
            </w:r>
          </w:p>
        </w:tc>
        <w:tc>
          <w:tcPr>
            <w:tcW w:w="1837" w:type="dxa"/>
            <w:shd w:val="clear" w:color="auto" w:fill="C6EFCE"/>
            <w:noWrap/>
          </w:tcPr>
          <w:p w14:paraId="70209B8D" w14:textId="77777777" w:rsidR="003B02A1" w:rsidRPr="00491076" w:rsidRDefault="008B0F39" w:rsidP="0073609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C4.I2: </w:t>
            </w:r>
          </w:p>
          <w:p w14:paraId="15454AD0" w14:textId="7D2E3127" w:rsidR="008B0F39" w:rsidRPr="00491076" w:rsidRDefault="008B0F39" w:rsidP="0073609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Подкрепа за енергия от възобновяеми източници за домакинствата </w:t>
            </w:r>
          </w:p>
        </w:tc>
        <w:tc>
          <w:tcPr>
            <w:tcW w:w="1131" w:type="dxa"/>
            <w:shd w:val="clear" w:color="auto" w:fill="C6EFCE"/>
            <w:noWrap/>
          </w:tcPr>
          <w:p w14:paraId="1E53C490"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696" w:type="dxa"/>
            <w:shd w:val="clear" w:color="auto" w:fill="C6EFCE"/>
            <w:noWrap/>
          </w:tcPr>
          <w:p w14:paraId="0EA8883B" w14:textId="12246CB0" w:rsidR="008B0F39" w:rsidRPr="00491076" w:rsidRDefault="008B0F39" w:rsidP="00752F9A">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Подписване на договори за инсталиране на възобновяеми енергийни източници (ВЕИ)</w:t>
            </w:r>
          </w:p>
        </w:tc>
        <w:tc>
          <w:tcPr>
            <w:tcW w:w="1414" w:type="dxa"/>
            <w:shd w:val="clear" w:color="auto" w:fill="C6EFCE"/>
            <w:noWrap/>
          </w:tcPr>
          <w:p w14:paraId="727EF095" w14:textId="1A6A63DF" w:rsidR="008B0F39" w:rsidRPr="00491076" w:rsidRDefault="008B0F39" w:rsidP="00752F9A">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Подписани договори с успелите кандидати</w:t>
            </w:r>
          </w:p>
        </w:tc>
        <w:tc>
          <w:tcPr>
            <w:tcW w:w="1151" w:type="dxa"/>
            <w:shd w:val="clear" w:color="auto" w:fill="C6EFCE"/>
            <w:noWrap/>
          </w:tcPr>
          <w:p w14:paraId="0AE08A54" w14:textId="77777777" w:rsidR="008B0F39" w:rsidRPr="008A0F8A" w:rsidRDefault="008B0F39" w:rsidP="0066695B">
            <w:pPr>
              <w:spacing w:after="0" w:line="240" w:lineRule="auto"/>
              <w:rPr>
                <w:rFonts w:ascii="Times New Roman" w:eastAsia="Times New Roman" w:hAnsi="Times New Roman" w:cs="Times New Roman"/>
                <w:noProof/>
                <w:color w:val="006100"/>
                <w:sz w:val="20"/>
                <w:szCs w:val="20"/>
                <w:lang w:val="ru-RU" w:eastAsia="en-GB"/>
              </w:rPr>
            </w:pPr>
          </w:p>
        </w:tc>
        <w:tc>
          <w:tcPr>
            <w:tcW w:w="1275" w:type="dxa"/>
            <w:shd w:val="clear" w:color="auto" w:fill="C6EFCE"/>
            <w:noWrap/>
          </w:tcPr>
          <w:p w14:paraId="63277847" w14:textId="77777777" w:rsidR="008B0F39" w:rsidRPr="008A0F8A" w:rsidRDefault="008B0F39" w:rsidP="0066695B">
            <w:pPr>
              <w:spacing w:after="0" w:line="240" w:lineRule="auto"/>
              <w:rPr>
                <w:rFonts w:ascii="Times New Roman" w:eastAsia="Times New Roman" w:hAnsi="Times New Roman" w:cs="Times New Roman"/>
                <w:noProof/>
                <w:color w:val="006100"/>
                <w:sz w:val="20"/>
                <w:szCs w:val="20"/>
                <w:lang w:val="ru-RU" w:eastAsia="en-GB"/>
              </w:rPr>
            </w:pPr>
          </w:p>
        </w:tc>
        <w:tc>
          <w:tcPr>
            <w:tcW w:w="1134" w:type="dxa"/>
            <w:shd w:val="clear" w:color="auto" w:fill="C6EFCE"/>
            <w:noWrap/>
          </w:tcPr>
          <w:p w14:paraId="7C3E2BBC" w14:textId="77777777" w:rsidR="008B0F39" w:rsidRPr="008A0F8A" w:rsidRDefault="008B0F39" w:rsidP="0066695B">
            <w:pPr>
              <w:spacing w:after="0" w:line="240" w:lineRule="auto"/>
              <w:rPr>
                <w:rFonts w:ascii="Times New Roman" w:eastAsia="Times New Roman" w:hAnsi="Times New Roman" w:cs="Times New Roman"/>
                <w:noProof/>
                <w:color w:val="006100"/>
                <w:sz w:val="20"/>
                <w:szCs w:val="20"/>
                <w:lang w:val="ru-RU" w:eastAsia="en-GB"/>
              </w:rPr>
            </w:pPr>
          </w:p>
        </w:tc>
        <w:tc>
          <w:tcPr>
            <w:tcW w:w="851" w:type="dxa"/>
            <w:shd w:val="clear" w:color="auto" w:fill="C6EFCE"/>
            <w:noWrap/>
          </w:tcPr>
          <w:p w14:paraId="7820B35F"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T1</w:t>
            </w:r>
          </w:p>
        </w:tc>
        <w:tc>
          <w:tcPr>
            <w:tcW w:w="709" w:type="dxa"/>
            <w:shd w:val="clear" w:color="auto" w:fill="C6EFCE"/>
            <w:noWrap/>
          </w:tcPr>
          <w:p w14:paraId="198E28E4" w14:textId="7E8623DF" w:rsidR="008B0F39" w:rsidRPr="00491076" w:rsidRDefault="008B0F39" w:rsidP="00102BA1">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2024</w:t>
            </w:r>
          </w:p>
        </w:tc>
        <w:tc>
          <w:tcPr>
            <w:tcW w:w="3772" w:type="dxa"/>
            <w:shd w:val="clear" w:color="auto" w:fill="C6EFCE"/>
            <w:noWrap/>
          </w:tcPr>
          <w:p w14:paraId="7DC38386" w14:textId="3BCD0EFA" w:rsidR="008B0F39" w:rsidRPr="00491076" w:rsidRDefault="00D83C64" w:rsidP="007476FA">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С бенефициерите са подписани най-малко 6000 договора за мерки за енергия от възобновяеми източници.</w:t>
            </w:r>
          </w:p>
        </w:tc>
      </w:tr>
      <w:tr w:rsidR="008E16C0" w:rsidRPr="005241FC" w14:paraId="0F35CAC5" w14:textId="77777777" w:rsidTr="008E16C0">
        <w:trPr>
          <w:trHeight w:val="309"/>
        </w:trPr>
        <w:tc>
          <w:tcPr>
            <w:tcW w:w="681" w:type="dxa"/>
            <w:shd w:val="clear" w:color="auto" w:fill="C6EFCE"/>
            <w:noWrap/>
          </w:tcPr>
          <w:p w14:paraId="303EC77A" w14:textId="0CC21B76" w:rsidR="008B0F39" w:rsidRPr="00491076" w:rsidRDefault="000E517E"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78</w:t>
            </w:r>
          </w:p>
        </w:tc>
        <w:tc>
          <w:tcPr>
            <w:tcW w:w="1837" w:type="dxa"/>
            <w:shd w:val="clear" w:color="auto" w:fill="C6EFCE"/>
            <w:noWrap/>
          </w:tcPr>
          <w:p w14:paraId="413AE317" w14:textId="77777777" w:rsidR="003B02A1" w:rsidRPr="00491076" w:rsidRDefault="008B0F39" w:rsidP="0073609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C4.I2: </w:t>
            </w:r>
          </w:p>
          <w:p w14:paraId="73775A33" w14:textId="3FE4A280" w:rsidR="008B0F39" w:rsidRPr="00491076" w:rsidRDefault="008B0F39" w:rsidP="0073609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Подкрепа за енергия от възобновяеми източници за домакинствата </w:t>
            </w:r>
          </w:p>
        </w:tc>
        <w:tc>
          <w:tcPr>
            <w:tcW w:w="1131" w:type="dxa"/>
            <w:shd w:val="clear" w:color="auto" w:fill="C6EFCE"/>
            <w:noWrap/>
          </w:tcPr>
          <w:p w14:paraId="44CC5049"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Цел</w:t>
            </w:r>
          </w:p>
        </w:tc>
        <w:tc>
          <w:tcPr>
            <w:tcW w:w="1696" w:type="dxa"/>
            <w:shd w:val="clear" w:color="auto" w:fill="C6EFCE"/>
            <w:noWrap/>
          </w:tcPr>
          <w:p w14:paraId="6D30E0CD"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Брой подпомагани домакинства, които се възползват от ВЕИ</w:t>
            </w:r>
          </w:p>
        </w:tc>
        <w:tc>
          <w:tcPr>
            <w:tcW w:w="1414" w:type="dxa"/>
            <w:shd w:val="clear" w:color="auto" w:fill="C6EFCE"/>
            <w:noWrap/>
          </w:tcPr>
          <w:p w14:paraId="072D01FA" w14:textId="77777777" w:rsidR="008B0F39" w:rsidRPr="008A0F8A" w:rsidRDefault="008B0F39" w:rsidP="0066695B">
            <w:pPr>
              <w:spacing w:after="0" w:line="240" w:lineRule="auto"/>
              <w:rPr>
                <w:rFonts w:ascii="Times New Roman" w:eastAsia="Times New Roman" w:hAnsi="Times New Roman" w:cs="Times New Roman"/>
                <w:noProof/>
                <w:color w:val="006100"/>
                <w:sz w:val="20"/>
                <w:szCs w:val="20"/>
                <w:lang w:val="ru-RU" w:eastAsia="en-GB"/>
              </w:rPr>
            </w:pPr>
          </w:p>
        </w:tc>
        <w:tc>
          <w:tcPr>
            <w:tcW w:w="1151" w:type="dxa"/>
            <w:shd w:val="clear" w:color="auto" w:fill="C6EFCE"/>
            <w:noWrap/>
          </w:tcPr>
          <w:p w14:paraId="64B17DB4"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Брой</w:t>
            </w:r>
          </w:p>
        </w:tc>
        <w:tc>
          <w:tcPr>
            <w:tcW w:w="1275" w:type="dxa"/>
            <w:shd w:val="clear" w:color="auto" w:fill="C6EFCE"/>
            <w:noWrap/>
          </w:tcPr>
          <w:p w14:paraId="083050D7"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0</w:t>
            </w:r>
          </w:p>
        </w:tc>
        <w:tc>
          <w:tcPr>
            <w:tcW w:w="1134" w:type="dxa"/>
            <w:shd w:val="clear" w:color="auto" w:fill="C6EFCE"/>
            <w:noWrap/>
          </w:tcPr>
          <w:p w14:paraId="4099F18B"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10000</w:t>
            </w:r>
          </w:p>
        </w:tc>
        <w:tc>
          <w:tcPr>
            <w:tcW w:w="851" w:type="dxa"/>
            <w:shd w:val="clear" w:color="auto" w:fill="C6EFCE"/>
            <w:noWrap/>
          </w:tcPr>
          <w:p w14:paraId="6CD42621"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T4</w:t>
            </w:r>
          </w:p>
        </w:tc>
        <w:tc>
          <w:tcPr>
            <w:tcW w:w="709" w:type="dxa"/>
            <w:shd w:val="clear" w:color="auto" w:fill="C6EFCE"/>
            <w:noWrap/>
          </w:tcPr>
          <w:p w14:paraId="21C7A884"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2025</w:t>
            </w:r>
          </w:p>
        </w:tc>
        <w:tc>
          <w:tcPr>
            <w:tcW w:w="3772" w:type="dxa"/>
            <w:shd w:val="clear" w:color="auto" w:fill="C6EFCE"/>
            <w:noWrap/>
          </w:tcPr>
          <w:p w14:paraId="0398926B"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Най-малко 10 000 домакинства с неефективни отоплителни устройства на твърдо гориво са инсталирали най-добро слънчево битово горещо водоснабдяване (БГВ) или фотоволтаични системи.</w:t>
            </w:r>
          </w:p>
        </w:tc>
      </w:tr>
      <w:tr w:rsidR="008E16C0" w:rsidRPr="005241FC" w14:paraId="295D7134" w14:textId="77777777" w:rsidTr="008E16C0">
        <w:trPr>
          <w:trHeight w:val="309"/>
        </w:trPr>
        <w:tc>
          <w:tcPr>
            <w:tcW w:w="681" w:type="dxa"/>
            <w:shd w:val="clear" w:color="auto" w:fill="C6EFCE"/>
            <w:noWrap/>
          </w:tcPr>
          <w:p w14:paraId="1DB0AE60" w14:textId="27EA6600" w:rsidR="008B0F39" w:rsidRPr="00491076" w:rsidRDefault="000E517E"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79</w:t>
            </w:r>
          </w:p>
        </w:tc>
        <w:tc>
          <w:tcPr>
            <w:tcW w:w="1837" w:type="dxa"/>
            <w:shd w:val="clear" w:color="auto" w:fill="C6EFCE"/>
            <w:noWrap/>
          </w:tcPr>
          <w:p w14:paraId="654951FB" w14:textId="77777777" w:rsidR="003B02A1" w:rsidRPr="00491076" w:rsidRDefault="008B0F39" w:rsidP="0073609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C4.I3: </w:t>
            </w:r>
          </w:p>
          <w:p w14:paraId="1E1E654E" w14:textId="2778EDD8" w:rsidR="008B0F39" w:rsidRPr="00491076" w:rsidRDefault="008B0F39" w:rsidP="0073609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Подкрепа за енергийно ефективни системи за улично осветление</w:t>
            </w:r>
          </w:p>
        </w:tc>
        <w:tc>
          <w:tcPr>
            <w:tcW w:w="1131" w:type="dxa"/>
            <w:shd w:val="clear" w:color="auto" w:fill="C6EFCE"/>
            <w:noWrap/>
          </w:tcPr>
          <w:p w14:paraId="0F211F4E"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696" w:type="dxa"/>
            <w:shd w:val="clear" w:color="auto" w:fill="C6EFCE"/>
            <w:noWrap/>
          </w:tcPr>
          <w:p w14:paraId="04BAAF22" w14:textId="500E752D"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Сключване на договори за отпускане на безвъзмездни средства за обновяване на обществените осветителни системи (покана 1)</w:t>
            </w:r>
          </w:p>
        </w:tc>
        <w:tc>
          <w:tcPr>
            <w:tcW w:w="1414" w:type="dxa"/>
            <w:shd w:val="clear" w:color="auto" w:fill="C6EFCE"/>
            <w:noWrap/>
          </w:tcPr>
          <w:p w14:paraId="08DD5CE2"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Подписани договори от Министерството на енергетиката с успелите кандидати</w:t>
            </w:r>
          </w:p>
        </w:tc>
        <w:tc>
          <w:tcPr>
            <w:tcW w:w="1151" w:type="dxa"/>
            <w:shd w:val="clear" w:color="auto" w:fill="C6EFCE"/>
            <w:noWrap/>
          </w:tcPr>
          <w:p w14:paraId="2F41000D" w14:textId="77777777" w:rsidR="008B0F39" w:rsidRPr="008A0F8A" w:rsidRDefault="008B0F39" w:rsidP="0066695B">
            <w:pPr>
              <w:spacing w:after="0" w:line="240" w:lineRule="auto"/>
              <w:rPr>
                <w:rFonts w:ascii="Times New Roman" w:eastAsia="Times New Roman" w:hAnsi="Times New Roman" w:cs="Times New Roman"/>
                <w:noProof/>
                <w:color w:val="006100"/>
                <w:sz w:val="20"/>
                <w:szCs w:val="20"/>
                <w:lang w:val="ru-RU" w:eastAsia="en-GB"/>
              </w:rPr>
            </w:pPr>
          </w:p>
        </w:tc>
        <w:tc>
          <w:tcPr>
            <w:tcW w:w="1275" w:type="dxa"/>
            <w:shd w:val="clear" w:color="auto" w:fill="C6EFCE"/>
            <w:noWrap/>
          </w:tcPr>
          <w:p w14:paraId="6BABC42B" w14:textId="77777777" w:rsidR="008B0F39" w:rsidRPr="008A0F8A" w:rsidRDefault="008B0F39" w:rsidP="0066695B">
            <w:pPr>
              <w:spacing w:after="0" w:line="240" w:lineRule="auto"/>
              <w:rPr>
                <w:rFonts w:ascii="Times New Roman" w:eastAsia="Times New Roman" w:hAnsi="Times New Roman" w:cs="Times New Roman"/>
                <w:noProof/>
                <w:color w:val="006100"/>
                <w:sz w:val="20"/>
                <w:szCs w:val="20"/>
                <w:lang w:val="ru-RU" w:eastAsia="en-GB"/>
              </w:rPr>
            </w:pPr>
          </w:p>
        </w:tc>
        <w:tc>
          <w:tcPr>
            <w:tcW w:w="1134" w:type="dxa"/>
            <w:shd w:val="clear" w:color="auto" w:fill="C6EFCE"/>
            <w:noWrap/>
          </w:tcPr>
          <w:p w14:paraId="37919078" w14:textId="77777777" w:rsidR="008B0F39" w:rsidRPr="008A0F8A" w:rsidRDefault="008B0F39" w:rsidP="0066695B">
            <w:pPr>
              <w:spacing w:after="0" w:line="240" w:lineRule="auto"/>
              <w:rPr>
                <w:rFonts w:ascii="Times New Roman" w:eastAsia="Times New Roman" w:hAnsi="Times New Roman" w:cs="Times New Roman"/>
                <w:noProof/>
                <w:color w:val="006100"/>
                <w:sz w:val="20"/>
                <w:szCs w:val="20"/>
                <w:lang w:val="ru-RU" w:eastAsia="en-GB"/>
              </w:rPr>
            </w:pPr>
          </w:p>
        </w:tc>
        <w:tc>
          <w:tcPr>
            <w:tcW w:w="851" w:type="dxa"/>
            <w:shd w:val="clear" w:color="auto" w:fill="C6EFCE"/>
            <w:noWrap/>
          </w:tcPr>
          <w:p w14:paraId="66602654" w14:textId="1E6FCE0D"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T3</w:t>
            </w:r>
          </w:p>
        </w:tc>
        <w:tc>
          <w:tcPr>
            <w:tcW w:w="709" w:type="dxa"/>
            <w:shd w:val="clear" w:color="auto" w:fill="C6EFCE"/>
            <w:noWrap/>
          </w:tcPr>
          <w:p w14:paraId="11AB6373"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2022</w:t>
            </w:r>
          </w:p>
        </w:tc>
        <w:tc>
          <w:tcPr>
            <w:tcW w:w="3772" w:type="dxa"/>
            <w:shd w:val="clear" w:color="auto" w:fill="C6EFCE"/>
            <w:noWrap/>
          </w:tcPr>
          <w:p w14:paraId="7712DAB6" w14:textId="77777777"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В договорите за отпускане на безвъзмездни средства за обновяване на системите за обществено осветление се посочва, че трябва да бъде постигнато намаление на потреблението на първична енергия с най-малко 30 %.</w:t>
            </w:r>
          </w:p>
        </w:tc>
      </w:tr>
      <w:tr w:rsidR="008E16C0" w:rsidRPr="005241FC" w14:paraId="50AFF69F" w14:textId="77777777" w:rsidTr="008E16C0">
        <w:trPr>
          <w:trHeight w:val="309"/>
        </w:trPr>
        <w:tc>
          <w:tcPr>
            <w:tcW w:w="681" w:type="dxa"/>
            <w:shd w:val="clear" w:color="auto" w:fill="C6EFCE"/>
            <w:noWrap/>
          </w:tcPr>
          <w:p w14:paraId="00CC9FC0" w14:textId="2D7A07A8" w:rsidR="008B0F39" w:rsidRPr="00491076" w:rsidRDefault="000E517E"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80</w:t>
            </w:r>
          </w:p>
        </w:tc>
        <w:tc>
          <w:tcPr>
            <w:tcW w:w="1837" w:type="dxa"/>
            <w:shd w:val="clear" w:color="auto" w:fill="C6EFCE"/>
            <w:noWrap/>
          </w:tcPr>
          <w:p w14:paraId="4274BF97" w14:textId="77777777" w:rsidR="003B02A1" w:rsidRPr="00491076" w:rsidRDefault="008B0F39" w:rsidP="0073609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C4.I3: </w:t>
            </w:r>
          </w:p>
          <w:p w14:paraId="451943A5" w14:textId="3BABA20E" w:rsidR="008B0F39" w:rsidRPr="00491076" w:rsidRDefault="008B0F39" w:rsidP="0073609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Подкрепа за енергийно ефективни системи за улично осветление</w:t>
            </w:r>
          </w:p>
        </w:tc>
        <w:tc>
          <w:tcPr>
            <w:tcW w:w="1131" w:type="dxa"/>
            <w:shd w:val="clear" w:color="auto" w:fill="C6EFCE"/>
            <w:noWrap/>
          </w:tcPr>
          <w:p w14:paraId="7544E1F0"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696" w:type="dxa"/>
            <w:shd w:val="clear" w:color="auto" w:fill="C6EFCE"/>
            <w:noWrap/>
          </w:tcPr>
          <w:p w14:paraId="6E9CA70D" w14:textId="2A91A53B"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Сключване на договори за отпускане на безвъзмездни средства за обновяване на обществените осветителни системи (покана 2)</w:t>
            </w:r>
          </w:p>
        </w:tc>
        <w:tc>
          <w:tcPr>
            <w:tcW w:w="1414" w:type="dxa"/>
            <w:shd w:val="clear" w:color="auto" w:fill="C6EFCE"/>
            <w:noWrap/>
          </w:tcPr>
          <w:p w14:paraId="0AC18919"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Подписани договори от Министерството на енергетиката с успелите кандидати</w:t>
            </w:r>
          </w:p>
        </w:tc>
        <w:tc>
          <w:tcPr>
            <w:tcW w:w="1151" w:type="dxa"/>
            <w:shd w:val="clear" w:color="auto" w:fill="C6EFCE"/>
            <w:noWrap/>
          </w:tcPr>
          <w:p w14:paraId="3DB542CC" w14:textId="77777777" w:rsidR="008B0F39" w:rsidRPr="008A0F8A" w:rsidRDefault="008B0F39" w:rsidP="0066695B">
            <w:pPr>
              <w:spacing w:after="0" w:line="240" w:lineRule="auto"/>
              <w:rPr>
                <w:rFonts w:ascii="Times New Roman" w:eastAsia="Times New Roman" w:hAnsi="Times New Roman" w:cs="Times New Roman"/>
                <w:noProof/>
                <w:color w:val="006100"/>
                <w:sz w:val="20"/>
                <w:szCs w:val="20"/>
                <w:lang w:val="ru-RU" w:eastAsia="en-GB"/>
              </w:rPr>
            </w:pPr>
          </w:p>
        </w:tc>
        <w:tc>
          <w:tcPr>
            <w:tcW w:w="1275" w:type="dxa"/>
            <w:shd w:val="clear" w:color="auto" w:fill="C6EFCE"/>
            <w:noWrap/>
          </w:tcPr>
          <w:p w14:paraId="6DD06738" w14:textId="77777777" w:rsidR="008B0F39" w:rsidRPr="008A0F8A" w:rsidRDefault="008B0F39" w:rsidP="0066695B">
            <w:pPr>
              <w:spacing w:after="0" w:line="240" w:lineRule="auto"/>
              <w:rPr>
                <w:rFonts w:ascii="Times New Roman" w:eastAsia="Times New Roman" w:hAnsi="Times New Roman" w:cs="Times New Roman"/>
                <w:noProof/>
                <w:color w:val="006100"/>
                <w:sz w:val="20"/>
                <w:szCs w:val="20"/>
                <w:lang w:val="ru-RU" w:eastAsia="en-GB"/>
              </w:rPr>
            </w:pPr>
          </w:p>
        </w:tc>
        <w:tc>
          <w:tcPr>
            <w:tcW w:w="1134" w:type="dxa"/>
            <w:shd w:val="clear" w:color="auto" w:fill="C6EFCE"/>
            <w:noWrap/>
          </w:tcPr>
          <w:p w14:paraId="6F14CAC0" w14:textId="77777777" w:rsidR="008B0F39" w:rsidRPr="008A0F8A" w:rsidRDefault="008B0F39" w:rsidP="0066695B">
            <w:pPr>
              <w:spacing w:after="0" w:line="240" w:lineRule="auto"/>
              <w:rPr>
                <w:rFonts w:ascii="Times New Roman" w:eastAsia="Times New Roman" w:hAnsi="Times New Roman" w:cs="Times New Roman"/>
                <w:noProof/>
                <w:color w:val="006100"/>
                <w:sz w:val="20"/>
                <w:szCs w:val="20"/>
                <w:lang w:val="ru-RU" w:eastAsia="en-GB"/>
              </w:rPr>
            </w:pPr>
          </w:p>
        </w:tc>
        <w:tc>
          <w:tcPr>
            <w:tcW w:w="851" w:type="dxa"/>
            <w:shd w:val="clear" w:color="auto" w:fill="C6EFCE"/>
            <w:noWrap/>
          </w:tcPr>
          <w:p w14:paraId="0BB307E3" w14:textId="42409214"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T3</w:t>
            </w:r>
          </w:p>
        </w:tc>
        <w:tc>
          <w:tcPr>
            <w:tcW w:w="709" w:type="dxa"/>
            <w:shd w:val="clear" w:color="auto" w:fill="C6EFCE"/>
            <w:noWrap/>
          </w:tcPr>
          <w:p w14:paraId="6E4244BD"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2023</w:t>
            </w:r>
          </w:p>
        </w:tc>
        <w:tc>
          <w:tcPr>
            <w:tcW w:w="3772" w:type="dxa"/>
            <w:shd w:val="clear" w:color="auto" w:fill="C6EFCE"/>
            <w:noWrap/>
          </w:tcPr>
          <w:p w14:paraId="7F53E61E" w14:textId="307C808E"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В договорите за отпускане на безвъзмездни средства за обновяване на системите за обществено осветление се посочва, че трябва да бъде постигнато намаление на потреблението на първична енергия с най-малко 30 %. </w:t>
            </w:r>
          </w:p>
        </w:tc>
      </w:tr>
      <w:tr w:rsidR="008E16C0" w:rsidRPr="005241FC" w14:paraId="44094F82" w14:textId="77777777" w:rsidTr="008E16C0">
        <w:trPr>
          <w:trHeight w:val="309"/>
        </w:trPr>
        <w:tc>
          <w:tcPr>
            <w:tcW w:w="681" w:type="dxa"/>
            <w:shd w:val="clear" w:color="auto" w:fill="C6EFCE"/>
            <w:noWrap/>
          </w:tcPr>
          <w:p w14:paraId="099516FE" w14:textId="12C3CB6D" w:rsidR="008B0F39" w:rsidRPr="00491076" w:rsidRDefault="000E517E"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81</w:t>
            </w:r>
          </w:p>
        </w:tc>
        <w:tc>
          <w:tcPr>
            <w:tcW w:w="1837" w:type="dxa"/>
            <w:shd w:val="clear" w:color="auto" w:fill="C6EFCE"/>
            <w:noWrap/>
          </w:tcPr>
          <w:p w14:paraId="3E872754" w14:textId="77777777" w:rsidR="003B02A1" w:rsidRPr="00491076" w:rsidRDefault="008B0F39" w:rsidP="0073609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C4.I3: </w:t>
            </w:r>
          </w:p>
          <w:p w14:paraId="379FD0F6" w14:textId="12AAD3AC" w:rsidR="008B0F39" w:rsidRPr="00491076" w:rsidRDefault="008B0F39" w:rsidP="0073609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Подкрепа за енергийно ефективни системи за улично осветление</w:t>
            </w:r>
          </w:p>
        </w:tc>
        <w:tc>
          <w:tcPr>
            <w:tcW w:w="1131" w:type="dxa"/>
            <w:shd w:val="clear" w:color="auto" w:fill="C6EFCE"/>
            <w:noWrap/>
          </w:tcPr>
          <w:p w14:paraId="09203A2C"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Цел</w:t>
            </w:r>
          </w:p>
        </w:tc>
        <w:tc>
          <w:tcPr>
            <w:tcW w:w="1696" w:type="dxa"/>
            <w:shd w:val="clear" w:color="auto" w:fill="C6EFCE"/>
            <w:noWrap/>
          </w:tcPr>
          <w:p w14:paraId="3464646E"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Намаляване на потреблението на енергия </w:t>
            </w:r>
          </w:p>
        </w:tc>
        <w:tc>
          <w:tcPr>
            <w:tcW w:w="1414" w:type="dxa"/>
            <w:shd w:val="clear" w:color="auto" w:fill="C6EFCE"/>
            <w:noWrap/>
          </w:tcPr>
          <w:p w14:paraId="0A6D9D84"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1151" w:type="dxa"/>
            <w:shd w:val="clear" w:color="auto" w:fill="C6EFCE"/>
            <w:noWrap/>
          </w:tcPr>
          <w:p w14:paraId="2A40845B" w14:textId="08BAA55C" w:rsidR="008B0F39" w:rsidRPr="00491076" w:rsidRDefault="3A7AB128"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 xml:space="preserve">Икономии на енергия в мегаватчаса (MWh) годишно </w:t>
            </w:r>
          </w:p>
          <w:p w14:paraId="082261C4" w14:textId="77777777" w:rsidR="008B0F39" w:rsidRPr="008A0F8A" w:rsidRDefault="008B0F39" w:rsidP="0066695B">
            <w:pPr>
              <w:spacing w:after="0" w:line="240" w:lineRule="auto"/>
              <w:rPr>
                <w:rFonts w:ascii="Times New Roman" w:eastAsia="Times New Roman" w:hAnsi="Times New Roman" w:cs="Times New Roman"/>
                <w:noProof/>
                <w:color w:val="006100"/>
                <w:sz w:val="20"/>
                <w:szCs w:val="20"/>
                <w:lang w:val="ru-RU" w:eastAsia="en-GB"/>
              </w:rPr>
            </w:pPr>
          </w:p>
        </w:tc>
        <w:tc>
          <w:tcPr>
            <w:tcW w:w="1275" w:type="dxa"/>
            <w:shd w:val="clear" w:color="auto" w:fill="C6EFCE"/>
            <w:noWrap/>
          </w:tcPr>
          <w:p w14:paraId="2A0D535A"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0</w:t>
            </w:r>
          </w:p>
        </w:tc>
        <w:tc>
          <w:tcPr>
            <w:tcW w:w="1134" w:type="dxa"/>
            <w:shd w:val="clear" w:color="auto" w:fill="C6EFCE"/>
            <w:noWrap/>
          </w:tcPr>
          <w:p w14:paraId="5C43718B"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127885</w:t>
            </w:r>
          </w:p>
        </w:tc>
        <w:tc>
          <w:tcPr>
            <w:tcW w:w="851" w:type="dxa"/>
            <w:shd w:val="clear" w:color="auto" w:fill="C6EFCE"/>
            <w:noWrap/>
          </w:tcPr>
          <w:p w14:paraId="2267D723"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T2</w:t>
            </w:r>
          </w:p>
        </w:tc>
        <w:tc>
          <w:tcPr>
            <w:tcW w:w="709" w:type="dxa"/>
            <w:shd w:val="clear" w:color="auto" w:fill="C6EFCE"/>
            <w:noWrap/>
          </w:tcPr>
          <w:p w14:paraId="04B513F0"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2025</w:t>
            </w:r>
          </w:p>
        </w:tc>
        <w:tc>
          <w:tcPr>
            <w:tcW w:w="3772" w:type="dxa"/>
            <w:shd w:val="clear" w:color="auto" w:fill="C6EFCE"/>
            <w:noWrap/>
          </w:tcPr>
          <w:p w14:paraId="31CA96D6" w14:textId="03F1810A"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Целта се постига при намаляване на потреблението на енергия в резултат на обновяването на общественото осветление, което се доказва чрез сертификати за енергийните характеристики. </w:t>
            </w:r>
            <w:r>
              <w:rPr>
                <w:rFonts w:ascii="Times New Roman" w:hAnsi="Times New Roman"/>
                <w:noProof/>
                <w:color w:val="004300"/>
                <w:sz w:val="20"/>
              </w:rPr>
              <w:t>Количеството спестена енергия се определя чрез измерване на потреблението преди и след прилагането на мярка за повишаване на енергийната ефективност.</w:t>
            </w:r>
            <w:r>
              <w:rPr>
                <w:rFonts w:ascii="Times New Roman" w:hAnsi="Times New Roman"/>
                <w:noProof/>
                <w:color w:val="006100"/>
                <w:sz w:val="20"/>
              </w:rPr>
              <w:t xml:space="preserve"> </w:t>
            </w:r>
          </w:p>
        </w:tc>
      </w:tr>
      <w:tr w:rsidR="008E16C0" w:rsidRPr="005241FC" w14:paraId="32A845DE" w14:textId="77777777" w:rsidTr="008E16C0">
        <w:trPr>
          <w:trHeight w:val="309"/>
        </w:trPr>
        <w:tc>
          <w:tcPr>
            <w:tcW w:w="681" w:type="dxa"/>
            <w:shd w:val="clear" w:color="auto" w:fill="C6EFCE"/>
            <w:noWrap/>
          </w:tcPr>
          <w:p w14:paraId="343BF7CF" w14:textId="761B2F83" w:rsidR="008B0F39" w:rsidRPr="00491076" w:rsidRDefault="000E517E"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82</w:t>
            </w:r>
          </w:p>
        </w:tc>
        <w:tc>
          <w:tcPr>
            <w:tcW w:w="1837" w:type="dxa"/>
            <w:shd w:val="clear" w:color="auto" w:fill="C6EFCE"/>
            <w:noWrap/>
          </w:tcPr>
          <w:p w14:paraId="794ACC33" w14:textId="77777777" w:rsidR="003B02A1" w:rsidRPr="00491076" w:rsidRDefault="008B0F39" w:rsidP="0073609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C4.R4: </w:t>
            </w:r>
          </w:p>
          <w:p w14:paraId="7B9E81E8" w14:textId="6E1D68CF" w:rsidR="008B0F39" w:rsidRPr="00491076" w:rsidRDefault="008B0F39" w:rsidP="0073609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Насърчаване на проекти за енергийна ефективност и енергия от възобновяеми източници чрез сметките за енергия</w:t>
            </w:r>
          </w:p>
        </w:tc>
        <w:tc>
          <w:tcPr>
            <w:tcW w:w="1131" w:type="dxa"/>
            <w:shd w:val="clear" w:color="auto" w:fill="C6EFCE"/>
            <w:noWrap/>
          </w:tcPr>
          <w:p w14:paraId="0AEAACF3"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696" w:type="dxa"/>
            <w:shd w:val="clear" w:color="auto" w:fill="C6EFCE"/>
            <w:noWrap/>
          </w:tcPr>
          <w:p w14:paraId="67F9AFEE"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Влизане в сила на измененията в Закона за енергетиката и подзаконовите актове, за да се даде възможност за подобряване на енергийната ефективност и за проекти за енергия от възобновяеми източници по модела на дружествата за енергийни услуги (ESCO).</w:t>
            </w:r>
          </w:p>
        </w:tc>
        <w:tc>
          <w:tcPr>
            <w:tcW w:w="1414" w:type="dxa"/>
            <w:shd w:val="clear" w:color="auto" w:fill="C6EFCE"/>
            <w:noWrap/>
          </w:tcPr>
          <w:p w14:paraId="70DF2C81"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Законова разпоредба, указваща влизането в сила на измененията в Закона за енергетиката и подзаконовите актове</w:t>
            </w:r>
          </w:p>
        </w:tc>
        <w:tc>
          <w:tcPr>
            <w:tcW w:w="1151" w:type="dxa"/>
            <w:shd w:val="clear" w:color="auto" w:fill="C6EFCE"/>
            <w:noWrap/>
          </w:tcPr>
          <w:p w14:paraId="3CBB320C" w14:textId="77777777" w:rsidR="008B0F39" w:rsidRPr="008A0F8A" w:rsidRDefault="008B0F39" w:rsidP="0066695B">
            <w:pPr>
              <w:spacing w:after="0" w:line="240" w:lineRule="auto"/>
              <w:rPr>
                <w:rFonts w:ascii="Times New Roman" w:eastAsia="Times New Roman" w:hAnsi="Times New Roman" w:cs="Times New Roman"/>
                <w:noProof/>
                <w:color w:val="006100"/>
                <w:sz w:val="20"/>
                <w:szCs w:val="20"/>
                <w:lang w:val="ru-RU" w:eastAsia="en-GB"/>
              </w:rPr>
            </w:pPr>
          </w:p>
        </w:tc>
        <w:tc>
          <w:tcPr>
            <w:tcW w:w="1275" w:type="dxa"/>
            <w:shd w:val="clear" w:color="auto" w:fill="C6EFCE"/>
            <w:noWrap/>
          </w:tcPr>
          <w:p w14:paraId="747BC076" w14:textId="77777777" w:rsidR="008B0F39" w:rsidRPr="008A0F8A" w:rsidRDefault="008B0F39" w:rsidP="0066695B">
            <w:pPr>
              <w:spacing w:after="0" w:line="240" w:lineRule="auto"/>
              <w:rPr>
                <w:rFonts w:ascii="Times New Roman" w:eastAsia="Times New Roman" w:hAnsi="Times New Roman" w:cs="Times New Roman"/>
                <w:noProof/>
                <w:color w:val="006100"/>
                <w:sz w:val="20"/>
                <w:szCs w:val="20"/>
                <w:lang w:val="ru-RU" w:eastAsia="en-GB"/>
              </w:rPr>
            </w:pPr>
          </w:p>
        </w:tc>
        <w:tc>
          <w:tcPr>
            <w:tcW w:w="1134" w:type="dxa"/>
            <w:shd w:val="clear" w:color="auto" w:fill="C6EFCE"/>
            <w:noWrap/>
          </w:tcPr>
          <w:p w14:paraId="4A93615B" w14:textId="77777777" w:rsidR="008B0F39" w:rsidRPr="008A0F8A" w:rsidRDefault="008B0F39" w:rsidP="0066695B">
            <w:pPr>
              <w:spacing w:after="0" w:line="240" w:lineRule="auto"/>
              <w:rPr>
                <w:rFonts w:ascii="Times New Roman" w:eastAsia="Times New Roman" w:hAnsi="Times New Roman" w:cs="Times New Roman"/>
                <w:noProof/>
                <w:color w:val="006100"/>
                <w:sz w:val="20"/>
                <w:szCs w:val="20"/>
                <w:lang w:val="ru-RU" w:eastAsia="en-GB"/>
              </w:rPr>
            </w:pPr>
          </w:p>
        </w:tc>
        <w:tc>
          <w:tcPr>
            <w:tcW w:w="851" w:type="dxa"/>
            <w:shd w:val="clear" w:color="auto" w:fill="C6EFCE"/>
            <w:noWrap/>
          </w:tcPr>
          <w:p w14:paraId="130ACEE1"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T4</w:t>
            </w:r>
          </w:p>
        </w:tc>
        <w:tc>
          <w:tcPr>
            <w:tcW w:w="709" w:type="dxa"/>
            <w:shd w:val="clear" w:color="auto" w:fill="C6EFCE"/>
            <w:noWrap/>
          </w:tcPr>
          <w:p w14:paraId="20AF5A04"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2022</w:t>
            </w:r>
          </w:p>
        </w:tc>
        <w:tc>
          <w:tcPr>
            <w:tcW w:w="3772" w:type="dxa"/>
            <w:shd w:val="clear" w:color="auto" w:fill="C6EFCE"/>
            <w:noWrap/>
          </w:tcPr>
          <w:p w14:paraId="021D21D9" w14:textId="77777777"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Влизане в сила на измененията в Закона за енергетиката и подзаконовите актове, за да се даде възможност за начин на финансиране на подобрения на енергийната ефективност, като се използва сметката за комунални услуги като средство за погасяване. Механизмът не позволява финансиране на газови котли като възможност за подмяна на отоплителни системи с мазут.</w:t>
            </w:r>
          </w:p>
        </w:tc>
      </w:tr>
      <w:tr w:rsidR="008E16C0" w:rsidRPr="005241FC" w14:paraId="226EC72C" w14:textId="77777777" w:rsidTr="008E16C0">
        <w:trPr>
          <w:trHeight w:val="309"/>
        </w:trPr>
        <w:tc>
          <w:tcPr>
            <w:tcW w:w="681" w:type="dxa"/>
            <w:shd w:val="clear" w:color="auto" w:fill="C6EFCE"/>
            <w:noWrap/>
          </w:tcPr>
          <w:p w14:paraId="7C8D2CCA" w14:textId="27857DF1" w:rsidR="008B0F39" w:rsidRPr="00491076" w:rsidRDefault="000E517E"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83</w:t>
            </w:r>
          </w:p>
        </w:tc>
        <w:tc>
          <w:tcPr>
            <w:tcW w:w="1837" w:type="dxa"/>
            <w:shd w:val="clear" w:color="auto" w:fill="C6EFCE"/>
            <w:noWrap/>
          </w:tcPr>
          <w:p w14:paraId="15655DA7" w14:textId="77777777" w:rsidR="003B02A1" w:rsidRPr="00491076" w:rsidRDefault="008B0F39" w:rsidP="0073609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C4.R5: </w:t>
            </w:r>
          </w:p>
          <w:p w14:paraId="4EFC3BBD" w14:textId="09DD99E3" w:rsidR="008B0F39" w:rsidRPr="00491076" w:rsidRDefault="008B0F39" w:rsidP="0073609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Обслужване на едно гише за обновяване</w:t>
            </w:r>
          </w:p>
        </w:tc>
        <w:tc>
          <w:tcPr>
            <w:tcW w:w="1131" w:type="dxa"/>
            <w:shd w:val="clear" w:color="auto" w:fill="C6EFCE"/>
            <w:noWrap/>
          </w:tcPr>
          <w:p w14:paraId="3D8CB354"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696" w:type="dxa"/>
            <w:shd w:val="clear" w:color="auto" w:fill="C6EFCE"/>
            <w:noWrap/>
          </w:tcPr>
          <w:p w14:paraId="59C8660C" w14:textId="67857FFD" w:rsidR="008B0F39" w:rsidRPr="00491076" w:rsidRDefault="008B0F39" w:rsidP="00C007C6">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Създаване на пилотно обслужване на едно гише за енергийно обновяване </w:t>
            </w:r>
          </w:p>
        </w:tc>
        <w:tc>
          <w:tcPr>
            <w:tcW w:w="1414" w:type="dxa"/>
            <w:shd w:val="clear" w:color="auto" w:fill="C6EFCE"/>
            <w:noWrap/>
          </w:tcPr>
          <w:p w14:paraId="77FFAD9A"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Функциониращо обслужване на едно гише</w:t>
            </w:r>
          </w:p>
        </w:tc>
        <w:tc>
          <w:tcPr>
            <w:tcW w:w="1151" w:type="dxa"/>
            <w:shd w:val="clear" w:color="auto" w:fill="C6EFCE"/>
            <w:noWrap/>
          </w:tcPr>
          <w:p w14:paraId="26B3E595" w14:textId="77777777" w:rsidR="008B0F39" w:rsidRPr="008A0F8A" w:rsidRDefault="008B0F39" w:rsidP="0066695B">
            <w:pPr>
              <w:spacing w:after="0" w:line="240" w:lineRule="auto"/>
              <w:rPr>
                <w:rFonts w:ascii="Times New Roman" w:eastAsia="Times New Roman" w:hAnsi="Times New Roman" w:cs="Times New Roman"/>
                <w:noProof/>
                <w:color w:val="006100"/>
                <w:sz w:val="20"/>
                <w:szCs w:val="20"/>
                <w:lang w:val="ru-RU" w:eastAsia="en-GB"/>
              </w:rPr>
            </w:pPr>
          </w:p>
        </w:tc>
        <w:tc>
          <w:tcPr>
            <w:tcW w:w="1275" w:type="dxa"/>
            <w:shd w:val="clear" w:color="auto" w:fill="C6EFCE"/>
            <w:noWrap/>
          </w:tcPr>
          <w:p w14:paraId="5E7B49B0" w14:textId="77777777" w:rsidR="008B0F39" w:rsidRPr="008A0F8A" w:rsidRDefault="008B0F39" w:rsidP="0066695B">
            <w:pPr>
              <w:spacing w:after="0" w:line="240" w:lineRule="auto"/>
              <w:rPr>
                <w:rFonts w:ascii="Times New Roman" w:eastAsia="Times New Roman" w:hAnsi="Times New Roman" w:cs="Times New Roman"/>
                <w:noProof/>
                <w:color w:val="006100"/>
                <w:sz w:val="20"/>
                <w:szCs w:val="20"/>
                <w:lang w:val="ru-RU" w:eastAsia="en-GB"/>
              </w:rPr>
            </w:pPr>
          </w:p>
        </w:tc>
        <w:tc>
          <w:tcPr>
            <w:tcW w:w="1134" w:type="dxa"/>
            <w:shd w:val="clear" w:color="auto" w:fill="C6EFCE"/>
            <w:noWrap/>
          </w:tcPr>
          <w:p w14:paraId="3AC6C67F" w14:textId="77777777" w:rsidR="008B0F39" w:rsidRPr="008A0F8A" w:rsidRDefault="008B0F39" w:rsidP="0066695B">
            <w:pPr>
              <w:spacing w:after="0" w:line="240" w:lineRule="auto"/>
              <w:rPr>
                <w:rFonts w:ascii="Times New Roman" w:eastAsia="Times New Roman" w:hAnsi="Times New Roman" w:cs="Times New Roman"/>
                <w:noProof/>
                <w:color w:val="006100"/>
                <w:sz w:val="20"/>
                <w:szCs w:val="20"/>
                <w:lang w:val="ru-RU" w:eastAsia="en-GB"/>
              </w:rPr>
            </w:pPr>
          </w:p>
        </w:tc>
        <w:tc>
          <w:tcPr>
            <w:tcW w:w="851" w:type="dxa"/>
            <w:shd w:val="clear" w:color="auto" w:fill="C6EFCE"/>
            <w:noWrap/>
          </w:tcPr>
          <w:p w14:paraId="76B9BCA4" w14:textId="078BFBCF"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T4</w:t>
            </w:r>
          </w:p>
        </w:tc>
        <w:tc>
          <w:tcPr>
            <w:tcW w:w="709" w:type="dxa"/>
            <w:shd w:val="clear" w:color="auto" w:fill="C6EFCE"/>
            <w:noWrap/>
          </w:tcPr>
          <w:p w14:paraId="4E86DCDC"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2022</w:t>
            </w:r>
          </w:p>
        </w:tc>
        <w:tc>
          <w:tcPr>
            <w:tcW w:w="3772" w:type="dxa"/>
            <w:shd w:val="clear" w:color="auto" w:fill="C6EFCE"/>
            <w:noWrap/>
          </w:tcPr>
          <w:p w14:paraId="26D3B260" w14:textId="5BD2A13F" w:rsidR="008B0F39" w:rsidRPr="00491076" w:rsidRDefault="008B0F39" w:rsidP="00C007C6">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Шест физически пилотни звена за обслужване на едно гише функционират на регионална основа с цел предоставяне на консултации и намаляване на административната тежест както за домакинствата, така и за предприятията. Обслужването на едно гише включва цялата необходима информация и услуги, необходими за енергийното обновяване, включително наличните източници на финансова подкрепа от ЕС.</w:t>
            </w:r>
          </w:p>
        </w:tc>
      </w:tr>
      <w:tr w:rsidR="008E16C0" w:rsidRPr="005241FC" w14:paraId="2C8FD51D" w14:textId="77777777" w:rsidTr="008E16C0">
        <w:trPr>
          <w:trHeight w:val="309"/>
        </w:trPr>
        <w:tc>
          <w:tcPr>
            <w:tcW w:w="681" w:type="dxa"/>
            <w:shd w:val="clear" w:color="auto" w:fill="C6EFCE"/>
            <w:noWrap/>
          </w:tcPr>
          <w:p w14:paraId="0EDBA29A" w14:textId="737D8BD9" w:rsidR="008B0F39" w:rsidRPr="00491076" w:rsidRDefault="000E517E"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84</w:t>
            </w:r>
          </w:p>
        </w:tc>
        <w:tc>
          <w:tcPr>
            <w:tcW w:w="1837" w:type="dxa"/>
            <w:shd w:val="clear" w:color="auto" w:fill="C6EFCE"/>
            <w:noWrap/>
          </w:tcPr>
          <w:p w14:paraId="58FD2402" w14:textId="77777777" w:rsidR="003B02A1" w:rsidRPr="00491076" w:rsidRDefault="008B0F39" w:rsidP="0073609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C4.R5: </w:t>
            </w:r>
          </w:p>
          <w:p w14:paraId="1AF9A997" w14:textId="6585CC57" w:rsidR="008B0F39" w:rsidRPr="00491076" w:rsidRDefault="008B0F39" w:rsidP="0073609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Обслужване на едно гише за обновяване</w:t>
            </w:r>
          </w:p>
        </w:tc>
        <w:tc>
          <w:tcPr>
            <w:tcW w:w="1131" w:type="dxa"/>
            <w:shd w:val="clear" w:color="auto" w:fill="C6EFCE"/>
            <w:noWrap/>
          </w:tcPr>
          <w:p w14:paraId="76EBCFCF"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Цел</w:t>
            </w:r>
          </w:p>
        </w:tc>
        <w:tc>
          <w:tcPr>
            <w:tcW w:w="1696" w:type="dxa"/>
            <w:shd w:val="clear" w:color="auto" w:fill="C6EFCE"/>
            <w:noWrap/>
          </w:tcPr>
          <w:p w14:paraId="4F901CC1" w14:textId="31AF1FC1"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Създаване на физическо обслужване на едно гише във всеки регион по NUTS-3 (или функционална област);</w:t>
            </w:r>
            <w:r>
              <w:rPr>
                <w:rFonts w:ascii="Times New Roman" w:hAnsi="Times New Roman"/>
                <w:noProof/>
                <w:color w:val="006100"/>
                <w:sz w:val="20"/>
              </w:rPr>
              <w:br/>
            </w:r>
          </w:p>
        </w:tc>
        <w:tc>
          <w:tcPr>
            <w:tcW w:w="1414" w:type="dxa"/>
            <w:shd w:val="clear" w:color="auto" w:fill="C6EFCE"/>
            <w:noWrap/>
          </w:tcPr>
          <w:p w14:paraId="66ABE8F5"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 </w:t>
            </w:r>
          </w:p>
        </w:tc>
        <w:tc>
          <w:tcPr>
            <w:tcW w:w="1151" w:type="dxa"/>
            <w:shd w:val="clear" w:color="auto" w:fill="C6EFCE"/>
            <w:noWrap/>
          </w:tcPr>
          <w:p w14:paraId="6C14FED4"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Брой</w:t>
            </w:r>
          </w:p>
        </w:tc>
        <w:tc>
          <w:tcPr>
            <w:tcW w:w="1275" w:type="dxa"/>
            <w:shd w:val="clear" w:color="auto" w:fill="C6EFCE"/>
            <w:noWrap/>
          </w:tcPr>
          <w:p w14:paraId="7C810692"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0</w:t>
            </w:r>
          </w:p>
        </w:tc>
        <w:tc>
          <w:tcPr>
            <w:tcW w:w="1134" w:type="dxa"/>
            <w:shd w:val="clear" w:color="auto" w:fill="C6EFCE"/>
            <w:noWrap/>
          </w:tcPr>
          <w:p w14:paraId="7CE5FD1B"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28</w:t>
            </w:r>
          </w:p>
        </w:tc>
        <w:tc>
          <w:tcPr>
            <w:tcW w:w="851" w:type="dxa"/>
            <w:shd w:val="clear" w:color="auto" w:fill="C6EFCE"/>
            <w:noWrap/>
          </w:tcPr>
          <w:p w14:paraId="1E2BEE92" w14:textId="0092B4E8" w:rsidR="008B0F39" w:rsidRPr="00491076" w:rsidRDefault="008B0F39" w:rsidP="00723D43">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T4</w:t>
            </w:r>
          </w:p>
        </w:tc>
        <w:tc>
          <w:tcPr>
            <w:tcW w:w="709" w:type="dxa"/>
            <w:shd w:val="clear" w:color="auto" w:fill="C6EFCE"/>
            <w:noWrap/>
          </w:tcPr>
          <w:p w14:paraId="166C10F6"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2023</w:t>
            </w:r>
          </w:p>
        </w:tc>
        <w:tc>
          <w:tcPr>
            <w:tcW w:w="3772" w:type="dxa"/>
            <w:shd w:val="clear" w:color="auto" w:fill="C6EFCE"/>
            <w:noWrap/>
          </w:tcPr>
          <w:p w14:paraId="4AD37081" w14:textId="4512085A" w:rsidR="008B0F39" w:rsidRPr="00491076" w:rsidRDefault="008B0F39" w:rsidP="006A5F93">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Във всеки регион по NUTS-3 функционира поне едно физическо бюро за обслужване на едно гише. Обслужването на едно гише включва цялата необходима информация и услуги, необходими за енергийното обновяване, включително за наличните източници на финансова подкрепа от ЕС.</w:t>
            </w:r>
          </w:p>
        </w:tc>
      </w:tr>
      <w:tr w:rsidR="008E16C0" w:rsidRPr="005241FC" w14:paraId="2B7EDC74" w14:textId="77777777" w:rsidTr="008E16C0">
        <w:trPr>
          <w:trHeight w:val="309"/>
        </w:trPr>
        <w:tc>
          <w:tcPr>
            <w:tcW w:w="681" w:type="dxa"/>
            <w:shd w:val="clear" w:color="auto" w:fill="C6EFCE"/>
            <w:noWrap/>
          </w:tcPr>
          <w:p w14:paraId="24EF819E" w14:textId="6F6C880F" w:rsidR="008B0F39" w:rsidRPr="00491076" w:rsidRDefault="000E517E"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85</w:t>
            </w:r>
          </w:p>
        </w:tc>
        <w:tc>
          <w:tcPr>
            <w:tcW w:w="1837" w:type="dxa"/>
            <w:shd w:val="clear" w:color="auto" w:fill="C6EFCE"/>
            <w:noWrap/>
          </w:tcPr>
          <w:p w14:paraId="1D36140E" w14:textId="77777777" w:rsidR="003B02A1" w:rsidRPr="00491076" w:rsidRDefault="008B0F39" w:rsidP="0073609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C4.I4: </w:t>
            </w:r>
          </w:p>
          <w:p w14:paraId="134C5A33" w14:textId="415CB91B" w:rsidR="008B0F39" w:rsidRPr="00491076" w:rsidRDefault="008B0F39" w:rsidP="0073609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Цифрова трансформация на електропреносната мрежа</w:t>
            </w:r>
          </w:p>
        </w:tc>
        <w:tc>
          <w:tcPr>
            <w:tcW w:w="1131" w:type="dxa"/>
            <w:shd w:val="clear" w:color="auto" w:fill="C6EFCE"/>
            <w:noWrap/>
          </w:tcPr>
          <w:p w14:paraId="732D1B29"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696" w:type="dxa"/>
            <w:shd w:val="clear" w:color="auto" w:fill="C6EFCE"/>
            <w:noWrap/>
          </w:tcPr>
          <w:p w14:paraId="2477DC6C" w14:textId="7297A8B2"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Сключване на договори за модернизация и цифровизация на националните преносни системи </w:t>
            </w:r>
          </w:p>
        </w:tc>
        <w:tc>
          <w:tcPr>
            <w:tcW w:w="1414" w:type="dxa"/>
            <w:shd w:val="clear" w:color="auto" w:fill="C6EFCE"/>
            <w:noWrap/>
          </w:tcPr>
          <w:p w14:paraId="254FDDB3"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Подписан(и) договор(и) от „ЕСО“ ЕАД със спечелилия(ите) оферент(и)</w:t>
            </w:r>
          </w:p>
        </w:tc>
        <w:tc>
          <w:tcPr>
            <w:tcW w:w="1151" w:type="dxa"/>
            <w:shd w:val="clear" w:color="auto" w:fill="C6EFCE"/>
            <w:noWrap/>
          </w:tcPr>
          <w:p w14:paraId="03F8D3EE"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1275" w:type="dxa"/>
            <w:shd w:val="clear" w:color="auto" w:fill="C6EFCE"/>
            <w:noWrap/>
          </w:tcPr>
          <w:p w14:paraId="7BE6F1E7"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1134" w:type="dxa"/>
            <w:shd w:val="clear" w:color="auto" w:fill="C6EFCE"/>
            <w:noWrap/>
          </w:tcPr>
          <w:p w14:paraId="65DB1DB5"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851" w:type="dxa"/>
            <w:shd w:val="clear" w:color="auto" w:fill="C6EFCE"/>
            <w:noWrap/>
          </w:tcPr>
          <w:p w14:paraId="220F8D16"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T3</w:t>
            </w:r>
          </w:p>
        </w:tc>
        <w:tc>
          <w:tcPr>
            <w:tcW w:w="709" w:type="dxa"/>
            <w:shd w:val="clear" w:color="auto" w:fill="C6EFCE"/>
            <w:noWrap/>
          </w:tcPr>
          <w:p w14:paraId="49A440C9"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2022</w:t>
            </w:r>
          </w:p>
        </w:tc>
        <w:tc>
          <w:tcPr>
            <w:tcW w:w="3772" w:type="dxa"/>
            <w:shd w:val="clear" w:color="auto" w:fill="C6EFCE"/>
            <w:noWrap/>
          </w:tcPr>
          <w:p w14:paraId="2F8564F5" w14:textId="6C840492" w:rsidR="008B0F39" w:rsidRPr="00491076" w:rsidRDefault="008B0F39" w:rsidP="00C2179C">
            <w:pPr>
              <w:spacing w:after="0"/>
              <w:rPr>
                <w:rFonts w:ascii="Times New Roman" w:hAnsi="Times New Roman" w:cs="Times New Roman"/>
                <w:noProof/>
                <w:color w:val="006100"/>
                <w:sz w:val="20"/>
                <w:szCs w:val="20"/>
              </w:rPr>
            </w:pPr>
            <w:r>
              <w:rPr>
                <w:rFonts w:ascii="Times New Roman" w:hAnsi="Times New Roman"/>
                <w:noProof/>
                <w:color w:val="006100"/>
                <w:sz w:val="20"/>
              </w:rPr>
              <w:t>Модернизацията и цифровизацията на националните преносни системи, както е посочено в подписаните договори, включват внедряването на системи за автоматизирано управление на подстанции в 171 подстанции с напрежение 110 kV, създавайки технически условия за интегрирането в електроенергийната система на 2500 MW нов капацитет за производство от възобновяеми източници до четвъртото тримесечие на 2024 г.</w:t>
            </w:r>
          </w:p>
        </w:tc>
      </w:tr>
      <w:tr w:rsidR="008E16C0" w:rsidRPr="005241FC" w14:paraId="4B9FC435" w14:textId="77777777" w:rsidTr="008E16C0">
        <w:trPr>
          <w:trHeight w:val="309"/>
        </w:trPr>
        <w:tc>
          <w:tcPr>
            <w:tcW w:w="681" w:type="dxa"/>
            <w:shd w:val="clear" w:color="auto" w:fill="C6EFCE"/>
            <w:noWrap/>
          </w:tcPr>
          <w:p w14:paraId="3CDC12A0" w14:textId="59CF5C1A" w:rsidR="008B0F39" w:rsidRPr="00491076" w:rsidRDefault="000E517E"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86</w:t>
            </w:r>
          </w:p>
        </w:tc>
        <w:tc>
          <w:tcPr>
            <w:tcW w:w="1837" w:type="dxa"/>
            <w:shd w:val="clear" w:color="auto" w:fill="C6EFCE"/>
            <w:noWrap/>
          </w:tcPr>
          <w:p w14:paraId="225AD7E4" w14:textId="77777777" w:rsidR="003B02A1" w:rsidRPr="00491076" w:rsidRDefault="008B0F39" w:rsidP="0073609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C4.I4: </w:t>
            </w:r>
          </w:p>
          <w:p w14:paraId="61C35EB6" w14:textId="6D243D91" w:rsidR="008B0F39" w:rsidRPr="00491076" w:rsidRDefault="008B0F39" w:rsidP="0073609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Цифрова трансформация на електропреносната мрежа</w:t>
            </w:r>
          </w:p>
        </w:tc>
        <w:tc>
          <w:tcPr>
            <w:tcW w:w="1131" w:type="dxa"/>
            <w:shd w:val="clear" w:color="auto" w:fill="C6EFCE"/>
            <w:noWrap/>
          </w:tcPr>
          <w:p w14:paraId="1F155D1D"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Цел</w:t>
            </w:r>
          </w:p>
        </w:tc>
        <w:tc>
          <w:tcPr>
            <w:tcW w:w="1696" w:type="dxa"/>
            <w:shd w:val="clear" w:color="auto" w:fill="C6EFCE"/>
            <w:noWrap/>
          </w:tcPr>
          <w:p w14:paraId="11A1D1B8" w14:textId="04DC0CB2"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Технически условия за интегриране в електроенергийната система на 2500 MW нов капацитет за производство от възобновяеми източници (вятърна и слънчева енергия)</w:t>
            </w:r>
          </w:p>
        </w:tc>
        <w:tc>
          <w:tcPr>
            <w:tcW w:w="1414" w:type="dxa"/>
            <w:shd w:val="clear" w:color="auto" w:fill="C6EFCE"/>
            <w:noWrap/>
          </w:tcPr>
          <w:p w14:paraId="07F72B75"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1151" w:type="dxa"/>
            <w:shd w:val="clear" w:color="auto" w:fill="C6EFCE"/>
            <w:noWrap/>
          </w:tcPr>
          <w:p w14:paraId="304AD00B" w14:textId="4419CE44" w:rsidR="008B0F39" w:rsidRPr="00491076" w:rsidRDefault="702FA0E6" w:rsidP="702FA0E6">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 Мегавати (MW)</w:t>
            </w:r>
          </w:p>
        </w:tc>
        <w:tc>
          <w:tcPr>
            <w:tcW w:w="1275" w:type="dxa"/>
            <w:shd w:val="clear" w:color="auto" w:fill="C6EFCE"/>
            <w:noWrap/>
          </w:tcPr>
          <w:p w14:paraId="411BF3BD"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1842</w:t>
            </w:r>
          </w:p>
        </w:tc>
        <w:tc>
          <w:tcPr>
            <w:tcW w:w="1134" w:type="dxa"/>
            <w:shd w:val="clear" w:color="auto" w:fill="C6EFCE"/>
            <w:noWrap/>
          </w:tcPr>
          <w:p w14:paraId="686266E9"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4342</w:t>
            </w:r>
          </w:p>
        </w:tc>
        <w:tc>
          <w:tcPr>
            <w:tcW w:w="851" w:type="dxa"/>
            <w:shd w:val="clear" w:color="auto" w:fill="C6EFCE"/>
            <w:noWrap/>
          </w:tcPr>
          <w:p w14:paraId="2212DCE7"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T4</w:t>
            </w:r>
          </w:p>
        </w:tc>
        <w:tc>
          <w:tcPr>
            <w:tcW w:w="709" w:type="dxa"/>
            <w:shd w:val="clear" w:color="auto" w:fill="C6EFCE"/>
            <w:noWrap/>
          </w:tcPr>
          <w:p w14:paraId="48B13EBE"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2024</w:t>
            </w:r>
          </w:p>
        </w:tc>
        <w:tc>
          <w:tcPr>
            <w:tcW w:w="3772" w:type="dxa"/>
            <w:shd w:val="clear" w:color="auto" w:fill="C6EFCE"/>
            <w:noWrap/>
          </w:tcPr>
          <w:p w14:paraId="52C0DB09" w14:textId="1138B88D" w:rsidR="008B0F39" w:rsidRPr="00491076" w:rsidRDefault="008B0F39" w:rsidP="006A11AC">
            <w:pPr>
              <w:spacing w:after="0"/>
              <w:rPr>
                <w:rFonts w:ascii="Times New Roman" w:hAnsi="Times New Roman" w:cs="Times New Roman"/>
                <w:noProof/>
                <w:color w:val="006100"/>
                <w:sz w:val="20"/>
                <w:szCs w:val="20"/>
              </w:rPr>
            </w:pPr>
            <w:r>
              <w:rPr>
                <w:rFonts w:ascii="Times New Roman" w:hAnsi="Times New Roman"/>
                <w:noProof/>
                <w:color w:val="006100"/>
                <w:sz w:val="20"/>
              </w:rPr>
              <w:t>Трябва да бъдат изпълнени всички условия и изисквания за техническата осъществимост на електропреносната система, за да се интегрира в електроенергийната система най-малко 2500 MW нов капацитет за производство от възобновяеми източници в сравнение с нивата от 2020 г.</w:t>
            </w:r>
          </w:p>
        </w:tc>
      </w:tr>
      <w:tr w:rsidR="008E16C0" w:rsidRPr="005241FC" w14:paraId="5DD91432" w14:textId="77777777" w:rsidTr="008E16C0">
        <w:trPr>
          <w:trHeight w:val="309"/>
        </w:trPr>
        <w:tc>
          <w:tcPr>
            <w:tcW w:w="681" w:type="dxa"/>
            <w:shd w:val="clear" w:color="auto" w:fill="C6EFCE"/>
            <w:noWrap/>
          </w:tcPr>
          <w:p w14:paraId="4B36FA39" w14:textId="3E9C5E26" w:rsidR="008B0F39" w:rsidRPr="00491076" w:rsidRDefault="000E517E"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87</w:t>
            </w:r>
          </w:p>
        </w:tc>
        <w:tc>
          <w:tcPr>
            <w:tcW w:w="1837" w:type="dxa"/>
            <w:shd w:val="clear" w:color="auto" w:fill="C6EFCE"/>
            <w:noWrap/>
          </w:tcPr>
          <w:p w14:paraId="349E1B3D" w14:textId="77777777" w:rsidR="003B02A1" w:rsidRPr="00491076" w:rsidRDefault="008B0F39" w:rsidP="0073609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C4.I4: </w:t>
            </w:r>
          </w:p>
          <w:p w14:paraId="172A35CD" w14:textId="08DA2A86" w:rsidR="008B0F39" w:rsidRPr="00491076" w:rsidRDefault="008B0F39" w:rsidP="0073609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Цифрова трансформация на електропреносната мрежа</w:t>
            </w:r>
          </w:p>
        </w:tc>
        <w:tc>
          <w:tcPr>
            <w:tcW w:w="1131" w:type="dxa"/>
            <w:shd w:val="clear" w:color="auto" w:fill="C6EFCE"/>
            <w:noWrap/>
          </w:tcPr>
          <w:p w14:paraId="495EABD3"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Цел</w:t>
            </w:r>
          </w:p>
        </w:tc>
        <w:tc>
          <w:tcPr>
            <w:tcW w:w="1696" w:type="dxa"/>
            <w:shd w:val="clear" w:color="auto" w:fill="C6EFCE"/>
            <w:noWrap/>
          </w:tcPr>
          <w:p w14:paraId="4FF299E3"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Увеличение на нетния трансграничен преносен капацитет с 600 MW</w:t>
            </w:r>
          </w:p>
        </w:tc>
        <w:tc>
          <w:tcPr>
            <w:tcW w:w="1414" w:type="dxa"/>
            <w:shd w:val="clear" w:color="auto" w:fill="C6EFCE"/>
            <w:noWrap/>
          </w:tcPr>
          <w:p w14:paraId="29068A4F"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1151" w:type="dxa"/>
            <w:shd w:val="clear" w:color="auto" w:fill="C6EFCE"/>
            <w:noWrap/>
          </w:tcPr>
          <w:p w14:paraId="7AF4C14D" w14:textId="1F741469" w:rsidR="008B0F39" w:rsidRPr="00491076" w:rsidRDefault="702FA0E6"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 Мегавати (MW)</w:t>
            </w:r>
          </w:p>
        </w:tc>
        <w:tc>
          <w:tcPr>
            <w:tcW w:w="1275" w:type="dxa"/>
            <w:shd w:val="clear" w:color="auto" w:fill="C6EFCE"/>
            <w:noWrap/>
          </w:tcPr>
          <w:p w14:paraId="1AA8A78D"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1400</w:t>
            </w:r>
          </w:p>
        </w:tc>
        <w:tc>
          <w:tcPr>
            <w:tcW w:w="1134" w:type="dxa"/>
            <w:shd w:val="clear" w:color="auto" w:fill="C6EFCE"/>
            <w:noWrap/>
          </w:tcPr>
          <w:p w14:paraId="53309A5F"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2000</w:t>
            </w:r>
          </w:p>
        </w:tc>
        <w:tc>
          <w:tcPr>
            <w:tcW w:w="851" w:type="dxa"/>
            <w:shd w:val="clear" w:color="auto" w:fill="C6EFCE"/>
            <w:noWrap/>
          </w:tcPr>
          <w:p w14:paraId="0A9F19AA"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T2</w:t>
            </w:r>
          </w:p>
        </w:tc>
        <w:tc>
          <w:tcPr>
            <w:tcW w:w="709" w:type="dxa"/>
            <w:shd w:val="clear" w:color="auto" w:fill="C6EFCE"/>
            <w:noWrap/>
          </w:tcPr>
          <w:p w14:paraId="14A8387F"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2024</w:t>
            </w:r>
          </w:p>
        </w:tc>
        <w:tc>
          <w:tcPr>
            <w:tcW w:w="3772" w:type="dxa"/>
            <w:shd w:val="clear" w:color="auto" w:fill="C6EFCE"/>
            <w:noWrap/>
          </w:tcPr>
          <w:p w14:paraId="148C1A49" w14:textId="480CA8C4" w:rsidR="008B0F39" w:rsidRPr="00491076" w:rsidRDefault="008B0F39" w:rsidP="006A11AC">
            <w:pPr>
              <w:spacing w:after="0"/>
              <w:rPr>
                <w:rFonts w:ascii="Times New Roman" w:hAnsi="Times New Roman" w:cs="Times New Roman"/>
                <w:noProof/>
                <w:color w:val="006100"/>
                <w:sz w:val="20"/>
                <w:szCs w:val="20"/>
              </w:rPr>
            </w:pPr>
            <w:r>
              <w:rPr>
                <w:rFonts w:ascii="Times New Roman" w:hAnsi="Times New Roman"/>
                <w:noProof/>
                <w:color w:val="006100"/>
                <w:sz w:val="20"/>
              </w:rPr>
              <w:t>Трябва да се въведат в експлоатация и предоставят на пазара най-малко 600 MW допълнителен нетен трансграничен преносен капацитет с Румъния и Гърция в сравнение с нивата от 2020 г.</w:t>
            </w:r>
          </w:p>
        </w:tc>
      </w:tr>
      <w:tr w:rsidR="008E16C0" w:rsidRPr="005241FC" w14:paraId="38E8C5BC" w14:textId="77777777" w:rsidTr="008E16C0">
        <w:trPr>
          <w:trHeight w:val="309"/>
        </w:trPr>
        <w:tc>
          <w:tcPr>
            <w:tcW w:w="681" w:type="dxa"/>
            <w:shd w:val="clear" w:color="auto" w:fill="C6EFCE"/>
            <w:noWrap/>
          </w:tcPr>
          <w:p w14:paraId="6BE8AC69" w14:textId="0901F422" w:rsidR="008B0F39" w:rsidRPr="00491076" w:rsidRDefault="000E517E"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88</w:t>
            </w:r>
          </w:p>
        </w:tc>
        <w:tc>
          <w:tcPr>
            <w:tcW w:w="1837" w:type="dxa"/>
            <w:shd w:val="clear" w:color="auto" w:fill="C6EFCE"/>
            <w:noWrap/>
          </w:tcPr>
          <w:p w14:paraId="001FB8A1" w14:textId="77777777" w:rsidR="003B02A1" w:rsidRPr="00491076" w:rsidRDefault="008B0F39" w:rsidP="0073609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C4.I4: </w:t>
            </w:r>
          </w:p>
          <w:p w14:paraId="582B27B6" w14:textId="5E69138C" w:rsidR="008B0F39" w:rsidRPr="00491076" w:rsidRDefault="008B0F39" w:rsidP="0073609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Цифрова трансформация на електропреносната мрежа</w:t>
            </w:r>
          </w:p>
        </w:tc>
        <w:tc>
          <w:tcPr>
            <w:tcW w:w="1131" w:type="dxa"/>
            <w:shd w:val="clear" w:color="auto" w:fill="C6EFCE"/>
            <w:noWrap/>
          </w:tcPr>
          <w:p w14:paraId="0A9F5CCB"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Цел</w:t>
            </w:r>
          </w:p>
        </w:tc>
        <w:tc>
          <w:tcPr>
            <w:tcW w:w="1696" w:type="dxa"/>
            <w:shd w:val="clear" w:color="auto" w:fill="C6EFCE"/>
            <w:noWrap/>
          </w:tcPr>
          <w:p w14:paraId="1EB78BE6"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Увеличение на нетния трансграничен преносен капацитет с допълнителни 600 MW</w:t>
            </w:r>
          </w:p>
        </w:tc>
        <w:tc>
          <w:tcPr>
            <w:tcW w:w="1414" w:type="dxa"/>
            <w:shd w:val="clear" w:color="auto" w:fill="C6EFCE"/>
            <w:noWrap/>
          </w:tcPr>
          <w:p w14:paraId="027EBA38"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1151" w:type="dxa"/>
            <w:shd w:val="clear" w:color="auto" w:fill="C6EFCE"/>
            <w:noWrap/>
          </w:tcPr>
          <w:p w14:paraId="52BAAAA5" w14:textId="414335A8" w:rsidR="008B0F39" w:rsidRPr="00491076" w:rsidRDefault="702FA0E6"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 Мегавати (MW)</w:t>
            </w:r>
          </w:p>
        </w:tc>
        <w:tc>
          <w:tcPr>
            <w:tcW w:w="1275" w:type="dxa"/>
            <w:shd w:val="clear" w:color="auto" w:fill="C6EFCE"/>
            <w:noWrap/>
          </w:tcPr>
          <w:p w14:paraId="5E314D8A"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1400</w:t>
            </w:r>
          </w:p>
        </w:tc>
        <w:tc>
          <w:tcPr>
            <w:tcW w:w="1134" w:type="dxa"/>
            <w:shd w:val="clear" w:color="auto" w:fill="C6EFCE"/>
            <w:noWrap/>
          </w:tcPr>
          <w:p w14:paraId="2478908F"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2600</w:t>
            </w:r>
          </w:p>
        </w:tc>
        <w:tc>
          <w:tcPr>
            <w:tcW w:w="851" w:type="dxa"/>
            <w:shd w:val="clear" w:color="auto" w:fill="C6EFCE"/>
            <w:noWrap/>
          </w:tcPr>
          <w:p w14:paraId="404E873B"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T2</w:t>
            </w:r>
          </w:p>
        </w:tc>
        <w:tc>
          <w:tcPr>
            <w:tcW w:w="709" w:type="dxa"/>
            <w:shd w:val="clear" w:color="auto" w:fill="C6EFCE"/>
            <w:noWrap/>
          </w:tcPr>
          <w:p w14:paraId="1FA6AEA3"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2025</w:t>
            </w:r>
          </w:p>
        </w:tc>
        <w:tc>
          <w:tcPr>
            <w:tcW w:w="3772" w:type="dxa"/>
            <w:shd w:val="clear" w:color="auto" w:fill="C6EFCE"/>
            <w:noWrap/>
          </w:tcPr>
          <w:p w14:paraId="588672A3" w14:textId="28B3377E"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Трябва да се въведат в експлоатация и предоставят на пазара най-малко 1200 MW допълнителен нетен трансграничен преносен капацитет с Румъния и Гърция в сравнение с нивата от 2020 г.</w:t>
            </w:r>
          </w:p>
        </w:tc>
      </w:tr>
      <w:tr w:rsidR="008E16C0" w:rsidRPr="005241FC" w14:paraId="53BDCE67" w14:textId="77777777" w:rsidTr="008E16C0">
        <w:trPr>
          <w:trHeight w:val="309"/>
        </w:trPr>
        <w:tc>
          <w:tcPr>
            <w:tcW w:w="681" w:type="dxa"/>
            <w:shd w:val="clear" w:color="auto" w:fill="C6EFCE"/>
            <w:noWrap/>
          </w:tcPr>
          <w:p w14:paraId="54F69410" w14:textId="5DDE5BE0" w:rsidR="008B0F39" w:rsidRPr="00491076" w:rsidRDefault="000E517E"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89</w:t>
            </w:r>
          </w:p>
        </w:tc>
        <w:tc>
          <w:tcPr>
            <w:tcW w:w="1837" w:type="dxa"/>
            <w:shd w:val="clear" w:color="auto" w:fill="C6EFCE"/>
            <w:noWrap/>
          </w:tcPr>
          <w:p w14:paraId="48FAFA9C" w14:textId="77777777" w:rsidR="003B02A1" w:rsidRPr="00491076" w:rsidRDefault="0073609B" w:rsidP="0066695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C4.I4: </w:t>
            </w:r>
          </w:p>
          <w:p w14:paraId="129B10B1" w14:textId="48644013"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Цифрова трансформация на електропреносната мрежа</w:t>
            </w:r>
          </w:p>
        </w:tc>
        <w:tc>
          <w:tcPr>
            <w:tcW w:w="1131" w:type="dxa"/>
            <w:shd w:val="clear" w:color="auto" w:fill="C6EFCE"/>
            <w:noWrap/>
          </w:tcPr>
          <w:p w14:paraId="61DC18D6"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Цел</w:t>
            </w:r>
          </w:p>
        </w:tc>
        <w:tc>
          <w:tcPr>
            <w:tcW w:w="1696" w:type="dxa"/>
            <w:shd w:val="clear" w:color="auto" w:fill="C6EFCE"/>
            <w:noWrap/>
          </w:tcPr>
          <w:p w14:paraId="53B1AEF8" w14:textId="24006DD5"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Технически условия за интегриране на допълнителни 2500 MW от възобновяеми източници (вятърна и слънчева енергия) в електроенергийната система</w:t>
            </w:r>
          </w:p>
        </w:tc>
        <w:tc>
          <w:tcPr>
            <w:tcW w:w="1414" w:type="dxa"/>
            <w:shd w:val="clear" w:color="auto" w:fill="C6EFCE"/>
            <w:noWrap/>
          </w:tcPr>
          <w:p w14:paraId="62924924"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1151" w:type="dxa"/>
            <w:shd w:val="clear" w:color="auto" w:fill="C6EFCE"/>
            <w:noWrap/>
          </w:tcPr>
          <w:p w14:paraId="210CDD3F" w14:textId="1A9DA12E" w:rsidR="008B0F39" w:rsidRPr="00491076" w:rsidRDefault="702FA0E6"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 Мегавати (MW)</w:t>
            </w:r>
          </w:p>
        </w:tc>
        <w:tc>
          <w:tcPr>
            <w:tcW w:w="1275" w:type="dxa"/>
            <w:shd w:val="clear" w:color="auto" w:fill="C6EFCE"/>
            <w:noWrap/>
          </w:tcPr>
          <w:p w14:paraId="05907456"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4342</w:t>
            </w:r>
          </w:p>
        </w:tc>
        <w:tc>
          <w:tcPr>
            <w:tcW w:w="1134" w:type="dxa"/>
            <w:shd w:val="clear" w:color="auto" w:fill="C6EFCE"/>
            <w:noWrap/>
          </w:tcPr>
          <w:p w14:paraId="11CBAE6F"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6342</w:t>
            </w:r>
          </w:p>
        </w:tc>
        <w:tc>
          <w:tcPr>
            <w:tcW w:w="851" w:type="dxa"/>
            <w:shd w:val="clear" w:color="auto" w:fill="C6EFCE"/>
            <w:noWrap/>
          </w:tcPr>
          <w:p w14:paraId="4DEF8BB9" w14:textId="7E64951E"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T1</w:t>
            </w:r>
          </w:p>
        </w:tc>
        <w:tc>
          <w:tcPr>
            <w:tcW w:w="709" w:type="dxa"/>
            <w:shd w:val="clear" w:color="auto" w:fill="C6EFCE"/>
            <w:noWrap/>
          </w:tcPr>
          <w:p w14:paraId="79D02945" w14:textId="73B99083" w:rsidR="008B0F39" w:rsidRPr="00491076" w:rsidRDefault="008B0F39" w:rsidP="006A11AC">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2026</w:t>
            </w:r>
          </w:p>
        </w:tc>
        <w:tc>
          <w:tcPr>
            <w:tcW w:w="3772" w:type="dxa"/>
            <w:shd w:val="clear" w:color="auto" w:fill="C6EFCE"/>
            <w:noWrap/>
          </w:tcPr>
          <w:p w14:paraId="41CC3FF1" w14:textId="30E9F218" w:rsidR="008B0F39" w:rsidRPr="00491076" w:rsidRDefault="008B0F39" w:rsidP="006A11AC">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Трябва да бъдат изпълнени всички условия и изисквания за техническата осъществимост на електропреносната система, за да се интегрират в електроенергийната система допълнителни 2000 MW за кумулативен нов производствен капацитет от 4500 MW от възобновяеми източници в сравнение с нивата от 2020 г.</w:t>
            </w:r>
          </w:p>
        </w:tc>
      </w:tr>
      <w:tr w:rsidR="008E16C0" w:rsidRPr="005241FC" w14:paraId="4E823D8D" w14:textId="77777777" w:rsidTr="008E16C0">
        <w:trPr>
          <w:trHeight w:val="309"/>
        </w:trPr>
        <w:tc>
          <w:tcPr>
            <w:tcW w:w="681" w:type="dxa"/>
            <w:shd w:val="clear" w:color="auto" w:fill="C6EFCE"/>
            <w:noWrap/>
          </w:tcPr>
          <w:p w14:paraId="33A414B1" w14:textId="5B0F4B10" w:rsidR="008B0F39" w:rsidRPr="00491076" w:rsidRDefault="000E517E"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90</w:t>
            </w:r>
          </w:p>
        </w:tc>
        <w:tc>
          <w:tcPr>
            <w:tcW w:w="1837" w:type="dxa"/>
            <w:shd w:val="clear" w:color="auto" w:fill="C6EFCE"/>
            <w:noWrap/>
          </w:tcPr>
          <w:p w14:paraId="05B94835" w14:textId="77777777" w:rsidR="003B02A1" w:rsidRPr="00491076" w:rsidRDefault="008B0F39" w:rsidP="0073609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C4.R7: </w:t>
            </w:r>
          </w:p>
          <w:p w14:paraId="38BAAAE2" w14:textId="55063CB2" w:rsidR="008B0F39" w:rsidRPr="00491076" w:rsidRDefault="008B0F39" w:rsidP="0073609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Разгръщане на потенциала на водородните технологии и производството и доставките на водород </w:t>
            </w:r>
          </w:p>
        </w:tc>
        <w:tc>
          <w:tcPr>
            <w:tcW w:w="1131" w:type="dxa"/>
            <w:shd w:val="clear" w:color="auto" w:fill="C6EFCE"/>
            <w:noWrap/>
          </w:tcPr>
          <w:p w14:paraId="6C3A7F1C"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696" w:type="dxa"/>
            <w:shd w:val="clear" w:color="auto" w:fill="C6EFCE"/>
            <w:noWrap/>
          </w:tcPr>
          <w:p w14:paraId="1B2B3B4D"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Влизане в сила на измененията на законодателната рамка за изпълнение на националната пътна карта</w:t>
            </w:r>
          </w:p>
        </w:tc>
        <w:tc>
          <w:tcPr>
            <w:tcW w:w="1414" w:type="dxa"/>
            <w:shd w:val="clear" w:color="auto" w:fill="C6EFCE"/>
            <w:noWrap/>
          </w:tcPr>
          <w:p w14:paraId="648EC2A0"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Законова разпоредба, указваща влизането в сила на измененията в законодателната рамка</w:t>
            </w:r>
          </w:p>
        </w:tc>
        <w:tc>
          <w:tcPr>
            <w:tcW w:w="1151" w:type="dxa"/>
            <w:shd w:val="clear" w:color="auto" w:fill="C6EFCE"/>
            <w:noWrap/>
          </w:tcPr>
          <w:p w14:paraId="53CD632B"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1275" w:type="dxa"/>
            <w:shd w:val="clear" w:color="auto" w:fill="C6EFCE"/>
            <w:noWrap/>
          </w:tcPr>
          <w:p w14:paraId="096249CF"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1134" w:type="dxa"/>
            <w:shd w:val="clear" w:color="auto" w:fill="C6EFCE"/>
            <w:noWrap/>
          </w:tcPr>
          <w:p w14:paraId="1AB62DDE"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851" w:type="dxa"/>
            <w:shd w:val="clear" w:color="auto" w:fill="C6EFCE"/>
            <w:noWrap/>
          </w:tcPr>
          <w:p w14:paraId="5A0A62CE"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T1</w:t>
            </w:r>
          </w:p>
        </w:tc>
        <w:tc>
          <w:tcPr>
            <w:tcW w:w="709" w:type="dxa"/>
            <w:shd w:val="clear" w:color="auto" w:fill="C6EFCE"/>
            <w:noWrap/>
          </w:tcPr>
          <w:p w14:paraId="5B7D6BC6"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2023</w:t>
            </w:r>
          </w:p>
        </w:tc>
        <w:tc>
          <w:tcPr>
            <w:tcW w:w="3772" w:type="dxa"/>
            <w:shd w:val="clear" w:color="auto" w:fill="C6EFCE"/>
            <w:noWrap/>
          </w:tcPr>
          <w:p w14:paraId="759C7D31" w14:textId="77777777"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Влизане в сила на измененията на законодателната рамка за изпълнение на националната пътна карта Законова разпоредба, указваща влизането в сила на измененията в законодателната рамка</w:t>
            </w:r>
          </w:p>
          <w:p w14:paraId="0F7BC115" w14:textId="428C8517" w:rsidR="008B0F39" w:rsidRPr="008A0F8A" w:rsidRDefault="008B0F39" w:rsidP="0066695B">
            <w:pPr>
              <w:spacing w:after="0"/>
              <w:rPr>
                <w:rFonts w:ascii="Times New Roman" w:hAnsi="Times New Roman" w:cs="Times New Roman"/>
                <w:noProof/>
                <w:color w:val="006100"/>
                <w:sz w:val="20"/>
                <w:szCs w:val="20"/>
                <w:lang w:val="ru-RU"/>
              </w:rPr>
            </w:pPr>
          </w:p>
          <w:p w14:paraId="19AAF4E9"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Влизане в сила на измененията в регулаторната рамка въз основа на националната пътна карта. Измененията трябва да премахнат основните пречки, посочени в пътната карта за развитието на технология за зелен водород, и да се приложат мерките, необходими за развитието на цялата верига за създаване на стойност във връзка със зеления водород.</w:t>
            </w:r>
          </w:p>
        </w:tc>
      </w:tr>
      <w:tr w:rsidR="008E16C0" w:rsidRPr="005241FC" w14:paraId="70F4BFE0" w14:textId="77777777" w:rsidTr="008E16C0">
        <w:trPr>
          <w:trHeight w:val="309"/>
        </w:trPr>
        <w:tc>
          <w:tcPr>
            <w:tcW w:w="681" w:type="dxa"/>
            <w:shd w:val="clear" w:color="auto" w:fill="C6EFCE"/>
            <w:noWrap/>
          </w:tcPr>
          <w:p w14:paraId="758018D2" w14:textId="7133C35C" w:rsidR="008B0F39" w:rsidRPr="00491076" w:rsidRDefault="000E517E"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91</w:t>
            </w:r>
          </w:p>
        </w:tc>
        <w:tc>
          <w:tcPr>
            <w:tcW w:w="1837" w:type="dxa"/>
            <w:shd w:val="clear" w:color="auto" w:fill="C6EFCE"/>
            <w:noWrap/>
          </w:tcPr>
          <w:p w14:paraId="5796BF70" w14:textId="77777777" w:rsidR="003B02A1" w:rsidRPr="00491076" w:rsidRDefault="008B0F39" w:rsidP="0073609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C4.R8: </w:t>
            </w:r>
          </w:p>
          <w:p w14:paraId="4E451EE2" w14:textId="49B24891" w:rsidR="008B0F39" w:rsidRPr="00491076" w:rsidRDefault="008B0F39" w:rsidP="0073609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Либерализация на пазара на електроенергия</w:t>
            </w:r>
          </w:p>
        </w:tc>
        <w:tc>
          <w:tcPr>
            <w:tcW w:w="1131" w:type="dxa"/>
            <w:shd w:val="clear" w:color="auto" w:fill="C6EFCE"/>
            <w:noWrap/>
          </w:tcPr>
          <w:p w14:paraId="4CBEA1D6"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696" w:type="dxa"/>
            <w:shd w:val="clear" w:color="auto" w:fill="C6EFCE"/>
            <w:noWrap/>
          </w:tcPr>
          <w:p w14:paraId="4853717F"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Влизане в сила на измененията в Закона за енергетиката за реформа на пазарите на електрическа енергия (търговия на едро, балансиране и търговия на дребно)</w:t>
            </w:r>
          </w:p>
        </w:tc>
        <w:tc>
          <w:tcPr>
            <w:tcW w:w="1414" w:type="dxa"/>
            <w:shd w:val="clear" w:color="auto" w:fill="C6EFCE"/>
            <w:noWrap/>
          </w:tcPr>
          <w:p w14:paraId="4435FE69"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Законова разпоредба, указваща влизането в сила на новите изменения в Закона за енергетиката</w:t>
            </w:r>
          </w:p>
        </w:tc>
        <w:tc>
          <w:tcPr>
            <w:tcW w:w="1151" w:type="dxa"/>
            <w:shd w:val="clear" w:color="auto" w:fill="C6EFCE"/>
            <w:noWrap/>
          </w:tcPr>
          <w:p w14:paraId="666DE3D9"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1275" w:type="dxa"/>
            <w:shd w:val="clear" w:color="auto" w:fill="C6EFCE"/>
            <w:noWrap/>
          </w:tcPr>
          <w:p w14:paraId="20CAF6A4"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1134" w:type="dxa"/>
            <w:shd w:val="clear" w:color="auto" w:fill="C6EFCE"/>
            <w:noWrap/>
          </w:tcPr>
          <w:p w14:paraId="2564C041"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851" w:type="dxa"/>
            <w:shd w:val="clear" w:color="auto" w:fill="C6EFCE"/>
            <w:noWrap/>
          </w:tcPr>
          <w:p w14:paraId="25304CD0"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T3</w:t>
            </w:r>
          </w:p>
        </w:tc>
        <w:tc>
          <w:tcPr>
            <w:tcW w:w="709" w:type="dxa"/>
            <w:shd w:val="clear" w:color="auto" w:fill="C6EFCE"/>
            <w:noWrap/>
          </w:tcPr>
          <w:p w14:paraId="48FFA12D"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2022</w:t>
            </w:r>
          </w:p>
        </w:tc>
        <w:tc>
          <w:tcPr>
            <w:tcW w:w="3772" w:type="dxa"/>
            <w:shd w:val="clear" w:color="auto" w:fill="C6EFCE"/>
            <w:noWrap/>
          </w:tcPr>
          <w:p w14:paraId="11D71E7B" w14:textId="77777777"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 xml:space="preserve">Измененията в Закона за енергетиката (и във всички необходими подзаконови актове): </w:t>
            </w:r>
          </w:p>
          <w:p w14:paraId="04B91414" w14:textId="77777777" w:rsidR="008B0F39" w:rsidRPr="008A0F8A" w:rsidRDefault="008B0F39" w:rsidP="0066695B">
            <w:pPr>
              <w:spacing w:after="0"/>
              <w:rPr>
                <w:rFonts w:ascii="Times New Roman" w:hAnsi="Times New Roman" w:cs="Times New Roman"/>
                <w:noProof/>
                <w:color w:val="006100"/>
                <w:sz w:val="20"/>
                <w:szCs w:val="20"/>
                <w:lang w:val="ru-RU"/>
              </w:rPr>
            </w:pPr>
          </w:p>
          <w:p w14:paraId="4B43EA01" w14:textId="77777777"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 xml:space="preserve">1. либерализират пазара на едро на електроенергия най-късно до 30 септември 2022 г. Това трябва да включва: </w:t>
            </w:r>
          </w:p>
          <w:p w14:paraId="0774FEAF" w14:textId="77777777"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 премахване на задълженията за квоти за „Национална електрическа компания“ ЕАД (НЕК) и прекратяване на ролята ѝ на обществен доставчик;</w:t>
            </w:r>
          </w:p>
          <w:p w14:paraId="2E5B3CA4" w14:textId="19D19DE9"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 забрана на дългосрочните договори, като например споразумения за изкупуване на електроенергия или други подобни споразумения със същия или равностоен предмет или ефект, с изключение на тези за електроенергия от възобновяеми източници или сключени на енергийната борса. При изтичане или предсрочно прекратяване на действащи споразумения за изкупуване на електроенергия централите, които са се възползвали от такива споразумения, не трябва да получават нова държавна помощ за подпомагане на производството на електроенергия от въглища;</w:t>
            </w:r>
          </w:p>
          <w:p w14:paraId="7D323AD6" w14:textId="77777777" w:rsidR="008B0F39" w:rsidRPr="008A0F8A" w:rsidRDefault="008B0F39" w:rsidP="0066695B">
            <w:pPr>
              <w:spacing w:after="0"/>
              <w:rPr>
                <w:rFonts w:ascii="Times New Roman" w:hAnsi="Times New Roman" w:cs="Times New Roman"/>
                <w:noProof/>
                <w:color w:val="006100"/>
                <w:sz w:val="20"/>
                <w:szCs w:val="20"/>
                <w:lang w:val="ru-RU"/>
              </w:rPr>
            </w:pPr>
          </w:p>
          <w:p w14:paraId="0B082D17" w14:textId="77777777"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2. реформират балансиращия пазар на електроенергия най-късно до 31 декември 2022 г. Това трябва да включва:</w:t>
            </w:r>
          </w:p>
          <w:p w14:paraId="53B67CE2" w14:textId="5FD7317F" w:rsidR="008B0F39" w:rsidRPr="00491076" w:rsidRDefault="008B0F39" w:rsidP="00C2179C">
            <w:pPr>
              <w:pStyle w:val="ListParagraph"/>
              <w:numPr>
                <w:ilvl w:val="0"/>
                <w:numId w:val="83"/>
              </w:numPr>
              <w:spacing w:after="0"/>
              <w:ind w:left="360"/>
              <w:rPr>
                <w:rFonts w:ascii="Times New Roman" w:hAnsi="Times New Roman" w:cs="Times New Roman"/>
                <w:noProof/>
                <w:color w:val="006100"/>
                <w:sz w:val="20"/>
                <w:szCs w:val="20"/>
              </w:rPr>
            </w:pPr>
            <w:r>
              <w:rPr>
                <w:rFonts w:ascii="Times New Roman" w:hAnsi="Times New Roman"/>
                <w:noProof/>
                <w:color w:val="006100"/>
                <w:sz w:val="20"/>
              </w:rPr>
              <w:t>закупуването на балансираща мощност е пазарно ориентирано;</w:t>
            </w:r>
          </w:p>
          <w:p w14:paraId="1AE1C66A" w14:textId="77777777" w:rsidR="008B0F39" w:rsidRPr="00491076" w:rsidRDefault="008B0F39" w:rsidP="00C2179C">
            <w:pPr>
              <w:pStyle w:val="ListParagraph"/>
              <w:numPr>
                <w:ilvl w:val="0"/>
                <w:numId w:val="83"/>
              </w:numPr>
              <w:spacing w:after="0"/>
              <w:ind w:left="360"/>
              <w:rPr>
                <w:rFonts w:ascii="Times New Roman" w:hAnsi="Times New Roman" w:cs="Times New Roman"/>
                <w:noProof/>
                <w:color w:val="006100"/>
                <w:sz w:val="20"/>
                <w:szCs w:val="20"/>
              </w:rPr>
            </w:pPr>
            <w:r>
              <w:rPr>
                <w:rFonts w:ascii="Times New Roman" w:hAnsi="Times New Roman"/>
                <w:noProof/>
                <w:color w:val="006100"/>
                <w:sz w:val="20"/>
              </w:rPr>
              <w:t xml:space="preserve">цената на балансиращата енергия се публикува в рамките на 30 минути след затварянето на пазара в рамките на деня; </w:t>
            </w:r>
          </w:p>
          <w:p w14:paraId="6285A1F4" w14:textId="77777777" w:rsidR="008B0F39" w:rsidRPr="00491076" w:rsidRDefault="008B0F39" w:rsidP="00C2179C">
            <w:pPr>
              <w:pStyle w:val="ListParagraph"/>
              <w:numPr>
                <w:ilvl w:val="0"/>
                <w:numId w:val="83"/>
              </w:numPr>
              <w:spacing w:after="0"/>
              <w:ind w:left="360"/>
              <w:rPr>
                <w:rFonts w:ascii="Times New Roman" w:hAnsi="Times New Roman" w:cs="Times New Roman"/>
                <w:noProof/>
                <w:color w:val="006100"/>
                <w:sz w:val="20"/>
                <w:szCs w:val="20"/>
              </w:rPr>
            </w:pPr>
            <w:r>
              <w:rPr>
                <w:rFonts w:ascii="Times New Roman" w:hAnsi="Times New Roman"/>
                <w:noProof/>
                <w:color w:val="006100"/>
                <w:sz w:val="20"/>
              </w:rPr>
              <w:t xml:space="preserve">въвежда се единна цена за балансиране за периодите без задействане на балансираща енергия; </w:t>
            </w:r>
          </w:p>
          <w:p w14:paraId="3BA2F87D" w14:textId="77777777" w:rsidR="008B0F39" w:rsidRPr="00491076" w:rsidRDefault="008B0F39" w:rsidP="00C2179C">
            <w:pPr>
              <w:pStyle w:val="ListParagraph"/>
              <w:numPr>
                <w:ilvl w:val="0"/>
                <w:numId w:val="83"/>
              </w:numPr>
              <w:spacing w:after="0"/>
              <w:ind w:left="360"/>
              <w:rPr>
                <w:rFonts w:ascii="Times New Roman" w:hAnsi="Times New Roman" w:cs="Times New Roman"/>
                <w:noProof/>
                <w:color w:val="006100"/>
                <w:sz w:val="20"/>
                <w:szCs w:val="20"/>
              </w:rPr>
            </w:pPr>
            <w:r>
              <w:rPr>
                <w:rFonts w:ascii="Times New Roman" w:hAnsi="Times New Roman"/>
                <w:noProof/>
                <w:color w:val="006100"/>
                <w:sz w:val="20"/>
              </w:rPr>
              <w:t>въвежда се 15-минутен период за уреждане на дисбаланса;</w:t>
            </w:r>
          </w:p>
          <w:p w14:paraId="7623ADFF" w14:textId="77777777" w:rsidR="008B0F39" w:rsidRPr="00491076" w:rsidRDefault="008B0F39" w:rsidP="00C2179C">
            <w:pPr>
              <w:pStyle w:val="ListParagraph"/>
              <w:numPr>
                <w:ilvl w:val="0"/>
                <w:numId w:val="83"/>
              </w:numPr>
              <w:spacing w:after="0"/>
              <w:ind w:left="360"/>
              <w:rPr>
                <w:rFonts w:ascii="Times New Roman" w:hAnsi="Times New Roman" w:cs="Times New Roman"/>
                <w:noProof/>
                <w:color w:val="006100"/>
                <w:sz w:val="20"/>
                <w:szCs w:val="20"/>
              </w:rPr>
            </w:pPr>
            <w:r>
              <w:rPr>
                <w:rFonts w:ascii="Times New Roman" w:hAnsi="Times New Roman"/>
                <w:noProof/>
                <w:color w:val="006100"/>
                <w:sz w:val="20"/>
              </w:rPr>
              <w:t>не се определят пределни цени за балансиращата електроенергия.</w:t>
            </w:r>
          </w:p>
          <w:p w14:paraId="51D700A1" w14:textId="77777777" w:rsidR="008B0F39" w:rsidRPr="008A0F8A" w:rsidRDefault="008B0F39" w:rsidP="0066695B">
            <w:pPr>
              <w:spacing w:after="0"/>
              <w:rPr>
                <w:rFonts w:ascii="Times New Roman" w:hAnsi="Times New Roman" w:cs="Times New Roman"/>
                <w:noProof/>
                <w:color w:val="006100"/>
                <w:sz w:val="20"/>
                <w:szCs w:val="20"/>
                <w:lang w:val="ru-RU"/>
              </w:rPr>
            </w:pPr>
          </w:p>
          <w:p w14:paraId="403FF708" w14:textId="36B97D26"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3. либерализират пазара на дребно на електроенергия най-късно до 31 декември 2025 г., като осигуряват постепенно пълно дерегулиране на цените на дребно за домакинствата, успоредно с пълната възможност за смяна на доставчика. Постепенното премахване на регулираните цени за битови клиенти се извършва на два последователни етапа съответно през 2023 г. и 2025 г., като обхваща значителен дял от пазара на домакинствата.</w:t>
            </w:r>
          </w:p>
        </w:tc>
      </w:tr>
      <w:tr w:rsidR="008E16C0" w:rsidRPr="005241FC" w14:paraId="65DC1376" w14:textId="77777777" w:rsidTr="008E16C0">
        <w:trPr>
          <w:trHeight w:val="309"/>
        </w:trPr>
        <w:tc>
          <w:tcPr>
            <w:tcW w:w="681" w:type="dxa"/>
            <w:shd w:val="clear" w:color="auto" w:fill="C6EFCE"/>
            <w:noWrap/>
          </w:tcPr>
          <w:p w14:paraId="7871E9A2" w14:textId="34934089" w:rsidR="008B0F39" w:rsidRPr="00491076" w:rsidRDefault="000E517E"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92</w:t>
            </w:r>
          </w:p>
        </w:tc>
        <w:tc>
          <w:tcPr>
            <w:tcW w:w="1837" w:type="dxa"/>
            <w:shd w:val="clear" w:color="auto" w:fill="C6EFCE"/>
            <w:noWrap/>
          </w:tcPr>
          <w:p w14:paraId="3CE6DC5F" w14:textId="77777777" w:rsidR="003B02A1" w:rsidRPr="00491076" w:rsidRDefault="008B0F39" w:rsidP="0073609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C4.R8: </w:t>
            </w:r>
          </w:p>
          <w:p w14:paraId="451CF665" w14:textId="63227B73" w:rsidR="008B0F39" w:rsidRPr="00491076" w:rsidRDefault="008B0F39" w:rsidP="0073609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Либерализация на пазара на електроенергия</w:t>
            </w:r>
          </w:p>
        </w:tc>
        <w:tc>
          <w:tcPr>
            <w:tcW w:w="1131" w:type="dxa"/>
            <w:shd w:val="clear" w:color="auto" w:fill="C6EFCE"/>
            <w:noWrap/>
          </w:tcPr>
          <w:p w14:paraId="032554FD"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696" w:type="dxa"/>
            <w:shd w:val="clear" w:color="auto" w:fill="C6EFCE"/>
            <w:noWrap/>
          </w:tcPr>
          <w:p w14:paraId="4A3A2EA6"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Интеграция на пазара на електроенергия</w:t>
            </w:r>
          </w:p>
        </w:tc>
        <w:tc>
          <w:tcPr>
            <w:tcW w:w="1414" w:type="dxa"/>
            <w:shd w:val="clear" w:color="auto" w:fill="C6EFCE"/>
            <w:noWrap/>
          </w:tcPr>
          <w:p w14:paraId="351C6DC0"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Завършване на свързването на пазара на електроенергия „ден напред“ и в рамките на деня с Румъния и Гърция </w:t>
            </w:r>
          </w:p>
        </w:tc>
        <w:tc>
          <w:tcPr>
            <w:tcW w:w="1151" w:type="dxa"/>
            <w:shd w:val="clear" w:color="auto" w:fill="C6EFCE"/>
            <w:noWrap/>
          </w:tcPr>
          <w:p w14:paraId="1EAB2842"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1275" w:type="dxa"/>
            <w:shd w:val="clear" w:color="auto" w:fill="C6EFCE"/>
            <w:noWrap/>
          </w:tcPr>
          <w:p w14:paraId="273426B9"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1134" w:type="dxa"/>
            <w:shd w:val="clear" w:color="auto" w:fill="C6EFCE"/>
            <w:noWrap/>
          </w:tcPr>
          <w:p w14:paraId="16BE4A45"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851" w:type="dxa"/>
            <w:shd w:val="clear" w:color="auto" w:fill="C6EFCE"/>
            <w:noWrap/>
          </w:tcPr>
          <w:p w14:paraId="1D340259"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T4</w:t>
            </w:r>
          </w:p>
        </w:tc>
        <w:tc>
          <w:tcPr>
            <w:tcW w:w="709" w:type="dxa"/>
            <w:shd w:val="clear" w:color="auto" w:fill="C6EFCE"/>
            <w:noWrap/>
          </w:tcPr>
          <w:p w14:paraId="6F4ADC88"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2022</w:t>
            </w:r>
          </w:p>
        </w:tc>
        <w:tc>
          <w:tcPr>
            <w:tcW w:w="3772" w:type="dxa"/>
            <w:shd w:val="clear" w:color="auto" w:fill="C6EFCE"/>
            <w:noWrap/>
          </w:tcPr>
          <w:p w14:paraId="25FB4332" w14:textId="77777777"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Свързването на пазара на електроенергия „ден напред“ с Румъния трябва да приключи и да започне да функционира до 31 декември 2021 г.</w:t>
            </w:r>
          </w:p>
          <w:p w14:paraId="334D9D52" w14:textId="77777777" w:rsidR="008B0F39" w:rsidRPr="008A0F8A" w:rsidRDefault="008B0F39" w:rsidP="0066695B">
            <w:pPr>
              <w:spacing w:after="0"/>
              <w:rPr>
                <w:rFonts w:ascii="Times New Roman" w:hAnsi="Times New Roman" w:cs="Times New Roman"/>
                <w:noProof/>
                <w:color w:val="006100"/>
                <w:sz w:val="20"/>
                <w:szCs w:val="20"/>
                <w:lang w:val="ru-RU"/>
              </w:rPr>
            </w:pPr>
          </w:p>
          <w:p w14:paraId="4399298E" w14:textId="5D92B5F1" w:rsidR="008B0F39" w:rsidRPr="00491076" w:rsidRDefault="008B0F39" w:rsidP="00171269">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Свързването на пазара на електроенергия в рамките на деня с Гърция трябва да приключи и да започне да функционира до 31 декември 2022 г.</w:t>
            </w:r>
          </w:p>
        </w:tc>
      </w:tr>
      <w:tr w:rsidR="008E16C0" w:rsidRPr="005241FC" w14:paraId="2230F34F" w14:textId="77777777" w:rsidTr="008E16C0">
        <w:trPr>
          <w:trHeight w:val="309"/>
        </w:trPr>
        <w:tc>
          <w:tcPr>
            <w:tcW w:w="681" w:type="dxa"/>
            <w:tcBorders>
              <w:bottom w:val="single" w:sz="4" w:space="0" w:color="auto"/>
            </w:tcBorders>
            <w:shd w:val="clear" w:color="auto" w:fill="C6EFCE"/>
            <w:noWrap/>
          </w:tcPr>
          <w:p w14:paraId="46E37EC4" w14:textId="072698D4" w:rsidR="008B0F39" w:rsidRPr="00491076" w:rsidRDefault="000E517E"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93</w:t>
            </w:r>
          </w:p>
        </w:tc>
        <w:tc>
          <w:tcPr>
            <w:tcW w:w="1837" w:type="dxa"/>
            <w:tcBorders>
              <w:bottom w:val="single" w:sz="4" w:space="0" w:color="auto"/>
            </w:tcBorders>
            <w:shd w:val="clear" w:color="auto" w:fill="C6EFCE"/>
            <w:noWrap/>
          </w:tcPr>
          <w:p w14:paraId="213BA789" w14:textId="77777777" w:rsidR="003B02A1" w:rsidRPr="00491076" w:rsidRDefault="0073609B" w:rsidP="0073609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C4.R11: </w:t>
            </w:r>
          </w:p>
          <w:p w14:paraId="20830A6F" w14:textId="302F4A21" w:rsidR="008B0F39" w:rsidRPr="00491076" w:rsidRDefault="008B0F39" w:rsidP="0073609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Подобряване на корпоративното управление на държавните предприятия в енергийния сектор</w:t>
            </w:r>
          </w:p>
        </w:tc>
        <w:tc>
          <w:tcPr>
            <w:tcW w:w="1131" w:type="dxa"/>
            <w:tcBorders>
              <w:bottom w:val="single" w:sz="4" w:space="0" w:color="auto"/>
            </w:tcBorders>
            <w:shd w:val="clear" w:color="auto" w:fill="C6EFCE"/>
            <w:noWrap/>
          </w:tcPr>
          <w:p w14:paraId="5E340702" w14:textId="77777777" w:rsidR="008B0F39" w:rsidRPr="00491076" w:rsidRDefault="008B0F39" w:rsidP="0066695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Ключов етап</w:t>
            </w:r>
          </w:p>
        </w:tc>
        <w:tc>
          <w:tcPr>
            <w:tcW w:w="1696" w:type="dxa"/>
            <w:tcBorders>
              <w:bottom w:val="single" w:sz="4" w:space="0" w:color="auto"/>
            </w:tcBorders>
            <w:shd w:val="clear" w:color="auto" w:fill="C6EFCE"/>
            <w:noWrap/>
          </w:tcPr>
          <w:p w14:paraId="0CFDCAE5" w14:textId="605AD277" w:rsidR="008B0F39" w:rsidRPr="00491076" w:rsidRDefault="000728CF" w:rsidP="0066695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Разделяне на собствеността и контрола в рамките на държавата на операторите на преносни мрежи „Булгартрансгаз“ ЕАД и ЕСО ЕАД</w:t>
            </w:r>
          </w:p>
        </w:tc>
        <w:tc>
          <w:tcPr>
            <w:tcW w:w="1414" w:type="dxa"/>
            <w:tcBorders>
              <w:bottom w:val="single" w:sz="4" w:space="0" w:color="auto"/>
            </w:tcBorders>
            <w:shd w:val="clear" w:color="auto" w:fill="C6EFCE"/>
            <w:noWrap/>
          </w:tcPr>
          <w:p w14:paraId="7F5D6DA2" w14:textId="77777777" w:rsidR="008B0F39" w:rsidRPr="00491076" w:rsidRDefault="008B0F39" w:rsidP="0066695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Създаване на отделни корпоративни образувания, които са публична собственост</w:t>
            </w:r>
          </w:p>
        </w:tc>
        <w:tc>
          <w:tcPr>
            <w:tcW w:w="1151" w:type="dxa"/>
            <w:tcBorders>
              <w:bottom w:val="single" w:sz="4" w:space="0" w:color="auto"/>
            </w:tcBorders>
            <w:shd w:val="clear" w:color="auto" w:fill="C6EFCE"/>
            <w:noWrap/>
          </w:tcPr>
          <w:p w14:paraId="3E43D3C4" w14:textId="77777777" w:rsidR="008B0F39" w:rsidRPr="008A0F8A" w:rsidRDefault="008B0F39" w:rsidP="0066695B">
            <w:pPr>
              <w:spacing w:after="0" w:line="240" w:lineRule="auto"/>
              <w:rPr>
                <w:rFonts w:ascii="Times New Roman" w:hAnsi="Times New Roman" w:cs="Times New Roman"/>
                <w:noProof/>
                <w:color w:val="006100"/>
                <w:sz w:val="20"/>
                <w:szCs w:val="20"/>
                <w:lang w:val="ru-RU"/>
              </w:rPr>
            </w:pPr>
          </w:p>
        </w:tc>
        <w:tc>
          <w:tcPr>
            <w:tcW w:w="1275" w:type="dxa"/>
            <w:tcBorders>
              <w:bottom w:val="single" w:sz="4" w:space="0" w:color="auto"/>
            </w:tcBorders>
            <w:shd w:val="clear" w:color="auto" w:fill="C6EFCE"/>
            <w:noWrap/>
          </w:tcPr>
          <w:p w14:paraId="4B1FE00B" w14:textId="77777777" w:rsidR="008B0F39" w:rsidRPr="008A0F8A" w:rsidRDefault="008B0F39" w:rsidP="0066695B">
            <w:pPr>
              <w:spacing w:after="0" w:line="240" w:lineRule="auto"/>
              <w:rPr>
                <w:rFonts w:ascii="Times New Roman" w:hAnsi="Times New Roman" w:cs="Times New Roman"/>
                <w:noProof/>
                <w:color w:val="006100"/>
                <w:sz w:val="20"/>
                <w:szCs w:val="20"/>
                <w:lang w:val="ru-RU"/>
              </w:rPr>
            </w:pPr>
          </w:p>
        </w:tc>
        <w:tc>
          <w:tcPr>
            <w:tcW w:w="1134" w:type="dxa"/>
            <w:tcBorders>
              <w:bottom w:val="single" w:sz="4" w:space="0" w:color="auto"/>
            </w:tcBorders>
            <w:shd w:val="clear" w:color="auto" w:fill="C6EFCE"/>
            <w:noWrap/>
          </w:tcPr>
          <w:p w14:paraId="20E2D7AC" w14:textId="77777777" w:rsidR="008B0F39" w:rsidRPr="008A0F8A" w:rsidRDefault="008B0F39" w:rsidP="0066695B">
            <w:pPr>
              <w:spacing w:after="0" w:line="240" w:lineRule="auto"/>
              <w:rPr>
                <w:rFonts w:ascii="Times New Roman" w:hAnsi="Times New Roman" w:cs="Times New Roman"/>
                <w:noProof/>
                <w:color w:val="006100"/>
                <w:sz w:val="20"/>
                <w:szCs w:val="20"/>
                <w:lang w:val="ru-RU"/>
              </w:rPr>
            </w:pPr>
          </w:p>
        </w:tc>
        <w:tc>
          <w:tcPr>
            <w:tcW w:w="851" w:type="dxa"/>
            <w:tcBorders>
              <w:bottom w:val="single" w:sz="4" w:space="0" w:color="auto"/>
            </w:tcBorders>
            <w:shd w:val="clear" w:color="auto" w:fill="C6EFCE"/>
            <w:noWrap/>
          </w:tcPr>
          <w:p w14:paraId="39789483" w14:textId="19F949FA" w:rsidR="008B0F39" w:rsidRPr="00491076" w:rsidRDefault="008B0F39" w:rsidP="0066695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T1</w:t>
            </w:r>
          </w:p>
        </w:tc>
        <w:tc>
          <w:tcPr>
            <w:tcW w:w="709" w:type="dxa"/>
            <w:tcBorders>
              <w:bottom w:val="single" w:sz="4" w:space="0" w:color="auto"/>
            </w:tcBorders>
            <w:shd w:val="clear" w:color="auto" w:fill="C6EFCE"/>
            <w:noWrap/>
          </w:tcPr>
          <w:p w14:paraId="61E633D0" w14:textId="0B97CBB3" w:rsidR="008B0F39" w:rsidRPr="00491076" w:rsidRDefault="008B0F39" w:rsidP="0066695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2024</w:t>
            </w:r>
          </w:p>
        </w:tc>
        <w:tc>
          <w:tcPr>
            <w:tcW w:w="3772" w:type="dxa"/>
            <w:tcBorders>
              <w:bottom w:val="single" w:sz="4" w:space="0" w:color="auto"/>
            </w:tcBorders>
            <w:shd w:val="clear" w:color="auto" w:fill="C6EFCE"/>
            <w:noWrap/>
          </w:tcPr>
          <w:p w14:paraId="575EA4AD" w14:textId="572B1180"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Операторите на преносни системи „Булгартрансгаз“ и „ЕСО“ трябва да бъдат отделени от корпоративната структура на „Български енергиен холдинг“. Те трябва да се установят като отделни публични предприятия. За да се осигури бързо изпълнение, Министерството на енергетиката изготвя и приема план за действие относно процеса на отделяне най-късно до 31 декември 2022 г.</w:t>
            </w:r>
          </w:p>
          <w:p w14:paraId="64E07330" w14:textId="77777777" w:rsidR="008B0F39" w:rsidRPr="008A0F8A" w:rsidRDefault="008B0F39" w:rsidP="0066695B">
            <w:pPr>
              <w:spacing w:after="0"/>
              <w:rPr>
                <w:rFonts w:ascii="Times New Roman" w:hAnsi="Times New Roman" w:cs="Times New Roman"/>
                <w:noProof/>
                <w:color w:val="006100"/>
                <w:sz w:val="20"/>
                <w:szCs w:val="20"/>
                <w:lang w:val="ru-RU"/>
              </w:rPr>
            </w:pPr>
          </w:p>
          <w:p w14:paraId="11AFD953" w14:textId="572BCF30" w:rsidR="008B0F39" w:rsidRPr="00491076" w:rsidRDefault="00AB2430"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Новите субекти трябва да имат формата на държавни търговски дружества при пълно спазване на Закона за корпоративното управление на държавните предприятия (ДП) (Закон за публичните предприятия № 79/2019).</w:t>
            </w:r>
          </w:p>
        </w:tc>
      </w:tr>
      <w:tr w:rsidR="008E16C0" w:rsidRPr="005241FC" w14:paraId="443D8A29" w14:textId="77777777" w:rsidTr="008E16C0">
        <w:trPr>
          <w:trHeight w:val="309"/>
        </w:trPr>
        <w:tc>
          <w:tcPr>
            <w:tcW w:w="681" w:type="dxa"/>
            <w:tcBorders>
              <w:top w:val="single" w:sz="4" w:space="0" w:color="auto"/>
              <w:bottom w:val="single" w:sz="4" w:space="0" w:color="auto"/>
              <w:right w:val="single" w:sz="4" w:space="0" w:color="auto"/>
            </w:tcBorders>
            <w:shd w:val="clear" w:color="auto" w:fill="C6EFCE"/>
            <w:noWrap/>
          </w:tcPr>
          <w:p w14:paraId="4AF2F358" w14:textId="6F0CDB5A" w:rsidR="008B0F39" w:rsidRPr="00491076" w:rsidRDefault="000E517E" w:rsidP="0066695B">
            <w:pPr>
              <w:rPr>
                <w:rFonts w:ascii="Times New Roman" w:hAnsi="Times New Roman" w:cs="Times New Roman"/>
                <w:noProof/>
                <w:color w:val="006100"/>
                <w:sz w:val="20"/>
                <w:szCs w:val="20"/>
              </w:rPr>
            </w:pPr>
            <w:r>
              <w:rPr>
                <w:rFonts w:ascii="Times New Roman" w:hAnsi="Times New Roman"/>
                <w:noProof/>
                <w:color w:val="006100"/>
                <w:sz w:val="20"/>
              </w:rPr>
              <w:t>94</w:t>
            </w:r>
          </w:p>
        </w:tc>
        <w:tc>
          <w:tcPr>
            <w:tcW w:w="1837" w:type="dxa"/>
            <w:tcBorders>
              <w:top w:val="single" w:sz="4" w:space="0" w:color="auto"/>
              <w:left w:val="single" w:sz="4" w:space="0" w:color="auto"/>
              <w:bottom w:val="single" w:sz="4" w:space="0" w:color="auto"/>
              <w:right w:val="single" w:sz="4" w:space="0" w:color="auto"/>
            </w:tcBorders>
            <w:shd w:val="clear" w:color="auto" w:fill="C6EFCE"/>
            <w:noWrap/>
          </w:tcPr>
          <w:p w14:paraId="3220B20E" w14:textId="77777777" w:rsidR="003B02A1" w:rsidRPr="00491076" w:rsidRDefault="008B0F39" w:rsidP="003B02A1">
            <w:pPr>
              <w:spacing w:after="0"/>
              <w:rPr>
                <w:rFonts w:ascii="Times New Roman" w:hAnsi="Times New Roman" w:cs="Times New Roman"/>
                <w:noProof/>
                <w:color w:val="006100"/>
                <w:sz w:val="20"/>
                <w:szCs w:val="20"/>
              </w:rPr>
            </w:pPr>
            <w:r>
              <w:rPr>
                <w:rFonts w:ascii="Times New Roman" w:hAnsi="Times New Roman"/>
                <w:noProof/>
                <w:color w:val="006100"/>
                <w:sz w:val="20"/>
              </w:rPr>
              <w:t xml:space="preserve">C4.R11: </w:t>
            </w:r>
          </w:p>
          <w:p w14:paraId="656E420C" w14:textId="790E3C00" w:rsidR="008B0F39" w:rsidRPr="00491076" w:rsidRDefault="008B0F39" w:rsidP="0073609B">
            <w:pPr>
              <w:rPr>
                <w:rFonts w:ascii="Times New Roman" w:hAnsi="Times New Roman" w:cs="Times New Roman"/>
                <w:noProof/>
                <w:color w:val="006100"/>
                <w:sz w:val="20"/>
                <w:szCs w:val="20"/>
              </w:rPr>
            </w:pPr>
            <w:r>
              <w:rPr>
                <w:rFonts w:ascii="Times New Roman" w:hAnsi="Times New Roman"/>
                <w:noProof/>
                <w:color w:val="006100"/>
                <w:sz w:val="20"/>
              </w:rPr>
              <w:t>Подобряване на корпоративното управление на държавните предприятия в енергийния сектор</w:t>
            </w:r>
          </w:p>
        </w:tc>
        <w:tc>
          <w:tcPr>
            <w:tcW w:w="1131" w:type="dxa"/>
            <w:tcBorders>
              <w:top w:val="single" w:sz="4" w:space="0" w:color="auto"/>
              <w:left w:val="single" w:sz="4" w:space="0" w:color="auto"/>
              <w:bottom w:val="single" w:sz="4" w:space="0" w:color="auto"/>
              <w:right w:val="single" w:sz="4" w:space="0" w:color="auto"/>
            </w:tcBorders>
            <w:shd w:val="clear" w:color="auto" w:fill="C6EFCE"/>
            <w:noWrap/>
          </w:tcPr>
          <w:p w14:paraId="51E8A059" w14:textId="77777777" w:rsidR="008B0F39" w:rsidRPr="00491076" w:rsidRDefault="008B0F39" w:rsidP="0066695B">
            <w:pPr>
              <w:rPr>
                <w:rFonts w:ascii="Times New Roman" w:hAnsi="Times New Roman" w:cs="Times New Roman"/>
                <w:noProof/>
                <w:color w:val="006100"/>
                <w:sz w:val="20"/>
                <w:szCs w:val="20"/>
              </w:rPr>
            </w:pPr>
            <w:r>
              <w:rPr>
                <w:rFonts w:ascii="Times New Roman" w:hAnsi="Times New Roman"/>
                <w:noProof/>
                <w:color w:val="006100"/>
                <w:sz w:val="20"/>
              </w:rPr>
              <w:t>Ключов етап</w:t>
            </w:r>
          </w:p>
        </w:tc>
        <w:tc>
          <w:tcPr>
            <w:tcW w:w="1696" w:type="dxa"/>
            <w:tcBorders>
              <w:top w:val="single" w:sz="4" w:space="0" w:color="auto"/>
              <w:left w:val="single" w:sz="4" w:space="0" w:color="auto"/>
              <w:bottom w:val="single" w:sz="4" w:space="0" w:color="auto"/>
              <w:right w:val="single" w:sz="4" w:space="0" w:color="auto"/>
            </w:tcBorders>
            <w:shd w:val="clear" w:color="auto" w:fill="C6EFCE"/>
            <w:noWrap/>
          </w:tcPr>
          <w:p w14:paraId="645C55F0" w14:textId="77777777" w:rsidR="008B0F39" w:rsidRPr="00491076" w:rsidRDefault="008B0F39" w:rsidP="0066695B">
            <w:pPr>
              <w:rPr>
                <w:rFonts w:ascii="Times New Roman" w:hAnsi="Times New Roman" w:cs="Times New Roman"/>
                <w:noProof/>
                <w:color w:val="006100"/>
                <w:sz w:val="20"/>
                <w:szCs w:val="20"/>
              </w:rPr>
            </w:pPr>
            <w:r>
              <w:rPr>
                <w:rFonts w:ascii="Times New Roman" w:hAnsi="Times New Roman"/>
                <w:noProof/>
                <w:color w:val="006100"/>
                <w:sz w:val="20"/>
              </w:rPr>
              <w:t>Липса на кръстосано субсидиране между държавните енергийни предприятия</w:t>
            </w:r>
          </w:p>
        </w:tc>
        <w:tc>
          <w:tcPr>
            <w:tcW w:w="1414" w:type="dxa"/>
            <w:tcBorders>
              <w:top w:val="single" w:sz="4" w:space="0" w:color="auto"/>
              <w:left w:val="single" w:sz="4" w:space="0" w:color="auto"/>
              <w:bottom w:val="single" w:sz="4" w:space="0" w:color="auto"/>
              <w:right w:val="single" w:sz="4" w:space="0" w:color="auto"/>
            </w:tcBorders>
            <w:shd w:val="clear" w:color="auto" w:fill="C6EFCE"/>
            <w:noWrap/>
          </w:tcPr>
          <w:p w14:paraId="4559CFB3" w14:textId="77777777" w:rsidR="008B0F39" w:rsidRPr="00491076" w:rsidRDefault="008B0F39" w:rsidP="0066695B">
            <w:pPr>
              <w:rPr>
                <w:rFonts w:ascii="Times New Roman" w:hAnsi="Times New Roman" w:cs="Times New Roman"/>
                <w:noProof/>
                <w:color w:val="006100"/>
                <w:sz w:val="20"/>
                <w:szCs w:val="20"/>
              </w:rPr>
            </w:pPr>
            <w:r>
              <w:rPr>
                <w:rFonts w:ascii="Times New Roman" w:hAnsi="Times New Roman"/>
                <w:noProof/>
                <w:color w:val="006100"/>
                <w:sz w:val="20"/>
              </w:rPr>
              <w:t xml:space="preserve">Одитен доклад относно кръстосаното субсидиране </w:t>
            </w:r>
          </w:p>
        </w:tc>
        <w:tc>
          <w:tcPr>
            <w:tcW w:w="1151" w:type="dxa"/>
            <w:tcBorders>
              <w:top w:val="single" w:sz="4" w:space="0" w:color="auto"/>
              <w:left w:val="single" w:sz="4" w:space="0" w:color="auto"/>
              <w:bottom w:val="single" w:sz="4" w:space="0" w:color="auto"/>
              <w:right w:val="single" w:sz="4" w:space="0" w:color="auto"/>
            </w:tcBorders>
            <w:shd w:val="clear" w:color="auto" w:fill="C6EFCE"/>
            <w:noWrap/>
          </w:tcPr>
          <w:p w14:paraId="2181D501" w14:textId="77777777" w:rsidR="008B0F39" w:rsidRPr="008A0F8A" w:rsidRDefault="008B0F39" w:rsidP="0066695B">
            <w:pPr>
              <w:rPr>
                <w:rFonts w:ascii="Times New Roman" w:hAnsi="Times New Roman" w:cs="Times New Roman"/>
                <w:noProof/>
                <w:color w:val="006100"/>
                <w:sz w:val="20"/>
                <w:szCs w:val="20"/>
                <w:lang w:val="ru-RU"/>
              </w:rPr>
            </w:pPr>
          </w:p>
        </w:tc>
        <w:tc>
          <w:tcPr>
            <w:tcW w:w="1275" w:type="dxa"/>
            <w:tcBorders>
              <w:top w:val="single" w:sz="4" w:space="0" w:color="auto"/>
              <w:left w:val="single" w:sz="4" w:space="0" w:color="auto"/>
              <w:bottom w:val="single" w:sz="4" w:space="0" w:color="auto"/>
              <w:right w:val="single" w:sz="4" w:space="0" w:color="auto"/>
            </w:tcBorders>
            <w:shd w:val="clear" w:color="auto" w:fill="C6EFCE"/>
            <w:noWrap/>
          </w:tcPr>
          <w:p w14:paraId="0CD54C13" w14:textId="77777777" w:rsidR="008B0F39" w:rsidRPr="008A0F8A" w:rsidRDefault="008B0F39" w:rsidP="0066695B">
            <w:pPr>
              <w:rPr>
                <w:rFonts w:ascii="Times New Roman" w:hAnsi="Times New Roman" w:cs="Times New Roman"/>
                <w:noProof/>
                <w:color w:val="006100"/>
                <w:sz w:val="20"/>
                <w:szCs w:val="20"/>
                <w:lang w:val="ru-RU"/>
              </w:rPr>
            </w:pPr>
          </w:p>
        </w:tc>
        <w:tc>
          <w:tcPr>
            <w:tcW w:w="1134" w:type="dxa"/>
            <w:tcBorders>
              <w:top w:val="single" w:sz="4" w:space="0" w:color="auto"/>
              <w:left w:val="single" w:sz="4" w:space="0" w:color="auto"/>
              <w:bottom w:val="single" w:sz="4" w:space="0" w:color="auto"/>
              <w:right w:val="single" w:sz="4" w:space="0" w:color="auto"/>
            </w:tcBorders>
            <w:shd w:val="clear" w:color="auto" w:fill="C6EFCE"/>
            <w:noWrap/>
          </w:tcPr>
          <w:p w14:paraId="6DD43E08" w14:textId="77777777" w:rsidR="008B0F39" w:rsidRPr="008A0F8A" w:rsidRDefault="008B0F39" w:rsidP="0066695B">
            <w:pPr>
              <w:rPr>
                <w:rFonts w:ascii="Times New Roman" w:hAnsi="Times New Roman" w:cs="Times New Roman"/>
                <w:noProof/>
                <w:color w:val="006100"/>
                <w:sz w:val="20"/>
                <w:szCs w:val="20"/>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14:paraId="025C9D8A" w14:textId="596E3744" w:rsidR="008B0F39" w:rsidRPr="00491076" w:rsidRDefault="008B0F39" w:rsidP="0066695B">
            <w:pPr>
              <w:rPr>
                <w:rFonts w:ascii="Times New Roman" w:hAnsi="Times New Roman" w:cs="Times New Roman"/>
                <w:noProof/>
                <w:color w:val="006100"/>
                <w:sz w:val="20"/>
                <w:szCs w:val="20"/>
              </w:rPr>
            </w:pPr>
            <w:r>
              <w:rPr>
                <w:rFonts w:ascii="Times New Roman" w:hAnsi="Times New Roman"/>
                <w:noProof/>
                <w:color w:val="006100"/>
                <w:sz w:val="20"/>
              </w:rPr>
              <w:t>T2</w:t>
            </w:r>
          </w:p>
        </w:tc>
        <w:tc>
          <w:tcPr>
            <w:tcW w:w="709" w:type="dxa"/>
            <w:tcBorders>
              <w:top w:val="single" w:sz="4" w:space="0" w:color="auto"/>
              <w:left w:val="single" w:sz="4" w:space="0" w:color="auto"/>
              <w:bottom w:val="single" w:sz="4" w:space="0" w:color="auto"/>
              <w:right w:val="single" w:sz="4" w:space="0" w:color="auto"/>
            </w:tcBorders>
            <w:shd w:val="clear" w:color="auto" w:fill="C6EFCE"/>
            <w:noWrap/>
          </w:tcPr>
          <w:p w14:paraId="36146883" w14:textId="77777777" w:rsidR="008B0F39" w:rsidRPr="00491076" w:rsidRDefault="008B0F39" w:rsidP="0066695B">
            <w:pPr>
              <w:rPr>
                <w:rFonts w:ascii="Times New Roman" w:hAnsi="Times New Roman" w:cs="Times New Roman"/>
                <w:noProof/>
                <w:color w:val="006100"/>
                <w:sz w:val="20"/>
                <w:szCs w:val="20"/>
              </w:rPr>
            </w:pPr>
            <w:r>
              <w:rPr>
                <w:rFonts w:ascii="Times New Roman" w:hAnsi="Times New Roman"/>
                <w:noProof/>
                <w:color w:val="006100"/>
                <w:sz w:val="20"/>
              </w:rPr>
              <w:t>2023</w:t>
            </w:r>
          </w:p>
        </w:tc>
        <w:tc>
          <w:tcPr>
            <w:tcW w:w="3772" w:type="dxa"/>
            <w:tcBorders>
              <w:top w:val="single" w:sz="4" w:space="0" w:color="auto"/>
              <w:left w:val="single" w:sz="4" w:space="0" w:color="auto"/>
              <w:bottom w:val="single" w:sz="4" w:space="0" w:color="auto"/>
              <w:right w:val="single" w:sz="4" w:space="0" w:color="auto"/>
            </w:tcBorders>
            <w:shd w:val="clear" w:color="auto" w:fill="C6EFCE"/>
            <w:noWrap/>
          </w:tcPr>
          <w:p w14:paraId="47FA37F8" w14:textId="094078C3" w:rsidR="008B0F39" w:rsidRPr="00491076" w:rsidRDefault="008B0F39" w:rsidP="0066695B">
            <w:pPr>
              <w:rPr>
                <w:rFonts w:ascii="Times New Roman" w:hAnsi="Times New Roman" w:cs="Times New Roman"/>
                <w:noProof/>
                <w:color w:val="006100"/>
                <w:sz w:val="20"/>
                <w:szCs w:val="20"/>
              </w:rPr>
            </w:pPr>
            <w:r>
              <w:rPr>
                <w:rFonts w:ascii="Times New Roman" w:hAnsi="Times New Roman"/>
                <w:noProof/>
                <w:color w:val="006100"/>
                <w:sz w:val="20"/>
              </w:rPr>
              <w:t>Независимите одитни доклади се представят на Европейската комисия ежегодно във връзка с предходната календарна година. Те представят подробна оценка на съответствието на пазара на кръстосаното субсидиране между държавни или контролирани от държавата енергийни предприятия във връзка с производството на електроенергия от въглища, ако има такова. Първият доклад се предава в срок до 30 юни 2023 г. В докладите се прави оценка на:</w:t>
            </w:r>
          </w:p>
          <w:p w14:paraId="6541EF6C" w14:textId="15D8DE00" w:rsidR="008B0F39" w:rsidRPr="00491076" w:rsidRDefault="008B0F39" w:rsidP="0066695B">
            <w:pPr>
              <w:rPr>
                <w:rFonts w:ascii="Times New Roman" w:hAnsi="Times New Roman" w:cs="Times New Roman"/>
                <w:noProof/>
                <w:color w:val="006100"/>
                <w:sz w:val="20"/>
                <w:szCs w:val="20"/>
              </w:rPr>
            </w:pPr>
            <w:r>
              <w:rPr>
                <w:rFonts w:ascii="Times New Roman" w:hAnsi="Times New Roman"/>
                <w:noProof/>
                <w:color w:val="006100"/>
                <w:sz w:val="20"/>
              </w:rPr>
              <w:t>- съответствието на пазара на всяко кръстосано субсидиране във връзка с производството на електроенергия от въглища между дружества, притежавани пряко от българската държава, но също и между различните дружества в рамките на „Български енергиен холдинг“.</w:t>
            </w:r>
          </w:p>
          <w:p w14:paraId="2D8AE345" w14:textId="19384A94" w:rsidR="008B0F39" w:rsidRPr="00491076" w:rsidRDefault="008B0F39" w:rsidP="002E1F31">
            <w:pPr>
              <w:rPr>
                <w:rFonts w:ascii="Times New Roman" w:hAnsi="Times New Roman" w:cs="Times New Roman"/>
                <w:noProof/>
                <w:color w:val="006100"/>
                <w:sz w:val="20"/>
                <w:szCs w:val="20"/>
              </w:rPr>
            </w:pPr>
            <w:r>
              <w:rPr>
                <w:rFonts w:ascii="Times New Roman" w:hAnsi="Times New Roman"/>
                <w:noProof/>
                <w:color w:val="006100"/>
                <w:sz w:val="20"/>
              </w:rPr>
              <w:t>- спазването на пазарните правила за кръстосаното субсидиране, включително прехвърляне на капитал между отделни дейности и между предприятия от една и съща група във връзка с производството на електроенергия от въглища.</w:t>
            </w:r>
          </w:p>
        </w:tc>
      </w:tr>
      <w:tr w:rsidR="008E16C0" w:rsidRPr="005241FC" w14:paraId="45461E01" w14:textId="77777777" w:rsidTr="008E16C0">
        <w:trPr>
          <w:trHeight w:val="309"/>
        </w:trPr>
        <w:tc>
          <w:tcPr>
            <w:tcW w:w="681" w:type="dxa"/>
            <w:tcBorders>
              <w:top w:val="single" w:sz="4" w:space="0" w:color="auto"/>
              <w:left w:val="single" w:sz="4" w:space="0" w:color="auto"/>
              <w:bottom w:val="single" w:sz="4" w:space="0" w:color="auto"/>
              <w:right w:val="single" w:sz="4" w:space="0" w:color="auto"/>
            </w:tcBorders>
            <w:shd w:val="clear" w:color="auto" w:fill="C6EFCE"/>
            <w:noWrap/>
          </w:tcPr>
          <w:p w14:paraId="07EA144D" w14:textId="728851D0" w:rsidR="008B0F39" w:rsidRPr="00491076" w:rsidRDefault="000E517E"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95</w:t>
            </w:r>
          </w:p>
        </w:tc>
        <w:tc>
          <w:tcPr>
            <w:tcW w:w="1837" w:type="dxa"/>
            <w:tcBorders>
              <w:top w:val="single" w:sz="4" w:space="0" w:color="auto"/>
              <w:left w:val="nil"/>
              <w:bottom w:val="single" w:sz="4" w:space="0" w:color="auto"/>
              <w:right w:val="single" w:sz="4" w:space="0" w:color="auto"/>
            </w:tcBorders>
            <w:shd w:val="clear" w:color="auto" w:fill="C6EFCE"/>
            <w:noWrap/>
          </w:tcPr>
          <w:p w14:paraId="5FF24654" w14:textId="77777777" w:rsidR="003B02A1" w:rsidRPr="00491076" w:rsidRDefault="008B0F39" w:rsidP="0073609B">
            <w:pPr>
              <w:spacing w:after="0"/>
              <w:rPr>
                <w:rFonts w:ascii="Times New Roman" w:hAnsi="Times New Roman" w:cs="Times New Roman"/>
                <w:noProof/>
                <w:color w:val="006100"/>
                <w:sz w:val="20"/>
                <w:szCs w:val="20"/>
              </w:rPr>
            </w:pPr>
            <w:r>
              <w:rPr>
                <w:rFonts w:ascii="Times New Roman" w:hAnsi="Times New Roman"/>
                <w:noProof/>
                <w:color w:val="006100"/>
                <w:sz w:val="20"/>
              </w:rPr>
              <w:t xml:space="preserve">C4.R6: </w:t>
            </w:r>
          </w:p>
          <w:p w14:paraId="3A197370" w14:textId="3639BC1C" w:rsidR="008B0F39" w:rsidRPr="00491076" w:rsidRDefault="008B0F39" w:rsidP="0073609B">
            <w:pPr>
              <w:spacing w:after="0"/>
              <w:rPr>
                <w:rFonts w:ascii="Times New Roman" w:hAnsi="Times New Roman" w:cs="Times New Roman"/>
                <w:noProof/>
                <w:color w:val="006100"/>
                <w:sz w:val="20"/>
                <w:szCs w:val="20"/>
              </w:rPr>
            </w:pPr>
            <w:r>
              <w:rPr>
                <w:rFonts w:ascii="Times New Roman" w:hAnsi="Times New Roman"/>
                <w:noProof/>
                <w:color w:val="006100"/>
                <w:sz w:val="20"/>
              </w:rPr>
              <w:t>Стимулиране на производството на електроенергия от възобновяеми източници</w:t>
            </w:r>
          </w:p>
        </w:tc>
        <w:tc>
          <w:tcPr>
            <w:tcW w:w="1131" w:type="dxa"/>
            <w:tcBorders>
              <w:top w:val="single" w:sz="4" w:space="0" w:color="auto"/>
              <w:left w:val="nil"/>
              <w:bottom w:val="single" w:sz="4" w:space="0" w:color="auto"/>
              <w:right w:val="single" w:sz="4" w:space="0" w:color="auto"/>
            </w:tcBorders>
            <w:shd w:val="clear" w:color="auto" w:fill="C6EFCE"/>
            <w:noWrap/>
          </w:tcPr>
          <w:p w14:paraId="7D6E62A1" w14:textId="77777777"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Ключов етап</w:t>
            </w:r>
          </w:p>
        </w:tc>
        <w:tc>
          <w:tcPr>
            <w:tcW w:w="1696" w:type="dxa"/>
            <w:tcBorders>
              <w:top w:val="single" w:sz="4" w:space="0" w:color="auto"/>
              <w:left w:val="nil"/>
              <w:bottom w:val="single" w:sz="4" w:space="0" w:color="auto"/>
              <w:right w:val="single" w:sz="4" w:space="0" w:color="auto"/>
            </w:tcBorders>
            <w:shd w:val="clear" w:color="auto" w:fill="C6EFCE"/>
            <w:noWrap/>
          </w:tcPr>
          <w:p w14:paraId="0ECABD9E" w14:textId="77777777"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Влизане в сила на изменението в националната законодателна рамка</w:t>
            </w:r>
          </w:p>
        </w:tc>
        <w:tc>
          <w:tcPr>
            <w:tcW w:w="1414" w:type="dxa"/>
            <w:tcBorders>
              <w:top w:val="single" w:sz="4" w:space="0" w:color="auto"/>
              <w:left w:val="nil"/>
              <w:bottom w:val="single" w:sz="4" w:space="0" w:color="auto"/>
              <w:right w:val="single" w:sz="4" w:space="0" w:color="auto"/>
            </w:tcBorders>
            <w:shd w:val="clear" w:color="auto" w:fill="C6EFCE"/>
            <w:noWrap/>
          </w:tcPr>
          <w:p w14:paraId="12D90515" w14:textId="77777777"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Законова разпоредба, указваща влизането в сила на измененията в националната законодателна рамка</w:t>
            </w:r>
          </w:p>
        </w:tc>
        <w:tc>
          <w:tcPr>
            <w:tcW w:w="1151" w:type="dxa"/>
            <w:tcBorders>
              <w:top w:val="single" w:sz="4" w:space="0" w:color="auto"/>
              <w:left w:val="nil"/>
              <w:bottom w:val="single" w:sz="4" w:space="0" w:color="auto"/>
              <w:right w:val="single" w:sz="4" w:space="0" w:color="auto"/>
            </w:tcBorders>
            <w:shd w:val="clear" w:color="auto" w:fill="C6EFCE"/>
            <w:noWrap/>
          </w:tcPr>
          <w:p w14:paraId="2AA4B053" w14:textId="77777777"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 </w:t>
            </w:r>
          </w:p>
        </w:tc>
        <w:tc>
          <w:tcPr>
            <w:tcW w:w="1275" w:type="dxa"/>
            <w:tcBorders>
              <w:top w:val="single" w:sz="4" w:space="0" w:color="auto"/>
              <w:left w:val="nil"/>
              <w:bottom w:val="single" w:sz="4" w:space="0" w:color="auto"/>
              <w:right w:val="single" w:sz="4" w:space="0" w:color="auto"/>
            </w:tcBorders>
            <w:shd w:val="clear" w:color="auto" w:fill="C6EFCE"/>
            <w:noWrap/>
          </w:tcPr>
          <w:p w14:paraId="0B0D34C0" w14:textId="77777777"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 </w:t>
            </w:r>
          </w:p>
        </w:tc>
        <w:tc>
          <w:tcPr>
            <w:tcW w:w="1134" w:type="dxa"/>
            <w:tcBorders>
              <w:top w:val="single" w:sz="4" w:space="0" w:color="auto"/>
              <w:left w:val="nil"/>
              <w:bottom w:val="single" w:sz="4" w:space="0" w:color="auto"/>
              <w:right w:val="single" w:sz="4" w:space="0" w:color="auto"/>
            </w:tcBorders>
            <w:shd w:val="clear" w:color="auto" w:fill="C6EFCE"/>
            <w:noWrap/>
          </w:tcPr>
          <w:p w14:paraId="14AD6000" w14:textId="77777777"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 </w:t>
            </w:r>
          </w:p>
        </w:tc>
        <w:tc>
          <w:tcPr>
            <w:tcW w:w="851" w:type="dxa"/>
            <w:tcBorders>
              <w:top w:val="single" w:sz="4" w:space="0" w:color="auto"/>
              <w:left w:val="nil"/>
              <w:bottom w:val="single" w:sz="4" w:space="0" w:color="auto"/>
              <w:right w:val="single" w:sz="4" w:space="0" w:color="auto"/>
            </w:tcBorders>
            <w:shd w:val="clear" w:color="auto" w:fill="C6EFCE"/>
            <w:noWrap/>
          </w:tcPr>
          <w:p w14:paraId="5A48A6F5" w14:textId="77777777"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T4</w:t>
            </w:r>
          </w:p>
        </w:tc>
        <w:tc>
          <w:tcPr>
            <w:tcW w:w="709" w:type="dxa"/>
            <w:tcBorders>
              <w:top w:val="single" w:sz="4" w:space="0" w:color="auto"/>
              <w:left w:val="nil"/>
              <w:bottom w:val="single" w:sz="4" w:space="0" w:color="auto"/>
              <w:right w:val="single" w:sz="4" w:space="0" w:color="auto"/>
            </w:tcBorders>
            <w:shd w:val="clear" w:color="auto" w:fill="C6EFCE"/>
            <w:noWrap/>
          </w:tcPr>
          <w:p w14:paraId="3039DF5E" w14:textId="77777777"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2022</w:t>
            </w:r>
          </w:p>
        </w:tc>
        <w:tc>
          <w:tcPr>
            <w:tcW w:w="3772" w:type="dxa"/>
            <w:tcBorders>
              <w:top w:val="single" w:sz="4" w:space="0" w:color="auto"/>
              <w:left w:val="nil"/>
              <w:bottom w:val="single" w:sz="4" w:space="0" w:color="auto"/>
              <w:right w:val="single" w:sz="4" w:space="0" w:color="auto"/>
            </w:tcBorders>
            <w:shd w:val="clear" w:color="auto" w:fill="C6EFCE"/>
            <w:noWrap/>
            <w:vAlign w:val="bottom"/>
          </w:tcPr>
          <w:p w14:paraId="373AF53C" w14:textId="50C2A002" w:rsidR="008B0F39" w:rsidRPr="00491076" w:rsidRDefault="008B0F39" w:rsidP="0066695B">
            <w:pPr>
              <w:rPr>
                <w:rFonts w:ascii="Times New Roman" w:hAnsi="Times New Roman" w:cs="Times New Roman"/>
                <w:noProof/>
                <w:color w:val="006100"/>
                <w:sz w:val="20"/>
                <w:szCs w:val="20"/>
              </w:rPr>
            </w:pPr>
            <w:r>
              <w:rPr>
                <w:rFonts w:ascii="Times New Roman" w:hAnsi="Times New Roman"/>
                <w:noProof/>
                <w:color w:val="006100"/>
                <w:sz w:val="20"/>
              </w:rPr>
              <w:t>Измененията в съответните законови или подзаконови актове, включително актовете на националния регулатор, премахват пречките пред инсталирането и свързването към мрежата на съоръжения за енергия от възобновяеми източници, като например рационализиране на процедурите за издаване на разрешения. По-специално, измененията включват:</w:t>
            </w:r>
          </w:p>
          <w:p w14:paraId="6BDEE1B3" w14:textId="77777777" w:rsidR="008B0F39" w:rsidRPr="00491076" w:rsidRDefault="008B0F39" w:rsidP="00A17CA8">
            <w:pPr>
              <w:numPr>
                <w:ilvl w:val="0"/>
                <w:numId w:val="79"/>
              </w:numPr>
              <w:rPr>
                <w:rFonts w:ascii="Times New Roman" w:hAnsi="Times New Roman" w:cs="Times New Roman"/>
                <w:noProof/>
                <w:color w:val="006100"/>
                <w:sz w:val="20"/>
                <w:szCs w:val="20"/>
              </w:rPr>
            </w:pPr>
            <w:r>
              <w:rPr>
                <w:rFonts w:ascii="Times New Roman" w:hAnsi="Times New Roman"/>
                <w:noProof/>
                <w:color w:val="006100"/>
                <w:sz w:val="20"/>
              </w:rPr>
              <w:t xml:space="preserve">опростяване на процедурите за издаване на разрешения за инвестиции във възобновяеми енергийни източници (т.е. слънчева енергия и вятърна енергия от разположени на сушата инсталации), определяне на по-кратки и задължителни срокове за отговор от страна на административните органи и операторите на мрежи и прилагане на процедури за отчетност при ненужни забавяния. </w:t>
            </w:r>
          </w:p>
          <w:p w14:paraId="6085873D" w14:textId="77777777" w:rsidR="008B0F39" w:rsidRPr="00491076" w:rsidRDefault="008B0F39" w:rsidP="00A17CA8">
            <w:pPr>
              <w:numPr>
                <w:ilvl w:val="0"/>
                <w:numId w:val="79"/>
              </w:numPr>
              <w:rPr>
                <w:rFonts w:ascii="Times New Roman" w:hAnsi="Times New Roman" w:cs="Times New Roman"/>
                <w:noProof/>
                <w:color w:val="006100"/>
                <w:sz w:val="20"/>
                <w:szCs w:val="20"/>
              </w:rPr>
            </w:pPr>
            <w:r>
              <w:rPr>
                <w:rFonts w:ascii="Times New Roman" w:hAnsi="Times New Roman"/>
                <w:noProof/>
                <w:color w:val="006100"/>
                <w:sz w:val="20"/>
              </w:rPr>
              <w:t xml:space="preserve">скъсяване на срока за присъединяване към мрежата (както за слънчевите, така и за наземните вятърни инсталации) до максимум 6 месеца от датата на пълното подаване на заявлението. </w:t>
            </w:r>
          </w:p>
          <w:p w14:paraId="7DA208B2" w14:textId="77777777" w:rsidR="008B0F39" w:rsidRPr="00491076" w:rsidRDefault="008B0F39" w:rsidP="00A17CA8">
            <w:pPr>
              <w:numPr>
                <w:ilvl w:val="0"/>
                <w:numId w:val="79"/>
              </w:numPr>
              <w:rPr>
                <w:rFonts w:ascii="Times New Roman" w:hAnsi="Times New Roman" w:cs="Times New Roman"/>
                <w:noProof/>
                <w:color w:val="006100"/>
                <w:sz w:val="20"/>
                <w:szCs w:val="20"/>
              </w:rPr>
            </w:pPr>
            <w:r>
              <w:rPr>
                <w:rFonts w:ascii="Times New Roman" w:hAnsi="Times New Roman"/>
                <w:noProof/>
                <w:color w:val="006100"/>
                <w:sz w:val="20"/>
              </w:rPr>
              <w:t>даване на възможност за предпочитани зони, в които наземните вятърни паркове ще бъдат в съответствие със законодателството в областта на околната среда.</w:t>
            </w:r>
          </w:p>
          <w:p w14:paraId="4C349730" w14:textId="08220FAE" w:rsidR="008B0F39" w:rsidRPr="00491076" w:rsidRDefault="008B0F39" w:rsidP="00A17CA8">
            <w:pPr>
              <w:numPr>
                <w:ilvl w:val="0"/>
                <w:numId w:val="79"/>
              </w:numPr>
              <w:rPr>
                <w:rFonts w:ascii="Times New Roman" w:hAnsi="Times New Roman" w:cs="Times New Roman"/>
                <w:noProof/>
                <w:color w:val="006100"/>
                <w:sz w:val="20"/>
                <w:szCs w:val="20"/>
              </w:rPr>
            </w:pPr>
            <w:r>
              <w:rPr>
                <w:rFonts w:ascii="Times New Roman" w:hAnsi="Times New Roman"/>
                <w:noProof/>
                <w:color w:val="006100"/>
                <w:sz w:val="20"/>
              </w:rPr>
              <w:t>опростяване на процедурата за инсталации за възобновяеми енергийни източници за собствено потребление до 1 MW (например покривни фотоволтаични инсталации за домакинства и МСП), при които производствената мощност е равна на присъединената мощност, като се гарантира спазването на Регламент (ЕС) № 631/2016 и чрез:</w:t>
            </w:r>
          </w:p>
          <w:p w14:paraId="1898F677" w14:textId="77777777" w:rsidR="008B0F39" w:rsidRPr="00491076" w:rsidRDefault="008B0F39" w:rsidP="00C2179C">
            <w:pPr>
              <w:numPr>
                <w:ilvl w:val="1"/>
                <w:numId w:val="79"/>
              </w:numPr>
              <w:ind w:left="757"/>
              <w:rPr>
                <w:rFonts w:ascii="Times New Roman" w:hAnsi="Times New Roman" w:cs="Times New Roman"/>
                <w:noProof/>
                <w:color w:val="006100"/>
                <w:sz w:val="20"/>
                <w:szCs w:val="20"/>
              </w:rPr>
            </w:pPr>
            <w:r>
              <w:rPr>
                <w:rFonts w:ascii="Times New Roman" w:hAnsi="Times New Roman"/>
                <w:noProof/>
                <w:color w:val="006100"/>
                <w:sz w:val="20"/>
              </w:rPr>
              <w:t xml:space="preserve">изключване от процедурата на техническо одобрение от оператора на разпределителна мрежа и изискване само на технически доклад и обща схема на проекта. </w:t>
            </w:r>
          </w:p>
          <w:p w14:paraId="05F973C9" w14:textId="48A648A7" w:rsidR="004D6F26" w:rsidRPr="00491076" w:rsidRDefault="008B0F39" w:rsidP="00C2179C">
            <w:pPr>
              <w:numPr>
                <w:ilvl w:val="1"/>
                <w:numId w:val="79"/>
              </w:numPr>
              <w:ind w:left="757"/>
              <w:rPr>
                <w:rFonts w:ascii="Times New Roman" w:hAnsi="Times New Roman" w:cs="Times New Roman"/>
                <w:noProof/>
                <w:color w:val="006100"/>
                <w:sz w:val="20"/>
                <w:szCs w:val="20"/>
              </w:rPr>
            </w:pPr>
            <w:r>
              <w:rPr>
                <w:rFonts w:ascii="Times New Roman" w:hAnsi="Times New Roman"/>
                <w:noProof/>
                <w:color w:val="006100"/>
                <w:sz w:val="20"/>
              </w:rPr>
              <w:t>отмяна на задължението за деклариране на акциз за производство на електроенергия за собствени нужди, заедно с изискването за данъчен склад за всички производители на електроенергия, които не продават електроенергия на крайни клиенти, чрез законодателни изменения в Закона за акцизите и данъчните складове.</w:t>
            </w:r>
          </w:p>
          <w:p w14:paraId="3F33E788" w14:textId="4CAD5828" w:rsidR="004D6F26" w:rsidRPr="00491076" w:rsidRDefault="00C61ABC" w:rsidP="00DF56F8">
            <w:pPr>
              <w:numPr>
                <w:ilvl w:val="0"/>
                <w:numId w:val="79"/>
              </w:numPr>
              <w:rPr>
                <w:rFonts w:ascii="Times New Roman" w:hAnsi="Times New Roman" w:cs="Times New Roman"/>
                <w:noProof/>
                <w:color w:val="006100"/>
                <w:sz w:val="20"/>
                <w:szCs w:val="20"/>
              </w:rPr>
            </w:pPr>
            <w:r>
              <w:rPr>
                <w:rFonts w:ascii="Times New Roman" w:hAnsi="Times New Roman"/>
                <w:noProof/>
                <w:color w:val="006100"/>
                <w:sz w:val="20"/>
              </w:rPr>
              <w:t>премахване на пречките пред развитието на потреблението на собствена електроенергия от възобновяеми източници и общностите за енергия от възобновяеми източници в контекста на оценката, извършена съгласно член 22, параграф 3 и член 21, параграф 6 от Директивата за енергията от възобновяеми източници.</w:t>
            </w:r>
          </w:p>
        </w:tc>
      </w:tr>
      <w:tr w:rsidR="008E16C0" w:rsidRPr="005241FC" w14:paraId="138392B0" w14:textId="77777777" w:rsidTr="008E16C0">
        <w:trPr>
          <w:trHeight w:val="309"/>
        </w:trPr>
        <w:tc>
          <w:tcPr>
            <w:tcW w:w="681" w:type="dxa"/>
            <w:tcBorders>
              <w:top w:val="single" w:sz="4" w:space="0" w:color="auto"/>
              <w:left w:val="single" w:sz="4" w:space="0" w:color="auto"/>
              <w:bottom w:val="single" w:sz="4" w:space="0" w:color="auto"/>
              <w:right w:val="single" w:sz="4" w:space="0" w:color="auto"/>
            </w:tcBorders>
            <w:shd w:val="clear" w:color="auto" w:fill="C6EFCE"/>
            <w:noWrap/>
          </w:tcPr>
          <w:p w14:paraId="2DF9DEC9" w14:textId="390A1FDE" w:rsidR="008B0F39" w:rsidRPr="00491076" w:rsidRDefault="000E517E"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96</w:t>
            </w:r>
          </w:p>
        </w:tc>
        <w:tc>
          <w:tcPr>
            <w:tcW w:w="1837" w:type="dxa"/>
            <w:tcBorders>
              <w:top w:val="single" w:sz="4" w:space="0" w:color="auto"/>
              <w:left w:val="nil"/>
              <w:bottom w:val="single" w:sz="4" w:space="0" w:color="auto"/>
              <w:right w:val="single" w:sz="4" w:space="0" w:color="auto"/>
            </w:tcBorders>
            <w:shd w:val="clear" w:color="auto" w:fill="C6EFCE"/>
            <w:noWrap/>
          </w:tcPr>
          <w:p w14:paraId="0D0AB136" w14:textId="77777777" w:rsidR="003B02A1" w:rsidRPr="00491076" w:rsidRDefault="008B0F39" w:rsidP="0073609B">
            <w:pPr>
              <w:spacing w:after="0"/>
              <w:rPr>
                <w:rFonts w:ascii="Times New Roman" w:hAnsi="Times New Roman" w:cs="Times New Roman"/>
                <w:noProof/>
                <w:color w:val="006100"/>
                <w:sz w:val="20"/>
                <w:szCs w:val="20"/>
              </w:rPr>
            </w:pPr>
            <w:r>
              <w:rPr>
                <w:rFonts w:ascii="Times New Roman" w:hAnsi="Times New Roman"/>
                <w:noProof/>
                <w:color w:val="006100"/>
                <w:sz w:val="20"/>
              </w:rPr>
              <w:t xml:space="preserve">C4.R6: </w:t>
            </w:r>
          </w:p>
          <w:p w14:paraId="65E4975D" w14:textId="7FA58C77" w:rsidR="008B0F39" w:rsidRPr="00491076" w:rsidRDefault="008B0F39" w:rsidP="0073609B">
            <w:pPr>
              <w:spacing w:after="0"/>
              <w:rPr>
                <w:rFonts w:ascii="Times New Roman" w:hAnsi="Times New Roman" w:cs="Times New Roman"/>
                <w:noProof/>
                <w:color w:val="006100"/>
                <w:sz w:val="20"/>
                <w:szCs w:val="20"/>
              </w:rPr>
            </w:pPr>
            <w:r>
              <w:rPr>
                <w:rFonts w:ascii="Times New Roman" w:hAnsi="Times New Roman"/>
                <w:noProof/>
                <w:color w:val="006100"/>
                <w:sz w:val="20"/>
              </w:rPr>
              <w:t>Стимулиране на производството на електроенергия от възобновяеми източници</w:t>
            </w:r>
          </w:p>
        </w:tc>
        <w:tc>
          <w:tcPr>
            <w:tcW w:w="1131" w:type="dxa"/>
            <w:tcBorders>
              <w:top w:val="single" w:sz="4" w:space="0" w:color="auto"/>
              <w:left w:val="nil"/>
              <w:bottom w:val="single" w:sz="4" w:space="0" w:color="auto"/>
              <w:right w:val="single" w:sz="4" w:space="0" w:color="auto"/>
            </w:tcBorders>
            <w:shd w:val="clear" w:color="auto" w:fill="C6EFCE"/>
            <w:noWrap/>
          </w:tcPr>
          <w:p w14:paraId="0D8FBC88" w14:textId="77777777"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Ключов етап</w:t>
            </w:r>
          </w:p>
        </w:tc>
        <w:tc>
          <w:tcPr>
            <w:tcW w:w="1696" w:type="dxa"/>
            <w:tcBorders>
              <w:top w:val="single" w:sz="4" w:space="0" w:color="auto"/>
              <w:left w:val="nil"/>
              <w:bottom w:val="single" w:sz="4" w:space="0" w:color="auto"/>
              <w:right w:val="single" w:sz="4" w:space="0" w:color="auto"/>
            </w:tcBorders>
            <w:shd w:val="clear" w:color="auto" w:fill="C6EFCE"/>
            <w:noWrap/>
          </w:tcPr>
          <w:p w14:paraId="5E40568A" w14:textId="77777777"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Влизане в сила на измененията в националната законодателна рамка в подкрепа на бързото разгръщане на разположени в морето вятърни електрогенериращи инсталации</w:t>
            </w:r>
          </w:p>
        </w:tc>
        <w:tc>
          <w:tcPr>
            <w:tcW w:w="1414" w:type="dxa"/>
            <w:tcBorders>
              <w:top w:val="single" w:sz="4" w:space="0" w:color="auto"/>
              <w:left w:val="nil"/>
              <w:bottom w:val="single" w:sz="4" w:space="0" w:color="auto"/>
              <w:right w:val="single" w:sz="4" w:space="0" w:color="auto"/>
            </w:tcBorders>
            <w:shd w:val="clear" w:color="auto" w:fill="C6EFCE"/>
            <w:noWrap/>
          </w:tcPr>
          <w:p w14:paraId="6544E19E" w14:textId="77777777"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Законова разпоредба, указваща влизането в сила на измененията в националната законодателна рамка</w:t>
            </w:r>
          </w:p>
        </w:tc>
        <w:tc>
          <w:tcPr>
            <w:tcW w:w="1151" w:type="dxa"/>
            <w:tcBorders>
              <w:top w:val="single" w:sz="4" w:space="0" w:color="auto"/>
              <w:left w:val="nil"/>
              <w:bottom w:val="single" w:sz="4" w:space="0" w:color="auto"/>
              <w:right w:val="single" w:sz="4" w:space="0" w:color="auto"/>
            </w:tcBorders>
            <w:shd w:val="clear" w:color="auto" w:fill="C6EFCE"/>
            <w:noWrap/>
          </w:tcPr>
          <w:p w14:paraId="1E906369" w14:textId="77777777"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 </w:t>
            </w:r>
          </w:p>
        </w:tc>
        <w:tc>
          <w:tcPr>
            <w:tcW w:w="1275" w:type="dxa"/>
            <w:tcBorders>
              <w:top w:val="single" w:sz="4" w:space="0" w:color="auto"/>
              <w:left w:val="nil"/>
              <w:bottom w:val="single" w:sz="4" w:space="0" w:color="auto"/>
              <w:right w:val="single" w:sz="4" w:space="0" w:color="auto"/>
            </w:tcBorders>
            <w:shd w:val="clear" w:color="auto" w:fill="C6EFCE"/>
            <w:noWrap/>
          </w:tcPr>
          <w:p w14:paraId="24427409" w14:textId="77777777"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 </w:t>
            </w:r>
          </w:p>
        </w:tc>
        <w:tc>
          <w:tcPr>
            <w:tcW w:w="1134" w:type="dxa"/>
            <w:tcBorders>
              <w:top w:val="single" w:sz="4" w:space="0" w:color="auto"/>
              <w:left w:val="nil"/>
              <w:bottom w:val="single" w:sz="4" w:space="0" w:color="auto"/>
              <w:right w:val="single" w:sz="4" w:space="0" w:color="auto"/>
            </w:tcBorders>
            <w:shd w:val="clear" w:color="auto" w:fill="C6EFCE"/>
            <w:noWrap/>
          </w:tcPr>
          <w:p w14:paraId="246A3C49" w14:textId="77777777"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 </w:t>
            </w:r>
          </w:p>
        </w:tc>
        <w:tc>
          <w:tcPr>
            <w:tcW w:w="851" w:type="dxa"/>
            <w:tcBorders>
              <w:top w:val="single" w:sz="4" w:space="0" w:color="auto"/>
              <w:left w:val="nil"/>
              <w:bottom w:val="single" w:sz="4" w:space="0" w:color="auto"/>
              <w:right w:val="single" w:sz="4" w:space="0" w:color="auto"/>
            </w:tcBorders>
            <w:shd w:val="clear" w:color="auto" w:fill="C6EFCE"/>
            <w:noWrap/>
          </w:tcPr>
          <w:p w14:paraId="1A978D25" w14:textId="77777777"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T4</w:t>
            </w:r>
          </w:p>
        </w:tc>
        <w:tc>
          <w:tcPr>
            <w:tcW w:w="709" w:type="dxa"/>
            <w:tcBorders>
              <w:top w:val="single" w:sz="4" w:space="0" w:color="auto"/>
              <w:left w:val="nil"/>
              <w:bottom w:val="single" w:sz="4" w:space="0" w:color="auto"/>
              <w:right w:val="single" w:sz="4" w:space="0" w:color="auto"/>
            </w:tcBorders>
            <w:shd w:val="clear" w:color="auto" w:fill="C6EFCE"/>
            <w:noWrap/>
          </w:tcPr>
          <w:p w14:paraId="430E8900" w14:textId="77777777"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2023</w:t>
            </w:r>
          </w:p>
        </w:tc>
        <w:tc>
          <w:tcPr>
            <w:tcW w:w="3772" w:type="dxa"/>
            <w:tcBorders>
              <w:top w:val="single" w:sz="4" w:space="0" w:color="auto"/>
              <w:left w:val="nil"/>
              <w:bottom w:val="single" w:sz="4" w:space="0" w:color="auto"/>
              <w:right w:val="single" w:sz="4" w:space="0" w:color="auto"/>
            </w:tcBorders>
            <w:shd w:val="clear" w:color="auto" w:fill="C6EFCE"/>
            <w:noWrap/>
          </w:tcPr>
          <w:p w14:paraId="1FAAA68F" w14:textId="2E3DFF38" w:rsidR="008B0F39" w:rsidRPr="00491076" w:rsidRDefault="008B0F39" w:rsidP="008B0DB4">
            <w:pPr>
              <w:rPr>
                <w:rFonts w:ascii="Times New Roman" w:hAnsi="Times New Roman" w:cs="Times New Roman"/>
                <w:noProof/>
                <w:color w:val="006100"/>
                <w:sz w:val="20"/>
                <w:szCs w:val="20"/>
              </w:rPr>
            </w:pPr>
            <w:r>
              <w:rPr>
                <w:rFonts w:ascii="Times New Roman" w:hAnsi="Times New Roman"/>
                <w:noProof/>
                <w:color w:val="006100"/>
                <w:sz w:val="20"/>
              </w:rPr>
              <w:t>Измененията на съответните законови или подзаконови актове, включително актовете на националния регулатор, въвеждат специфична регулаторна рамка за подкрепа на инвестициите във възобновяеми енергийни източници в морето, включително, но не само:</w:t>
            </w:r>
          </w:p>
          <w:p w14:paraId="70C48274" w14:textId="77777777" w:rsidR="008B0F39" w:rsidRPr="00491076" w:rsidRDefault="008B0F39" w:rsidP="008B0DB4">
            <w:pPr>
              <w:pStyle w:val="ListParagraph"/>
              <w:numPr>
                <w:ilvl w:val="0"/>
                <w:numId w:val="80"/>
              </w:numPr>
              <w:rPr>
                <w:rFonts w:ascii="Times New Roman" w:hAnsi="Times New Roman" w:cs="Times New Roman"/>
                <w:noProof/>
                <w:color w:val="006100"/>
                <w:sz w:val="20"/>
                <w:szCs w:val="20"/>
              </w:rPr>
            </w:pPr>
            <w:r>
              <w:rPr>
                <w:rFonts w:ascii="Times New Roman" w:hAnsi="Times New Roman"/>
                <w:noProof/>
                <w:color w:val="006100"/>
                <w:sz w:val="20"/>
              </w:rPr>
              <w:t xml:space="preserve">подробно специално планиране в морето, с предпочитани зони, в които вятърните паркове в морето ще бъдат в съответствие със законодателството в областта на околната среда; </w:t>
            </w:r>
          </w:p>
          <w:p w14:paraId="3DCD996C" w14:textId="36381CFF" w:rsidR="005C66CA" w:rsidRPr="00491076" w:rsidRDefault="008B0F39" w:rsidP="008B0DB4">
            <w:pPr>
              <w:pStyle w:val="ListParagraph"/>
              <w:numPr>
                <w:ilvl w:val="0"/>
                <w:numId w:val="80"/>
              </w:numPr>
              <w:rPr>
                <w:rFonts w:ascii="Times New Roman" w:hAnsi="Times New Roman" w:cs="Times New Roman"/>
                <w:noProof/>
                <w:color w:val="006100"/>
                <w:sz w:val="20"/>
                <w:szCs w:val="20"/>
              </w:rPr>
            </w:pPr>
            <w:r>
              <w:rPr>
                <w:rFonts w:ascii="Times New Roman" w:hAnsi="Times New Roman"/>
                <w:noProof/>
                <w:color w:val="006100"/>
                <w:sz w:val="20"/>
              </w:rPr>
              <w:t>план за развитие на мрежата за крайбрежната зона.</w:t>
            </w:r>
          </w:p>
        </w:tc>
      </w:tr>
      <w:tr w:rsidR="008E16C0" w:rsidRPr="005241FC" w14:paraId="6348F98A" w14:textId="77777777" w:rsidTr="008E16C0">
        <w:trPr>
          <w:trHeight w:val="309"/>
        </w:trPr>
        <w:tc>
          <w:tcPr>
            <w:tcW w:w="681" w:type="dxa"/>
            <w:tcBorders>
              <w:top w:val="single" w:sz="4" w:space="0" w:color="auto"/>
              <w:left w:val="single" w:sz="4" w:space="0" w:color="auto"/>
              <w:bottom w:val="single" w:sz="4" w:space="0" w:color="auto"/>
              <w:right w:val="single" w:sz="4" w:space="0" w:color="auto"/>
            </w:tcBorders>
            <w:shd w:val="clear" w:color="auto" w:fill="C6EFCE"/>
            <w:noWrap/>
          </w:tcPr>
          <w:p w14:paraId="399F243C" w14:textId="29370D31" w:rsidR="008B0F39" w:rsidRPr="00491076" w:rsidRDefault="000E517E"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97</w:t>
            </w:r>
          </w:p>
        </w:tc>
        <w:tc>
          <w:tcPr>
            <w:tcW w:w="1837" w:type="dxa"/>
            <w:tcBorders>
              <w:top w:val="single" w:sz="4" w:space="0" w:color="auto"/>
              <w:left w:val="nil"/>
              <w:bottom w:val="single" w:sz="4" w:space="0" w:color="auto"/>
              <w:right w:val="single" w:sz="4" w:space="0" w:color="auto"/>
            </w:tcBorders>
            <w:shd w:val="clear" w:color="auto" w:fill="C6EFCE"/>
            <w:noWrap/>
          </w:tcPr>
          <w:p w14:paraId="5DE99067" w14:textId="77777777" w:rsidR="003B02A1"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 xml:space="preserve">C4.I8: </w:t>
            </w:r>
          </w:p>
          <w:p w14:paraId="293DD16A" w14:textId="3798044B"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Национална инфраструктура за съхранение на електроенергия от възобновяеми източници (RESTORE)</w:t>
            </w:r>
          </w:p>
        </w:tc>
        <w:tc>
          <w:tcPr>
            <w:tcW w:w="1131" w:type="dxa"/>
            <w:tcBorders>
              <w:top w:val="single" w:sz="4" w:space="0" w:color="auto"/>
              <w:left w:val="nil"/>
              <w:bottom w:val="single" w:sz="4" w:space="0" w:color="auto"/>
              <w:right w:val="single" w:sz="4" w:space="0" w:color="auto"/>
            </w:tcBorders>
            <w:shd w:val="clear" w:color="auto" w:fill="C6EFCE"/>
            <w:noWrap/>
          </w:tcPr>
          <w:p w14:paraId="43978B27" w14:textId="77777777"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Ключов етап</w:t>
            </w:r>
          </w:p>
        </w:tc>
        <w:tc>
          <w:tcPr>
            <w:tcW w:w="1696" w:type="dxa"/>
            <w:tcBorders>
              <w:top w:val="single" w:sz="4" w:space="0" w:color="auto"/>
              <w:left w:val="nil"/>
              <w:bottom w:val="single" w:sz="4" w:space="0" w:color="auto"/>
              <w:right w:val="single" w:sz="4" w:space="0" w:color="auto"/>
            </w:tcBorders>
            <w:shd w:val="clear" w:color="auto" w:fill="C6EFCE"/>
            <w:noWrap/>
          </w:tcPr>
          <w:p w14:paraId="27C22120" w14:textId="37CC58A9"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Изменение на националната законодателна рамка в подкрепа на бързото внедряване на съхранението на електроенергия</w:t>
            </w:r>
          </w:p>
        </w:tc>
        <w:tc>
          <w:tcPr>
            <w:tcW w:w="1414" w:type="dxa"/>
            <w:tcBorders>
              <w:top w:val="single" w:sz="4" w:space="0" w:color="auto"/>
              <w:left w:val="nil"/>
              <w:bottom w:val="single" w:sz="4" w:space="0" w:color="auto"/>
              <w:right w:val="single" w:sz="4" w:space="0" w:color="auto"/>
            </w:tcBorders>
            <w:shd w:val="clear" w:color="auto" w:fill="C6EFCE"/>
            <w:noWrap/>
          </w:tcPr>
          <w:p w14:paraId="5D7D86D0" w14:textId="77777777"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Законова разпоредба, указваща влизането в сила на измененията</w:t>
            </w:r>
          </w:p>
        </w:tc>
        <w:tc>
          <w:tcPr>
            <w:tcW w:w="1151" w:type="dxa"/>
            <w:tcBorders>
              <w:top w:val="single" w:sz="4" w:space="0" w:color="auto"/>
              <w:left w:val="nil"/>
              <w:bottom w:val="single" w:sz="4" w:space="0" w:color="auto"/>
              <w:right w:val="single" w:sz="4" w:space="0" w:color="auto"/>
            </w:tcBorders>
            <w:shd w:val="clear" w:color="auto" w:fill="C6EFCE"/>
            <w:noWrap/>
          </w:tcPr>
          <w:p w14:paraId="33A9D0A0" w14:textId="77777777" w:rsidR="008B0F39" w:rsidRPr="008A0F8A" w:rsidRDefault="008B0F39" w:rsidP="0066695B">
            <w:pPr>
              <w:spacing w:after="0"/>
              <w:rPr>
                <w:rFonts w:ascii="Times New Roman" w:hAnsi="Times New Roman" w:cs="Times New Roman"/>
                <w:noProof/>
                <w:color w:val="006100"/>
                <w:sz w:val="20"/>
                <w:szCs w:val="20"/>
                <w:lang w:val="ru-RU"/>
              </w:rPr>
            </w:pPr>
          </w:p>
        </w:tc>
        <w:tc>
          <w:tcPr>
            <w:tcW w:w="1275" w:type="dxa"/>
            <w:tcBorders>
              <w:top w:val="single" w:sz="4" w:space="0" w:color="auto"/>
              <w:left w:val="nil"/>
              <w:bottom w:val="single" w:sz="4" w:space="0" w:color="auto"/>
              <w:right w:val="single" w:sz="4" w:space="0" w:color="auto"/>
            </w:tcBorders>
            <w:shd w:val="clear" w:color="auto" w:fill="C6EFCE"/>
            <w:noWrap/>
          </w:tcPr>
          <w:p w14:paraId="14B555A8" w14:textId="77777777" w:rsidR="008B0F39" w:rsidRPr="008A0F8A" w:rsidRDefault="008B0F39" w:rsidP="0066695B">
            <w:pPr>
              <w:spacing w:after="0"/>
              <w:rPr>
                <w:rFonts w:ascii="Times New Roman" w:hAnsi="Times New Roman" w:cs="Times New Roman"/>
                <w:noProof/>
                <w:color w:val="006100"/>
                <w:sz w:val="20"/>
                <w:szCs w:val="20"/>
                <w:lang w:val="ru-RU"/>
              </w:rPr>
            </w:pPr>
          </w:p>
        </w:tc>
        <w:tc>
          <w:tcPr>
            <w:tcW w:w="1134" w:type="dxa"/>
            <w:tcBorders>
              <w:top w:val="single" w:sz="4" w:space="0" w:color="auto"/>
              <w:left w:val="nil"/>
              <w:bottom w:val="single" w:sz="4" w:space="0" w:color="auto"/>
              <w:right w:val="single" w:sz="4" w:space="0" w:color="auto"/>
            </w:tcBorders>
            <w:shd w:val="clear" w:color="auto" w:fill="C6EFCE"/>
            <w:noWrap/>
          </w:tcPr>
          <w:p w14:paraId="0BA3C51B" w14:textId="77777777" w:rsidR="008B0F39" w:rsidRPr="008A0F8A" w:rsidRDefault="008B0F39" w:rsidP="0066695B">
            <w:pPr>
              <w:spacing w:after="0"/>
              <w:rPr>
                <w:rFonts w:ascii="Times New Roman" w:hAnsi="Times New Roman" w:cs="Times New Roman"/>
                <w:noProof/>
                <w:color w:val="006100"/>
                <w:sz w:val="20"/>
                <w:szCs w:val="20"/>
                <w:lang w:val="ru-RU"/>
              </w:rPr>
            </w:pPr>
          </w:p>
        </w:tc>
        <w:tc>
          <w:tcPr>
            <w:tcW w:w="851" w:type="dxa"/>
            <w:tcBorders>
              <w:top w:val="single" w:sz="4" w:space="0" w:color="auto"/>
              <w:left w:val="nil"/>
              <w:bottom w:val="single" w:sz="4" w:space="0" w:color="auto"/>
              <w:right w:val="single" w:sz="4" w:space="0" w:color="auto"/>
            </w:tcBorders>
            <w:shd w:val="clear" w:color="auto" w:fill="C6EFCE"/>
            <w:noWrap/>
          </w:tcPr>
          <w:p w14:paraId="24CD63B1" w14:textId="548EAAF8"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T4</w:t>
            </w:r>
          </w:p>
        </w:tc>
        <w:tc>
          <w:tcPr>
            <w:tcW w:w="709" w:type="dxa"/>
            <w:tcBorders>
              <w:top w:val="single" w:sz="4" w:space="0" w:color="auto"/>
              <w:left w:val="nil"/>
              <w:bottom w:val="single" w:sz="4" w:space="0" w:color="auto"/>
              <w:right w:val="single" w:sz="4" w:space="0" w:color="auto"/>
            </w:tcBorders>
            <w:shd w:val="clear" w:color="auto" w:fill="C6EFCE"/>
            <w:noWrap/>
          </w:tcPr>
          <w:p w14:paraId="767650B1" w14:textId="77777777"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2022</w:t>
            </w:r>
          </w:p>
        </w:tc>
        <w:tc>
          <w:tcPr>
            <w:tcW w:w="3772" w:type="dxa"/>
            <w:tcBorders>
              <w:top w:val="single" w:sz="4" w:space="0" w:color="auto"/>
              <w:left w:val="nil"/>
              <w:bottom w:val="single" w:sz="4" w:space="0" w:color="auto"/>
              <w:right w:val="single" w:sz="4" w:space="0" w:color="auto"/>
            </w:tcBorders>
            <w:shd w:val="clear" w:color="auto" w:fill="C6EFCE"/>
            <w:noWrap/>
            <w:vAlign w:val="bottom"/>
          </w:tcPr>
          <w:p w14:paraId="34029CDF" w14:textId="21BD3D14"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Измененията в съответните законови или подзаконови актове премахват пречките, въвеждат специфична регулаторна и подкрепяща рамка за изграждането, свързването и експлоатацията на съоръжения за съхранение на електроенергия.</w:t>
            </w:r>
          </w:p>
        </w:tc>
      </w:tr>
      <w:tr w:rsidR="008E16C0" w:rsidRPr="005241FC" w14:paraId="72A323E2" w14:textId="77777777" w:rsidTr="008E16C0">
        <w:trPr>
          <w:trHeight w:val="309"/>
        </w:trPr>
        <w:tc>
          <w:tcPr>
            <w:tcW w:w="681" w:type="dxa"/>
            <w:tcBorders>
              <w:top w:val="single" w:sz="4" w:space="0" w:color="auto"/>
              <w:left w:val="single" w:sz="4" w:space="0" w:color="auto"/>
              <w:bottom w:val="single" w:sz="4" w:space="0" w:color="auto"/>
              <w:right w:val="single" w:sz="4" w:space="0" w:color="auto"/>
            </w:tcBorders>
            <w:shd w:val="clear" w:color="auto" w:fill="C6EFCE"/>
            <w:noWrap/>
          </w:tcPr>
          <w:p w14:paraId="019A1DDF" w14:textId="39B664F4" w:rsidR="008B0F39" w:rsidRPr="00491076" w:rsidRDefault="000E517E"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98</w:t>
            </w:r>
          </w:p>
        </w:tc>
        <w:tc>
          <w:tcPr>
            <w:tcW w:w="1837" w:type="dxa"/>
            <w:tcBorders>
              <w:top w:val="single" w:sz="4" w:space="0" w:color="auto"/>
              <w:bottom w:val="single" w:sz="4" w:space="0" w:color="auto"/>
              <w:right w:val="single" w:sz="4" w:space="0" w:color="auto"/>
            </w:tcBorders>
            <w:shd w:val="clear" w:color="auto" w:fill="C6EFCE"/>
            <w:noWrap/>
          </w:tcPr>
          <w:p w14:paraId="22587A61" w14:textId="77777777" w:rsidR="003B02A1" w:rsidRPr="00491076" w:rsidRDefault="008B0F39" w:rsidP="0073609B">
            <w:pPr>
              <w:spacing w:after="0"/>
              <w:rPr>
                <w:rFonts w:ascii="Times New Roman" w:hAnsi="Times New Roman" w:cs="Times New Roman"/>
                <w:noProof/>
                <w:color w:val="006100"/>
                <w:sz w:val="20"/>
                <w:szCs w:val="20"/>
              </w:rPr>
            </w:pPr>
            <w:r>
              <w:rPr>
                <w:rFonts w:ascii="Times New Roman" w:hAnsi="Times New Roman"/>
                <w:noProof/>
                <w:color w:val="006100"/>
                <w:sz w:val="20"/>
              </w:rPr>
              <w:t xml:space="preserve">C4.I6: </w:t>
            </w:r>
          </w:p>
          <w:p w14:paraId="1078955C" w14:textId="20C78C27" w:rsidR="008B0F39" w:rsidRPr="00491076" w:rsidRDefault="008B0F39" w:rsidP="0073609B">
            <w:pPr>
              <w:spacing w:after="0"/>
              <w:rPr>
                <w:rFonts w:ascii="Times New Roman" w:hAnsi="Times New Roman" w:cs="Times New Roman"/>
                <w:noProof/>
                <w:color w:val="006100"/>
                <w:sz w:val="20"/>
                <w:szCs w:val="20"/>
              </w:rPr>
            </w:pPr>
            <w:r>
              <w:rPr>
                <w:rFonts w:ascii="Times New Roman" w:hAnsi="Times New Roman"/>
                <w:noProof/>
                <w:color w:val="006100"/>
                <w:sz w:val="20"/>
              </w:rPr>
              <w:t>Подкрепа за нови мощности за производство на електроенергия от възобновяеми източници и съхранение на електроенергия</w:t>
            </w:r>
          </w:p>
        </w:tc>
        <w:tc>
          <w:tcPr>
            <w:tcW w:w="1131" w:type="dxa"/>
            <w:tcBorders>
              <w:top w:val="single" w:sz="4" w:space="0" w:color="auto"/>
              <w:left w:val="single" w:sz="4" w:space="0" w:color="auto"/>
              <w:bottom w:val="single" w:sz="4" w:space="0" w:color="auto"/>
              <w:right w:val="single" w:sz="4" w:space="0" w:color="auto"/>
            </w:tcBorders>
            <w:shd w:val="clear" w:color="auto" w:fill="C6EFCE"/>
            <w:noWrap/>
          </w:tcPr>
          <w:p w14:paraId="7D069760" w14:textId="77777777"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Ключов етап</w:t>
            </w:r>
          </w:p>
        </w:tc>
        <w:tc>
          <w:tcPr>
            <w:tcW w:w="1696" w:type="dxa"/>
            <w:tcBorders>
              <w:top w:val="single" w:sz="4" w:space="0" w:color="auto"/>
              <w:left w:val="single" w:sz="4" w:space="0" w:color="auto"/>
              <w:bottom w:val="single" w:sz="4" w:space="0" w:color="auto"/>
              <w:right w:val="single" w:sz="4" w:space="0" w:color="auto"/>
            </w:tcBorders>
            <w:shd w:val="clear" w:color="auto" w:fill="C6EFCE"/>
            <w:noWrap/>
          </w:tcPr>
          <w:p w14:paraId="00EA48FC" w14:textId="75B24FFC"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Обявяване на търг за изграждане на капацитет от 285 MW за производство на електроенергия от възобновяеми източници (вятърна и слънчева енергия)</w:t>
            </w:r>
          </w:p>
          <w:p w14:paraId="36FE943C" w14:textId="57A5BC1F"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разположени съвместно със 75 MW системи за акумулиране на енергия</w:t>
            </w:r>
          </w:p>
        </w:tc>
        <w:tc>
          <w:tcPr>
            <w:tcW w:w="1414" w:type="dxa"/>
            <w:tcBorders>
              <w:top w:val="single" w:sz="4" w:space="0" w:color="auto"/>
              <w:left w:val="single" w:sz="4" w:space="0" w:color="auto"/>
              <w:bottom w:val="single" w:sz="4" w:space="0" w:color="auto"/>
              <w:right w:val="single" w:sz="4" w:space="0" w:color="auto"/>
            </w:tcBorders>
            <w:shd w:val="clear" w:color="auto" w:fill="C6EFCE"/>
            <w:noWrap/>
          </w:tcPr>
          <w:p w14:paraId="5F898D79" w14:textId="77777777"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Публикуване на спецификациите на търга</w:t>
            </w:r>
          </w:p>
        </w:tc>
        <w:tc>
          <w:tcPr>
            <w:tcW w:w="1151" w:type="dxa"/>
            <w:tcBorders>
              <w:top w:val="single" w:sz="4" w:space="0" w:color="auto"/>
              <w:left w:val="single" w:sz="4" w:space="0" w:color="auto"/>
              <w:bottom w:val="single" w:sz="4" w:space="0" w:color="auto"/>
              <w:right w:val="single" w:sz="4" w:space="0" w:color="auto"/>
            </w:tcBorders>
            <w:shd w:val="clear" w:color="auto" w:fill="C6EFCE"/>
            <w:noWrap/>
          </w:tcPr>
          <w:p w14:paraId="3B0551CB" w14:textId="77777777" w:rsidR="008B0F39" w:rsidRPr="008A0F8A" w:rsidRDefault="008B0F39" w:rsidP="0066695B">
            <w:pPr>
              <w:spacing w:after="0"/>
              <w:rPr>
                <w:rFonts w:ascii="Times New Roman" w:hAnsi="Times New Roman" w:cs="Times New Roman"/>
                <w:noProof/>
                <w:color w:val="006100"/>
                <w:sz w:val="20"/>
                <w:szCs w:val="20"/>
                <w:lang w:val="ru-RU"/>
              </w:rPr>
            </w:pPr>
          </w:p>
        </w:tc>
        <w:tc>
          <w:tcPr>
            <w:tcW w:w="1275" w:type="dxa"/>
            <w:tcBorders>
              <w:top w:val="single" w:sz="4" w:space="0" w:color="auto"/>
              <w:left w:val="single" w:sz="4" w:space="0" w:color="auto"/>
              <w:bottom w:val="single" w:sz="4" w:space="0" w:color="auto"/>
              <w:right w:val="single" w:sz="4" w:space="0" w:color="auto"/>
            </w:tcBorders>
            <w:shd w:val="clear" w:color="auto" w:fill="C6EFCE"/>
            <w:noWrap/>
          </w:tcPr>
          <w:p w14:paraId="561FB5BB" w14:textId="77777777" w:rsidR="008B0F39" w:rsidRPr="008A0F8A" w:rsidRDefault="008B0F39" w:rsidP="0066695B">
            <w:pPr>
              <w:spacing w:after="0"/>
              <w:rPr>
                <w:rFonts w:ascii="Times New Roman" w:hAnsi="Times New Roman" w:cs="Times New Roman"/>
                <w:noProof/>
                <w:color w:val="006100"/>
                <w:sz w:val="20"/>
                <w:szCs w:val="20"/>
                <w:lang w:val="ru-RU"/>
              </w:rPr>
            </w:pPr>
          </w:p>
        </w:tc>
        <w:tc>
          <w:tcPr>
            <w:tcW w:w="1134" w:type="dxa"/>
            <w:tcBorders>
              <w:top w:val="single" w:sz="4" w:space="0" w:color="auto"/>
              <w:left w:val="single" w:sz="4" w:space="0" w:color="auto"/>
              <w:bottom w:val="single" w:sz="4" w:space="0" w:color="auto"/>
              <w:right w:val="single" w:sz="4" w:space="0" w:color="auto"/>
            </w:tcBorders>
            <w:shd w:val="clear" w:color="auto" w:fill="C6EFCE"/>
            <w:noWrap/>
          </w:tcPr>
          <w:p w14:paraId="198BB0BC" w14:textId="77777777" w:rsidR="008B0F39" w:rsidRPr="008A0F8A" w:rsidRDefault="008B0F39" w:rsidP="0066695B">
            <w:pPr>
              <w:spacing w:after="0"/>
              <w:rPr>
                <w:rFonts w:ascii="Times New Roman" w:hAnsi="Times New Roman" w:cs="Times New Roman"/>
                <w:noProof/>
                <w:color w:val="006100"/>
                <w:sz w:val="20"/>
                <w:szCs w:val="20"/>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14:paraId="1F07E20F" w14:textId="77777777"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T4</w:t>
            </w:r>
          </w:p>
        </w:tc>
        <w:tc>
          <w:tcPr>
            <w:tcW w:w="709" w:type="dxa"/>
            <w:tcBorders>
              <w:top w:val="single" w:sz="4" w:space="0" w:color="auto"/>
              <w:left w:val="single" w:sz="4" w:space="0" w:color="auto"/>
              <w:bottom w:val="single" w:sz="4" w:space="0" w:color="auto"/>
              <w:right w:val="single" w:sz="4" w:space="0" w:color="auto"/>
            </w:tcBorders>
            <w:shd w:val="clear" w:color="auto" w:fill="C6EFCE"/>
            <w:noWrap/>
          </w:tcPr>
          <w:p w14:paraId="0C78110D" w14:textId="77777777"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2022</w:t>
            </w:r>
          </w:p>
        </w:tc>
        <w:tc>
          <w:tcPr>
            <w:tcW w:w="3772" w:type="dxa"/>
            <w:tcBorders>
              <w:top w:val="single" w:sz="4" w:space="0" w:color="auto"/>
              <w:left w:val="single" w:sz="4" w:space="0" w:color="auto"/>
              <w:bottom w:val="single" w:sz="4" w:space="0" w:color="auto"/>
              <w:right w:val="single" w:sz="4" w:space="0" w:color="auto"/>
            </w:tcBorders>
            <w:shd w:val="clear" w:color="auto" w:fill="C6EFCE"/>
            <w:noWrap/>
          </w:tcPr>
          <w:p w14:paraId="7532CAA7" w14:textId="77777777"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Публикува се покана за участие в състезателна процедура за подбор на проекти за производство на енергия от възобновяеми източници, които са разположени заедно със системи за съхранение на електрическа енергия.</w:t>
            </w:r>
          </w:p>
          <w:p w14:paraId="38956BF1" w14:textId="77777777" w:rsidR="008B0F39" w:rsidRPr="008A0F8A" w:rsidRDefault="008B0F39" w:rsidP="0066695B">
            <w:pPr>
              <w:spacing w:after="0"/>
              <w:rPr>
                <w:rFonts w:ascii="Times New Roman" w:hAnsi="Times New Roman" w:cs="Times New Roman"/>
                <w:noProof/>
                <w:color w:val="006100"/>
                <w:sz w:val="20"/>
                <w:szCs w:val="20"/>
                <w:lang w:val="ru-RU"/>
              </w:rPr>
            </w:pPr>
          </w:p>
          <w:p w14:paraId="575ADF61" w14:textId="77777777"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Тръжният механизъм се разработва при консултация с изпълняваща международна финансова институция и се основава на най-добрите практики.</w:t>
            </w:r>
          </w:p>
          <w:p w14:paraId="54387C7B" w14:textId="77777777" w:rsidR="008B0F39" w:rsidRPr="008A0F8A" w:rsidRDefault="008B0F39" w:rsidP="0066695B">
            <w:pPr>
              <w:spacing w:after="0"/>
              <w:rPr>
                <w:rFonts w:ascii="Times New Roman" w:hAnsi="Times New Roman" w:cs="Times New Roman"/>
                <w:noProof/>
                <w:color w:val="006100"/>
                <w:sz w:val="20"/>
                <w:szCs w:val="20"/>
                <w:lang w:val="ru-RU"/>
              </w:rPr>
            </w:pPr>
          </w:p>
          <w:p w14:paraId="160C5846" w14:textId="77777777"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Критериите за подбор осигуряват съответствие с техническите насоки за прилагането на принципа за „ненанасяне на значителни вреди“ (2021/C58/01).</w:t>
            </w:r>
          </w:p>
        </w:tc>
      </w:tr>
      <w:tr w:rsidR="008E16C0" w:rsidRPr="005241FC" w14:paraId="0CF14042" w14:textId="77777777" w:rsidTr="008E16C0">
        <w:trPr>
          <w:trHeight w:val="309"/>
        </w:trPr>
        <w:tc>
          <w:tcPr>
            <w:tcW w:w="681" w:type="dxa"/>
            <w:tcBorders>
              <w:top w:val="single" w:sz="4" w:space="0" w:color="auto"/>
              <w:left w:val="single" w:sz="4" w:space="0" w:color="auto"/>
              <w:bottom w:val="single" w:sz="4" w:space="0" w:color="auto"/>
              <w:right w:val="single" w:sz="4" w:space="0" w:color="auto"/>
            </w:tcBorders>
            <w:shd w:val="clear" w:color="auto" w:fill="C6EFCE"/>
            <w:noWrap/>
          </w:tcPr>
          <w:p w14:paraId="77A4869D" w14:textId="4500EFA8" w:rsidR="008B0F39" w:rsidRPr="00491076" w:rsidRDefault="000E517E"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99</w:t>
            </w:r>
          </w:p>
        </w:tc>
        <w:tc>
          <w:tcPr>
            <w:tcW w:w="1837" w:type="dxa"/>
            <w:tcBorders>
              <w:top w:val="single" w:sz="4" w:space="0" w:color="auto"/>
              <w:bottom w:val="single" w:sz="4" w:space="0" w:color="auto"/>
              <w:right w:val="single" w:sz="4" w:space="0" w:color="auto"/>
            </w:tcBorders>
            <w:shd w:val="clear" w:color="auto" w:fill="C6EFCE"/>
            <w:noWrap/>
          </w:tcPr>
          <w:p w14:paraId="630D79AD" w14:textId="77777777" w:rsidR="003B02A1" w:rsidRPr="00491076" w:rsidRDefault="008B0F39" w:rsidP="0073609B">
            <w:pPr>
              <w:spacing w:after="0"/>
              <w:rPr>
                <w:rFonts w:ascii="Times New Roman" w:hAnsi="Times New Roman" w:cs="Times New Roman"/>
                <w:noProof/>
                <w:color w:val="006100"/>
                <w:sz w:val="20"/>
                <w:szCs w:val="20"/>
              </w:rPr>
            </w:pPr>
            <w:r>
              <w:rPr>
                <w:rFonts w:ascii="Times New Roman" w:hAnsi="Times New Roman"/>
                <w:noProof/>
                <w:color w:val="006100"/>
                <w:sz w:val="20"/>
              </w:rPr>
              <w:t xml:space="preserve">C4.I6: </w:t>
            </w:r>
          </w:p>
          <w:p w14:paraId="7DCD3C6D" w14:textId="725FDF7C" w:rsidR="008B0F39" w:rsidRPr="00491076" w:rsidRDefault="008B0F39" w:rsidP="0073609B">
            <w:pPr>
              <w:spacing w:after="0"/>
              <w:rPr>
                <w:rFonts w:ascii="Times New Roman" w:hAnsi="Times New Roman" w:cs="Times New Roman"/>
                <w:noProof/>
                <w:color w:val="006100"/>
                <w:sz w:val="20"/>
                <w:szCs w:val="20"/>
              </w:rPr>
            </w:pPr>
            <w:r>
              <w:rPr>
                <w:rFonts w:ascii="Times New Roman" w:hAnsi="Times New Roman"/>
                <w:noProof/>
                <w:color w:val="006100"/>
                <w:sz w:val="20"/>
              </w:rPr>
              <w:t>Подкрепа за нови мощности за производство на електроенергия от възобновяеми източници и съхранение на електроенергия</w:t>
            </w:r>
          </w:p>
        </w:tc>
        <w:tc>
          <w:tcPr>
            <w:tcW w:w="1131" w:type="dxa"/>
            <w:tcBorders>
              <w:top w:val="single" w:sz="4" w:space="0" w:color="auto"/>
              <w:left w:val="single" w:sz="4" w:space="0" w:color="auto"/>
              <w:bottom w:val="single" w:sz="4" w:space="0" w:color="auto"/>
              <w:right w:val="single" w:sz="4" w:space="0" w:color="auto"/>
            </w:tcBorders>
            <w:shd w:val="clear" w:color="auto" w:fill="C6EFCE"/>
            <w:noWrap/>
          </w:tcPr>
          <w:p w14:paraId="45942A7E" w14:textId="77777777"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Ключов етап</w:t>
            </w:r>
          </w:p>
        </w:tc>
        <w:tc>
          <w:tcPr>
            <w:tcW w:w="1696" w:type="dxa"/>
            <w:tcBorders>
              <w:top w:val="single" w:sz="4" w:space="0" w:color="auto"/>
              <w:left w:val="single" w:sz="4" w:space="0" w:color="auto"/>
              <w:bottom w:val="single" w:sz="4" w:space="0" w:color="auto"/>
              <w:right w:val="single" w:sz="4" w:space="0" w:color="auto"/>
            </w:tcBorders>
            <w:shd w:val="clear" w:color="auto" w:fill="C6EFCE"/>
            <w:noWrap/>
          </w:tcPr>
          <w:p w14:paraId="602EF837" w14:textId="7CDDE571"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Обявяване на търг за изграждане на капацитет от 285 MW за производство на електроенергия от възобновяеми източници (вятърна и слънчева енергия), разположен заедно със 75 MW системи за акумулиране на енергия</w:t>
            </w:r>
          </w:p>
        </w:tc>
        <w:tc>
          <w:tcPr>
            <w:tcW w:w="1414" w:type="dxa"/>
            <w:tcBorders>
              <w:top w:val="single" w:sz="4" w:space="0" w:color="auto"/>
              <w:left w:val="single" w:sz="4" w:space="0" w:color="auto"/>
              <w:bottom w:val="single" w:sz="4" w:space="0" w:color="auto"/>
              <w:right w:val="single" w:sz="4" w:space="0" w:color="auto"/>
            </w:tcBorders>
            <w:shd w:val="clear" w:color="auto" w:fill="C6EFCE"/>
            <w:noWrap/>
          </w:tcPr>
          <w:p w14:paraId="04F54B06" w14:textId="77777777"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Публикуване на спецификациите на търга</w:t>
            </w:r>
          </w:p>
        </w:tc>
        <w:tc>
          <w:tcPr>
            <w:tcW w:w="1151" w:type="dxa"/>
            <w:tcBorders>
              <w:top w:val="single" w:sz="4" w:space="0" w:color="auto"/>
              <w:left w:val="single" w:sz="4" w:space="0" w:color="auto"/>
              <w:bottom w:val="single" w:sz="4" w:space="0" w:color="auto"/>
              <w:right w:val="single" w:sz="4" w:space="0" w:color="auto"/>
            </w:tcBorders>
            <w:shd w:val="clear" w:color="auto" w:fill="C6EFCE"/>
            <w:noWrap/>
          </w:tcPr>
          <w:p w14:paraId="514BCE04" w14:textId="77777777" w:rsidR="008B0F39" w:rsidRPr="008A0F8A" w:rsidRDefault="008B0F39" w:rsidP="0066695B">
            <w:pPr>
              <w:spacing w:after="0"/>
              <w:rPr>
                <w:rFonts w:ascii="Times New Roman" w:hAnsi="Times New Roman" w:cs="Times New Roman"/>
                <w:noProof/>
                <w:color w:val="006100"/>
                <w:sz w:val="20"/>
                <w:szCs w:val="20"/>
                <w:lang w:val="ru-RU"/>
              </w:rPr>
            </w:pPr>
          </w:p>
        </w:tc>
        <w:tc>
          <w:tcPr>
            <w:tcW w:w="1275" w:type="dxa"/>
            <w:tcBorders>
              <w:top w:val="single" w:sz="4" w:space="0" w:color="auto"/>
              <w:left w:val="single" w:sz="4" w:space="0" w:color="auto"/>
              <w:bottom w:val="single" w:sz="4" w:space="0" w:color="auto"/>
              <w:right w:val="single" w:sz="4" w:space="0" w:color="auto"/>
            </w:tcBorders>
            <w:shd w:val="clear" w:color="auto" w:fill="C6EFCE"/>
            <w:noWrap/>
          </w:tcPr>
          <w:p w14:paraId="642B4911" w14:textId="77777777" w:rsidR="008B0F39" w:rsidRPr="008A0F8A" w:rsidRDefault="008B0F39" w:rsidP="0066695B">
            <w:pPr>
              <w:spacing w:after="0"/>
              <w:rPr>
                <w:rFonts w:ascii="Times New Roman" w:hAnsi="Times New Roman" w:cs="Times New Roman"/>
                <w:noProof/>
                <w:color w:val="006100"/>
                <w:sz w:val="20"/>
                <w:szCs w:val="20"/>
                <w:lang w:val="ru-RU"/>
              </w:rPr>
            </w:pPr>
          </w:p>
        </w:tc>
        <w:tc>
          <w:tcPr>
            <w:tcW w:w="1134" w:type="dxa"/>
            <w:tcBorders>
              <w:top w:val="single" w:sz="4" w:space="0" w:color="auto"/>
              <w:left w:val="single" w:sz="4" w:space="0" w:color="auto"/>
              <w:bottom w:val="single" w:sz="4" w:space="0" w:color="auto"/>
              <w:right w:val="single" w:sz="4" w:space="0" w:color="auto"/>
            </w:tcBorders>
            <w:shd w:val="clear" w:color="auto" w:fill="C6EFCE"/>
            <w:noWrap/>
          </w:tcPr>
          <w:p w14:paraId="6B9EF44E" w14:textId="77777777" w:rsidR="008B0F39" w:rsidRPr="008A0F8A" w:rsidRDefault="008B0F39" w:rsidP="0066695B">
            <w:pPr>
              <w:spacing w:after="0"/>
              <w:rPr>
                <w:rFonts w:ascii="Times New Roman" w:hAnsi="Times New Roman" w:cs="Times New Roman"/>
                <w:noProof/>
                <w:color w:val="006100"/>
                <w:sz w:val="20"/>
                <w:szCs w:val="20"/>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14:paraId="4C0F3A17" w14:textId="77777777"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T2</w:t>
            </w:r>
          </w:p>
        </w:tc>
        <w:tc>
          <w:tcPr>
            <w:tcW w:w="709" w:type="dxa"/>
            <w:tcBorders>
              <w:top w:val="single" w:sz="4" w:space="0" w:color="auto"/>
              <w:left w:val="single" w:sz="4" w:space="0" w:color="auto"/>
              <w:bottom w:val="single" w:sz="4" w:space="0" w:color="auto"/>
              <w:right w:val="single" w:sz="4" w:space="0" w:color="auto"/>
            </w:tcBorders>
            <w:shd w:val="clear" w:color="auto" w:fill="C6EFCE"/>
            <w:noWrap/>
          </w:tcPr>
          <w:p w14:paraId="7F34519A" w14:textId="77777777"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2023</w:t>
            </w:r>
          </w:p>
        </w:tc>
        <w:tc>
          <w:tcPr>
            <w:tcW w:w="3772" w:type="dxa"/>
            <w:tcBorders>
              <w:top w:val="single" w:sz="4" w:space="0" w:color="auto"/>
              <w:left w:val="single" w:sz="4" w:space="0" w:color="auto"/>
              <w:bottom w:val="single" w:sz="4" w:space="0" w:color="auto"/>
              <w:right w:val="single" w:sz="4" w:space="0" w:color="auto"/>
            </w:tcBorders>
            <w:shd w:val="clear" w:color="auto" w:fill="C6EFCE"/>
            <w:noWrap/>
          </w:tcPr>
          <w:p w14:paraId="152B8B91" w14:textId="77777777"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Публикува се покана за участие в състезателна процедура за подбор на проекти за производство на енергия от възобновяеми източници, които са разположени заедно със системи за съхранение на електрическа енергия. Тръжният механизъм се разработва при консултация с изпълняваща международна финансова институция и се основава на най-добрите практики.</w:t>
            </w:r>
          </w:p>
          <w:p w14:paraId="4295EEA6" w14:textId="77777777"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Критериите за подбор осигуряват съответствие с техническите насоки за прилагането на принципа за „ненанасяне на значителни вреди“ (2021/C58/01).</w:t>
            </w:r>
          </w:p>
        </w:tc>
      </w:tr>
      <w:tr w:rsidR="008E16C0" w:rsidRPr="005241FC" w14:paraId="2A55755E" w14:textId="77777777" w:rsidTr="008E16C0">
        <w:trPr>
          <w:trHeight w:val="309"/>
        </w:trPr>
        <w:tc>
          <w:tcPr>
            <w:tcW w:w="681" w:type="dxa"/>
            <w:tcBorders>
              <w:top w:val="single" w:sz="4" w:space="0" w:color="auto"/>
              <w:left w:val="single" w:sz="4" w:space="0" w:color="auto"/>
              <w:bottom w:val="single" w:sz="4" w:space="0" w:color="auto"/>
              <w:right w:val="single" w:sz="4" w:space="0" w:color="auto"/>
            </w:tcBorders>
            <w:shd w:val="clear" w:color="auto" w:fill="C6EFCE"/>
            <w:noWrap/>
          </w:tcPr>
          <w:p w14:paraId="1E3AD150" w14:textId="237EBD3D" w:rsidR="008B0F39" w:rsidRPr="00491076" w:rsidRDefault="000E517E"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100</w:t>
            </w:r>
          </w:p>
        </w:tc>
        <w:tc>
          <w:tcPr>
            <w:tcW w:w="1837" w:type="dxa"/>
            <w:tcBorders>
              <w:top w:val="single" w:sz="4" w:space="0" w:color="auto"/>
              <w:bottom w:val="single" w:sz="4" w:space="0" w:color="auto"/>
              <w:right w:val="single" w:sz="4" w:space="0" w:color="auto"/>
            </w:tcBorders>
            <w:shd w:val="clear" w:color="auto" w:fill="C6EFCE"/>
            <w:noWrap/>
          </w:tcPr>
          <w:p w14:paraId="1C989527" w14:textId="77777777" w:rsidR="003B02A1" w:rsidRPr="00491076" w:rsidRDefault="008B0F39" w:rsidP="0073609B">
            <w:pPr>
              <w:spacing w:after="0"/>
              <w:rPr>
                <w:rFonts w:ascii="Times New Roman" w:hAnsi="Times New Roman" w:cs="Times New Roman"/>
                <w:noProof/>
                <w:color w:val="006100"/>
                <w:sz w:val="20"/>
                <w:szCs w:val="20"/>
              </w:rPr>
            </w:pPr>
            <w:r>
              <w:rPr>
                <w:rFonts w:ascii="Times New Roman" w:hAnsi="Times New Roman"/>
                <w:noProof/>
                <w:color w:val="006100"/>
                <w:sz w:val="20"/>
              </w:rPr>
              <w:t xml:space="preserve">C4.I6: </w:t>
            </w:r>
          </w:p>
          <w:p w14:paraId="517C996B" w14:textId="6995382A" w:rsidR="008B0F39" w:rsidRPr="00491076" w:rsidRDefault="008B0F39" w:rsidP="0073609B">
            <w:pPr>
              <w:spacing w:after="0"/>
              <w:rPr>
                <w:rFonts w:ascii="Times New Roman" w:hAnsi="Times New Roman" w:cs="Times New Roman"/>
                <w:noProof/>
                <w:color w:val="006100"/>
                <w:sz w:val="20"/>
                <w:szCs w:val="20"/>
              </w:rPr>
            </w:pPr>
            <w:r>
              <w:rPr>
                <w:rFonts w:ascii="Times New Roman" w:hAnsi="Times New Roman"/>
                <w:noProof/>
                <w:color w:val="006100"/>
                <w:sz w:val="20"/>
              </w:rPr>
              <w:t>Подкрепа за нови мощности за производство на електроенергия от възобновяеми източници и съхранение на електроенергия</w:t>
            </w:r>
          </w:p>
        </w:tc>
        <w:tc>
          <w:tcPr>
            <w:tcW w:w="1131" w:type="dxa"/>
            <w:tcBorders>
              <w:top w:val="single" w:sz="4" w:space="0" w:color="auto"/>
              <w:left w:val="single" w:sz="4" w:space="0" w:color="auto"/>
              <w:bottom w:val="single" w:sz="4" w:space="0" w:color="auto"/>
              <w:right w:val="single" w:sz="4" w:space="0" w:color="auto"/>
            </w:tcBorders>
            <w:shd w:val="clear" w:color="auto" w:fill="C6EFCE"/>
            <w:noWrap/>
          </w:tcPr>
          <w:p w14:paraId="34166FEB" w14:textId="77777777"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Ключов етап</w:t>
            </w:r>
          </w:p>
        </w:tc>
        <w:tc>
          <w:tcPr>
            <w:tcW w:w="1696" w:type="dxa"/>
            <w:tcBorders>
              <w:top w:val="single" w:sz="4" w:space="0" w:color="auto"/>
              <w:left w:val="single" w:sz="4" w:space="0" w:color="auto"/>
              <w:bottom w:val="single" w:sz="4" w:space="0" w:color="auto"/>
              <w:right w:val="single" w:sz="4" w:space="0" w:color="auto"/>
            </w:tcBorders>
            <w:shd w:val="clear" w:color="auto" w:fill="C6EFCE"/>
            <w:noWrap/>
          </w:tcPr>
          <w:p w14:paraId="5BD0603D" w14:textId="347F8AAC"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Обявяване на търг за изграждане на капацитет от 285 MW за производство на електроенергия от възобновяеми източници (вятърна и слънчева енергия)</w:t>
            </w:r>
          </w:p>
          <w:p w14:paraId="6408E424" w14:textId="75B7E177"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разположени съвместно със 75 MW системи за акумулиране на енергия</w:t>
            </w:r>
          </w:p>
        </w:tc>
        <w:tc>
          <w:tcPr>
            <w:tcW w:w="1414" w:type="dxa"/>
            <w:tcBorders>
              <w:top w:val="single" w:sz="4" w:space="0" w:color="auto"/>
              <w:left w:val="single" w:sz="4" w:space="0" w:color="auto"/>
              <w:bottom w:val="single" w:sz="4" w:space="0" w:color="auto"/>
              <w:right w:val="single" w:sz="4" w:space="0" w:color="auto"/>
            </w:tcBorders>
            <w:shd w:val="clear" w:color="auto" w:fill="C6EFCE"/>
            <w:noWrap/>
          </w:tcPr>
          <w:p w14:paraId="44252D11" w14:textId="77777777"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 Публикуване на спецификациите на търга</w:t>
            </w:r>
          </w:p>
        </w:tc>
        <w:tc>
          <w:tcPr>
            <w:tcW w:w="1151" w:type="dxa"/>
            <w:tcBorders>
              <w:top w:val="single" w:sz="4" w:space="0" w:color="auto"/>
              <w:left w:val="single" w:sz="4" w:space="0" w:color="auto"/>
              <w:bottom w:val="single" w:sz="4" w:space="0" w:color="auto"/>
              <w:right w:val="single" w:sz="4" w:space="0" w:color="auto"/>
            </w:tcBorders>
            <w:shd w:val="clear" w:color="auto" w:fill="C6EFCE"/>
            <w:noWrap/>
          </w:tcPr>
          <w:p w14:paraId="613EC5E8" w14:textId="77777777" w:rsidR="008B0F39" w:rsidRPr="008A0F8A" w:rsidRDefault="008B0F39" w:rsidP="0066695B">
            <w:pPr>
              <w:spacing w:after="0"/>
              <w:rPr>
                <w:rFonts w:ascii="Times New Roman" w:hAnsi="Times New Roman" w:cs="Times New Roman"/>
                <w:noProof/>
                <w:color w:val="006100"/>
                <w:sz w:val="20"/>
                <w:szCs w:val="20"/>
                <w:lang w:val="ru-RU"/>
              </w:rPr>
            </w:pPr>
          </w:p>
        </w:tc>
        <w:tc>
          <w:tcPr>
            <w:tcW w:w="1275" w:type="dxa"/>
            <w:tcBorders>
              <w:top w:val="single" w:sz="4" w:space="0" w:color="auto"/>
              <w:left w:val="single" w:sz="4" w:space="0" w:color="auto"/>
              <w:bottom w:val="single" w:sz="4" w:space="0" w:color="auto"/>
              <w:right w:val="single" w:sz="4" w:space="0" w:color="auto"/>
            </w:tcBorders>
            <w:shd w:val="clear" w:color="auto" w:fill="C6EFCE"/>
            <w:noWrap/>
          </w:tcPr>
          <w:p w14:paraId="403B423A" w14:textId="77777777" w:rsidR="008B0F39" w:rsidRPr="008A0F8A" w:rsidRDefault="008B0F39" w:rsidP="0066695B">
            <w:pPr>
              <w:spacing w:after="0"/>
              <w:rPr>
                <w:rFonts w:ascii="Times New Roman" w:hAnsi="Times New Roman" w:cs="Times New Roman"/>
                <w:noProof/>
                <w:color w:val="006100"/>
                <w:sz w:val="20"/>
                <w:szCs w:val="20"/>
                <w:lang w:val="ru-RU"/>
              </w:rPr>
            </w:pPr>
          </w:p>
        </w:tc>
        <w:tc>
          <w:tcPr>
            <w:tcW w:w="1134" w:type="dxa"/>
            <w:tcBorders>
              <w:top w:val="single" w:sz="4" w:space="0" w:color="auto"/>
              <w:left w:val="single" w:sz="4" w:space="0" w:color="auto"/>
              <w:bottom w:val="single" w:sz="4" w:space="0" w:color="auto"/>
              <w:right w:val="single" w:sz="4" w:space="0" w:color="auto"/>
            </w:tcBorders>
            <w:shd w:val="clear" w:color="auto" w:fill="C6EFCE"/>
            <w:noWrap/>
          </w:tcPr>
          <w:p w14:paraId="3C6888F5" w14:textId="77777777" w:rsidR="008B0F39" w:rsidRPr="008A0F8A" w:rsidRDefault="008B0F39" w:rsidP="0066695B">
            <w:pPr>
              <w:spacing w:after="0"/>
              <w:rPr>
                <w:rFonts w:ascii="Times New Roman" w:hAnsi="Times New Roman" w:cs="Times New Roman"/>
                <w:noProof/>
                <w:color w:val="006100"/>
                <w:sz w:val="20"/>
                <w:szCs w:val="20"/>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14:paraId="115AE956" w14:textId="77777777"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T4</w:t>
            </w:r>
          </w:p>
        </w:tc>
        <w:tc>
          <w:tcPr>
            <w:tcW w:w="709" w:type="dxa"/>
            <w:tcBorders>
              <w:top w:val="single" w:sz="4" w:space="0" w:color="auto"/>
              <w:left w:val="single" w:sz="4" w:space="0" w:color="auto"/>
              <w:bottom w:val="single" w:sz="4" w:space="0" w:color="auto"/>
              <w:right w:val="single" w:sz="4" w:space="0" w:color="auto"/>
            </w:tcBorders>
            <w:shd w:val="clear" w:color="auto" w:fill="C6EFCE"/>
            <w:noWrap/>
          </w:tcPr>
          <w:p w14:paraId="67B642E9" w14:textId="77777777"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2023</w:t>
            </w:r>
          </w:p>
        </w:tc>
        <w:tc>
          <w:tcPr>
            <w:tcW w:w="3772" w:type="dxa"/>
            <w:tcBorders>
              <w:top w:val="single" w:sz="4" w:space="0" w:color="auto"/>
              <w:left w:val="single" w:sz="4" w:space="0" w:color="auto"/>
              <w:bottom w:val="single" w:sz="4" w:space="0" w:color="auto"/>
              <w:right w:val="single" w:sz="4" w:space="0" w:color="auto"/>
            </w:tcBorders>
            <w:shd w:val="clear" w:color="auto" w:fill="C6EFCE"/>
            <w:noWrap/>
          </w:tcPr>
          <w:p w14:paraId="5631C719" w14:textId="77777777"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Публикува се покана за участие в състезателна процедура за подбор на проекти за производство на енергия от възобновяеми източници, които са разположени заедно със системи за съхранение на електрическа енергия.</w:t>
            </w:r>
          </w:p>
          <w:p w14:paraId="4EAFFDD8" w14:textId="77777777" w:rsidR="008B0F39" w:rsidRPr="008A0F8A" w:rsidRDefault="008B0F39" w:rsidP="0066695B">
            <w:pPr>
              <w:spacing w:after="0"/>
              <w:rPr>
                <w:rFonts w:ascii="Times New Roman" w:hAnsi="Times New Roman" w:cs="Times New Roman"/>
                <w:noProof/>
                <w:color w:val="006100"/>
                <w:sz w:val="20"/>
                <w:szCs w:val="20"/>
                <w:lang w:val="ru-RU"/>
              </w:rPr>
            </w:pPr>
          </w:p>
          <w:p w14:paraId="50AA39A9" w14:textId="77777777"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Тръжният механизъм се разработва при консултация с изпълняваща международна финансова институция и се основава на най-добрите практики.</w:t>
            </w:r>
          </w:p>
          <w:p w14:paraId="2D72DB57" w14:textId="77777777"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Критериите за подбор осигуряват съответствие с техническите насоки за прилагането на принципа за „ненанасяне на значителни вреди“ (2021/C58/01).</w:t>
            </w:r>
          </w:p>
        </w:tc>
      </w:tr>
      <w:tr w:rsidR="008E16C0" w:rsidRPr="005241FC" w14:paraId="015B238E" w14:textId="77777777" w:rsidTr="008E16C0">
        <w:trPr>
          <w:trHeight w:val="309"/>
        </w:trPr>
        <w:tc>
          <w:tcPr>
            <w:tcW w:w="681" w:type="dxa"/>
            <w:tcBorders>
              <w:top w:val="single" w:sz="4" w:space="0" w:color="auto"/>
              <w:left w:val="single" w:sz="4" w:space="0" w:color="auto"/>
              <w:bottom w:val="single" w:sz="4" w:space="0" w:color="auto"/>
              <w:right w:val="single" w:sz="4" w:space="0" w:color="auto"/>
            </w:tcBorders>
            <w:shd w:val="clear" w:color="auto" w:fill="C6EFCE"/>
            <w:noWrap/>
          </w:tcPr>
          <w:p w14:paraId="2B846C0B" w14:textId="582D0BFC" w:rsidR="008B0F39" w:rsidRPr="00491076" w:rsidRDefault="00413EDE"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101</w:t>
            </w:r>
          </w:p>
        </w:tc>
        <w:tc>
          <w:tcPr>
            <w:tcW w:w="1837" w:type="dxa"/>
            <w:tcBorders>
              <w:top w:val="single" w:sz="4" w:space="0" w:color="auto"/>
              <w:bottom w:val="single" w:sz="4" w:space="0" w:color="auto"/>
              <w:right w:val="single" w:sz="4" w:space="0" w:color="auto"/>
            </w:tcBorders>
            <w:shd w:val="clear" w:color="auto" w:fill="C6EFCE"/>
            <w:noWrap/>
          </w:tcPr>
          <w:p w14:paraId="06899815" w14:textId="77777777" w:rsidR="003B02A1" w:rsidRPr="00491076" w:rsidRDefault="0073609B"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 xml:space="preserve">C4.I6: </w:t>
            </w:r>
          </w:p>
          <w:p w14:paraId="1231B41F" w14:textId="1E3230DF"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Подкрепа за нови мощности за производство на електроенергия от възобновяеми източници и съхранение на електроенергия</w:t>
            </w:r>
          </w:p>
        </w:tc>
        <w:tc>
          <w:tcPr>
            <w:tcW w:w="1131" w:type="dxa"/>
            <w:tcBorders>
              <w:top w:val="single" w:sz="4" w:space="0" w:color="auto"/>
              <w:left w:val="single" w:sz="4" w:space="0" w:color="auto"/>
              <w:bottom w:val="single" w:sz="4" w:space="0" w:color="auto"/>
              <w:right w:val="single" w:sz="4" w:space="0" w:color="auto"/>
            </w:tcBorders>
            <w:shd w:val="clear" w:color="auto" w:fill="C6EFCE"/>
            <w:noWrap/>
          </w:tcPr>
          <w:p w14:paraId="17D7BFBD" w14:textId="77777777"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Ключов етап</w:t>
            </w:r>
          </w:p>
        </w:tc>
        <w:tc>
          <w:tcPr>
            <w:tcW w:w="1696" w:type="dxa"/>
            <w:tcBorders>
              <w:top w:val="single" w:sz="4" w:space="0" w:color="auto"/>
              <w:left w:val="single" w:sz="4" w:space="0" w:color="auto"/>
              <w:bottom w:val="single" w:sz="4" w:space="0" w:color="auto"/>
              <w:right w:val="single" w:sz="4" w:space="0" w:color="auto"/>
            </w:tcBorders>
            <w:shd w:val="clear" w:color="auto" w:fill="C6EFCE"/>
            <w:noWrap/>
          </w:tcPr>
          <w:p w14:paraId="4AE36B29" w14:textId="0A85003A"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Обявяване на търг за изграждане на капацитет от 285 MW за производство на електроенергия от възобновяеми източници (вятърна и слънчева енергия)</w:t>
            </w:r>
          </w:p>
          <w:p w14:paraId="1192D1E6" w14:textId="1E6E9089"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 xml:space="preserve"> разположени съвместно със 75 MW системи за акумулиране на енергия</w:t>
            </w:r>
          </w:p>
        </w:tc>
        <w:tc>
          <w:tcPr>
            <w:tcW w:w="1414" w:type="dxa"/>
            <w:tcBorders>
              <w:top w:val="single" w:sz="4" w:space="0" w:color="auto"/>
              <w:left w:val="single" w:sz="4" w:space="0" w:color="auto"/>
              <w:bottom w:val="single" w:sz="4" w:space="0" w:color="auto"/>
              <w:right w:val="single" w:sz="4" w:space="0" w:color="auto"/>
            </w:tcBorders>
            <w:shd w:val="clear" w:color="auto" w:fill="C6EFCE"/>
            <w:noWrap/>
          </w:tcPr>
          <w:p w14:paraId="488B1B67" w14:textId="77777777"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Публикуване на спецификациите на търга</w:t>
            </w:r>
          </w:p>
        </w:tc>
        <w:tc>
          <w:tcPr>
            <w:tcW w:w="1151" w:type="dxa"/>
            <w:tcBorders>
              <w:top w:val="single" w:sz="4" w:space="0" w:color="auto"/>
              <w:left w:val="single" w:sz="4" w:space="0" w:color="auto"/>
              <w:bottom w:val="single" w:sz="4" w:space="0" w:color="auto"/>
              <w:right w:val="single" w:sz="4" w:space="0" w:color="auto"/>
            </w:tcBorders>
            <w:shd w:val="clear" w:color="auto" w:fill="C6EFCE"/>
            <w:noWrap/>
          </w:tcPr>
          <w:p w14:paraId="1BA716C3" w14:textId="77777777" w:rsidR="008B0F39" w:rsidRPr="008A0F8A" w:rsidRDefault="008B0F39" w:rsidP="0066695B">
            <w:pPr>
              <w:spacing w:after="0"/>
              <w:rPr>
                <w:rFonts w:ascii="Times New Roman" w:hAnsi="Times New Roman" w:cs="Times New Roman"/>
                <w:noProof/>
                <w:color w:val="006100"/>
                <w:sz w:val="20"/>
                <w:szCs w:val="20"/>
                <w:lang w:val="ru-RU"/>
              </w:rPr>
            </w:pPr>
          </w:p>
        </w:tc>
        <w:tc>
          <w:tcPr>
            <w:tcW w:w="1275" w:type="dxa"/>
            <w:tcBorders>
              <w:top w:val="single" w:sz="4" w:space="0" w:color="auto"/>
              <w:left w:val="single" w:sz="4" w:space="0" w:color="auto"/>
              <w:bottom w:val="single" w:sz="4" w:space="0" w:color="auto"/>
              <w:right w:val="single" w:sz="4" w:space="0" w:color="auto"/>
            </w:tcBorders>
            <w:shd w:val="clear" w:color="auto" w:fill="C6EFCE"/>
            <w:noWrap/>
          </w:tcPr>
          <w:p w14:paraId="7420F03B" w14:textId="77777777" w:rsidR="008B0F39" w:rsidRPr="008A0F8A" w:rsidRDefault="008B0F39" w:rsidP="0066695B">
            <w:pPr>
              <w:spacing w:after="0"/>
              <w:rPr>
                <w:rFonts w:ascii="Times New Roman" w:hAnsi="Times New Roman" w:cs="Times New Roman"/>
                <w:noProof/>
                <w:color w:val="006100"/>
                <w:sz w:val="20"/>
                <w:szCs w:val="20"/>
                <w:lang w:val="ru-RU"/>
              </w:rPr>
            </w:pPr>
          </w:p>
        </w:tc>
        <w:tc>
          <w:tcPr>
            <w:tcW w:w="1134" w:type="dxa"/>
            <w:tcBorders>
              <w:top w:val="single" w:sz="4" w:space="0" w:color="auto"/>
              <w:left w:val="single" w:sz="4" w:space="0" w:color="auto"/>
              <w:bottom w:val="single" w:sz="4" w:space="0" w:color="auto"/>
              <w:right w:val="single" w:sz="4" w:space="0" w:color="auto"/>
            </w:tcBorders>
            <w:shd w:val="clear" w:color="auto" w:fill="C6EFCE"/>
            <w:noWrap/>
          </w:tcPr>
          <w:p w14:paraId="2EAD0CE2" w14:textId="77777777" w:rsidR="008B0F39" w:rsidRPr="008A0F8A" w:rsidRDefault="008B0F39" w:rsidP="0066695B">
            <w:pPr>
              <w:spacing w:after="0"/>
              <w:rPr>
                <w:rFonts w:ascii="Times New Roman" w:hAnsi="Times New Roman" w:cs="Times New Roman"/>
                <w:noProof/>
                <w:color w:val="006100"/>
                <w:sz w:val="20"/>
                <w:szCs w:val="20"/>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14:paraId="3FD400E9" w14:textId="77777777"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T2</w:t>
            </w:r>
          </w:p>
        </w:tc>
        <w:tc>
          <w:tcPr>
            <w:tcW w:w="709" w:type="dxa"/>
            <w:tcBorders>
              <w:top w:val="single" w:sz="4" w:space="0" w:color="auto"/>
              <w:left w:val="single" w:sz="4" w:space="0" w:color="auto"/>
              <w:bottom w:val="single" w:sz="4" w:space="0" w:color="auto"/>
              <w:right w:val="single" w:sz="4" w:space="0" w:color="auto"/>
            </w:tcBorders>
            <w:shd w:val="clear" w:color="auto" w:fill="C6EFCE"/>
            <w:noWrap/>
          </w:tcPr>
          <w:p w14:paraId="4333B712" w14:textId="77777777"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2024</w:t>
            </w:r>
          </w:p>
        </w:tc>
        <w:tc>
          <w:tcPr>
            <w:tcW w:w="3772" w:type="dxa"/>
            <w:tcBorders>
              <w:top w:val="single" w:sz="4" w:space="0" w:color="auto"/>
              <w:left w:val="single" w:sz="4" w:space="0" w:color="auto"/>
              <w:bottom w:val="single" w:sz="4" w:space="0" w:color="auto"/>
              <w:right w:val="single" w:sz="4" w:space="0" w:color="auto"/>
            </w:tcBorders>
            <w:shd w:val="clear" w:color="auto" w:fill="C6EFCE"/>
            <w:noWrap/>
          </w:tcPr>
          <w:p w14:paraId="320311DF" w14:textId="77777777"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Публикува се покана за участие в състезателна процедура за подбор на проекти за производство на енергия от възобновяеми източници, които са разположени заедно със системи за съхранение на електрическа енергия.</w:t>
            </w:r>
          </w:p>
          <w:p w14:paraId="3AD153CE" w14:textId="77777777" w:rsidR="008B0F39" w:rsidRPr="008A0F8A" w:rsidRDefault="008B0F39" w:rsidP="0066695B">
            <w:pPr>
              <w:spacing w:after="0"/>
              <w:rPr>
                <w:rFonts w:ascii="Times New Roman" w:hAnsi="Times New Roman" w:cs="Times New Roman"/>
                <w:noProof/>
                <w:color w:val="006100"/>
                <w:sz w:val="20"/>
                <w:szCs w:val="20"/>
                <w:lang w:val="ru-RU"/>
              </w:rPr>
            </w:pPr>
          </w:p>
          <w:p w14:paraId="0B88DDBB" w14:textId="77777777"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Тръжният механизъм се разработва при консултация с изпълняваща международна финансова институция и се основава на най-добрите практики.</w:t>
            </w:r>
          </w:p>
          <w:p w14:paraId="1CAF04E2" w14:textId="77777777"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Критериите за подбор осигуряват съответствие с техническите насоки за прилагането на принципа за „ненанасяне на значителни вреди“ (2021/C58/01).</w:t>
            </w:r>
          </w:p>
        </w:tc>
      </w:tr>
      <w:tr w:rsidR="008E16C0" w:rsidRPr="005241FC" w14:paraId="4EFB5903" w14:textId="77777777" w:rsidTr="008E16C0">
        <w:trPr>
          <w:trHeight w:val="309"/>
        </w:trPr>
        <w:tc>
          <w:tcPr>
            <w:tcW w:w="681" w:type="dxa"/>
            <w:tcBorders>
              <w:top w:val="single" w:sz="4" w:space="0" w:color="auto"/>
              <w:left w:val="single" w:sz="4" w:space="0" w:color="auto"/>
              <w:bottom w:val="single" w:sz="4" w:space="0" w:color="auto"/>
              <w:right w:val="single" w:sz="4" w:space="0" w:color="auto"/>
            </w:tcBorders>
            <w:shd w:val="clear" w:color="auto" w:fill="C6EFCE"/>
            <w:noWrap/>
          </w:tcPr>
          <w:p w14:paraId="206F9CB6" w14:textId="3816FA26" w:rsidR="008B0F39" w:rsidRPr="00491076" w:rsidRDefault="00413EDE"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102</w:t>
            </w:r>
          </w:p>
        </w:tc>
        <w:tc>
          <w:tcPr>
            <w:tcW w:w="1837" w:type="dxa"/>
            <w:tcBorders>
              <w:top w:val="single" w:sz="4" w:space="0" w:color="auto"/>
              <w:bottom w:val="single" w:sz="4" w:space="0" w:color="auto"/>
              <w:right w:val="single" w:sz="4" w:space="0" w:color="auto"/>
            </w:tcBorders>
            <w:shd w:val="clear" w:color="auto" w:fill="C6EFCE"/>
            <w:noWrap/>
          </w:tcPr>
          <w:p w14:paraId="40C33300" w14:textId="77777777" w:rsidR="003B02A1" w:rsidRPr="00491076" w:rsidRDefault="008B0F39" w:rsidP="0073609B">
            <w:pPr>
              <w:spacing w:after="0"/>
              <w:rPr>
                <w:rFonts w:ascii="Times New Roman" w:hAnsi="Times New Roman" w:cs="Times New Roman"/>
                <w:noProof/>
                <w:color w:val="006100"/>
                <w:sz w:val="20"/>
                <w:szCs w:val="20"/>
              </w:rPr>
            </w:pPr>
            <w:r>
              <w:rPr>
                <w:rFonts w:ascii="Times New Roman" w:hAnsi="Times New Roman"/>
                <w:noProof/>
                <w:color w:val="006100"/>
                <w:sz w:val="20"/>
              </w:rPr>
              <w:t xml:space="preserve">C4.I6: </w:t>
            </w:r>
          </w:p>
          <w:p w14:paraId="74DBA657" w14:textId="15177A80" w:rsidR="008B0F39" w:rsidRPr="00491076" w:rsidRDefault="008B0F39" w:rsidP="0073609B">
            <w:pPr>
              <w:spacing w:after="0"/>
              <w:rPr>
                <w:rFonts w:ascii="Times New Roman" w:hAnsi="Times New Roman" w:cs="Times New Roman"/>
                <w:noProof/>
                <w:color w:val="006100"/>
                <w:sz w:val="20"/>
                <w:szCs w:val="20"/>
              </w:rPr>
            </w:pPr>
            <w:r>
              <w:rPr>
                <w:rFonts w:ascii="Times New Roman" w:hAnsi="Times New Roman"/>
                <w:noProof/>
                <w:color w:val="006100"/>
                <w:sz w:val="20"/>
              </w:rPr>
              <w:t>Подкрепа за нови мощности за производство на електроенергия от възобновяеми източници и съхранение на електроенергия</w:t>
            </w:r>
          </w:p>
        </w:tc>
        <w:tc>
          <w:tcPr>
            <w:tcW w:w="1131" w:type="dxa"/>
            <w:tcBorders>
              <w:top w:val="single" w:sz="4" w:space="0" w:color="auto"/>
              <w:left w:val="single" w:sz="4" w:space="0" w:color="auto"/>
              <w:bottom w:val="single" w:sz="4" w:space="0" w:color="auto"/>
              <w:right w:val="single" w:sz="4" w:space="0" w:color="auto"/>
            </w:tcBorders>
            <w:shd w:val="clear" w:color="auto" w:fill="C6EFCE"/>
            <w:noWrap/>
          </w:tcPr>
          <w:p w14:paraId="2989541A" w14:textId="77777777"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Ключов етап</w:t>
            </w:r>
          </w:p>
        </w:tc>
        <w:tc>
          <w:tcPr>
            <w:tcW w:w="1696" w:type="dxa"/>
            <w:tcBorders>
              <w:top w:val="single" w:sz="4" w:space="0" w:color="auto"/>
              <w:left w:val="single" w:sz="4" w:space="0" w:color="auto"/>
              <w:bottom w:val="single" w:sz="4" w:space="0" w:color="auto"/>
              <w:right w:val="single" w:sz="4" w:space="0" w:color="auto"/>
            </w:tcBorders>
            <w:shd w:val="clear" w:color="auto" w:fill="C6EFCE"/>
            <w:noWrap/>
          </w:tcPr>
          <w:p w14:paraId="146C2850" w14:textId="101B3855"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Обявяване на търг за изграждане на капацитет от 285 MW за производство на електроенергия от възобновяеми източници (вятърна и слънчева енергия)</w:t>
            </w:r>
          </w:p>
          <w:p w14:paraId="145347C0" w14:textId="33BF6AE3"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 xml:space="preserve"> разположени съвместно със 75 MW системи за акумулиране на енергия</w:t>
            </w:r>
          </w:p>
        </w:tc>
        <w:tc>
          <w:tcPr>
            <w:tcW w:w="1414" w:type="dxa"/>
            <w:tcBorders>
              <w:top w:val="single" w:sz="4" w:space="0" w:color="auto"/>
              <w:left w:val="single" w:sz="4" w:space="0" w:color="auto"/>
              <w:bottom w:val="single" w:sz="4" w:space="0" w:color="auto"/>
              <w:right w:val="single" w:sz="4" w:space="0" w:color="auto"/>
            </w:tcBorders>
            <w:shd w:val="clear" w:color="auto" w:fill="C6EFCE"/>
            <w:noWrap/>
          </w:tcPr>
          <w:p w14:paraId="59F45D8D" w14:textId="77777777"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Публикуване на спецификациите на търга</w:t>
            </w:r>
          </w:p>
        </w:tc>
        <w:tc>
          <w:tcPr>
            <w:tcW w:w="1151" w:type="dxa"/>
            <w:tcBorders>
              <w:top w:val="single" w:sz="4" w:space="0" w:color="auto"/>
              <w:left w:val="single" w:sz="4" w:space="0" w:color="auto"/>
              <w:bottom w:val="single" w:sz="4" w:space="0" w:color="auto"/>
              <w:right w:val="single" w:sz="4" w:space="0" w:color="auto"/>
            </w:tcBorders>
            <w:shd w:val="clear" w:color="auto" w:fill="C6EFCE"/>
            <w:noWrap/>
          </w:tcPr>
          <w:p w14:paraId="0EB5CB09" w14:textId="77777777" w:rsidR="008B0F39" w:rsidRPr="008A0F8A" w:rsidRDefault="008B0F39" w:rsidP="0066695B">
            <w:pPr>
              <w:spacing w:after="0"/>
              <w:rPr>
                <w:rFonts w:ascii="Times New Roman" w:hAnsi="Times New Roman" w:cs="Times New Roman"/>
                <w:noProof/>
                <w:color w:val="006100"/>
                <w:sz w:val="20"/>
                <w:szCs w:val="20"/>
                <w:lang w:val="ru-RU"/>
              </w:rPr>
            </w:pPr>
          </w:p>
        </w:tc>
        <w:tc>
          <w:tcPr>
            <w:tcW w:w="1275" w:type="dxa"/>
            <w:tcBorders>
              <w:top w:val="single" w:sz="4" w:space="0" w:color="auto"/>
              <w:left w:val="single" w:sz="4" w:space="0" w:color="auto"/>
              <w:bottom w:val="single" w:sz="4" w:space="0" w:color="auto"/>
              <w:right w:val="single" w:sz="4" w:space="0" w:color="auto"/>
            </w:tcBorders>
            <w:shd w:val="clear" w:color="auto" w:fill="C6EFCE"/>
            <w:noWrap/>
          </w:tcPr>
          <w:p w14:paraId="6F3ABF74" w14:textId="77777777" w:rsidR="008B0F39" w:rsidRPr="008A0F8A" w:rsidRDefault="008B0F39" w:rsidP="0066695B">
            <w:pPr>
              <w:spacing w:after="0"/>
              <w:rPr>
                <w:rFonts w:ascii="Times New Roman" w:hAnsi="Times New Roman" w:cs="Times New Roman"/>
                <w:noProof/>
                <w:color w:val="006100"/>
                <w:sz w:val="20"/>
                <w:szCs w:val="20"/>
                <w:lang w:val="ru-RU"/>
              </w:rPr>
            </w:pPr>
          </w:p>
        </w:tc>
        <w:tc>
          <w:tcPr>
            <w:tcW w:w="1134" w:type="dxa"/>
            <w:tcBorders>
              <w:top w:val="single" w:sz="4" w:space="0" w:color="auto"/>
              <w:left w:val="single" w:sz="4" w:space="0" w:color="auto"/>
              <w:bottom w:val="single" w:sz="4" w:space="0" w:color="auto"/>
              <w:right w:val="single" w:sz="4" w:space="0" w:color="auto"/>
            </w:tcBorders>
            <w:shd w:val="clear" w:color="auto" w:fill="C6EFCE"/>
            <w:noWrap/>
          </w:tcPr>
          <w:p w14:paraId="3BCFC545" w14:textId="77777777" w:rsidR="008B0F39" w:rsidRPr="008A0F8A" w:rsidRDefault="008B0F39" w:rsidP="0066695B">
            <w:pPr>
              <w:spacing w:after="0"/>
              <w:rPr>
                <w:rFonts w:ascii="Times New Roman" w:hAnsi="Times New Roman" w:cs="Times New Roman"/>
                <w:noProof/>
                <w:color w:val="006100"/>
                <w:sz w:val="20"/>
                <w:szCs w:val="20"/>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14:paraId="2CCFB2EC" w14:textId="77777777"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T4</w:t>
            </w:r>
          </w:p>
        </w:tc>
        <w:tc>
          <w:tcPr>
            <w:tcW w:w="709" w:type="dxa"/>
            <w:tcBorders>
              <w:top w:val="single" w:sz="4" w:space="0" w:color="auto"/>
              <w:left w:val="single" w:sz="4" w:space="0" w:color="auto"/>
              <w:bottom w:val="single" w:sz="4" w:space="0" w:color="auto"/>
              <w:right w:val="single" w:sz="4" w:space="0" w:color="auto"/>
            </w:tcBorders>
            <w:shd w:val="clear" w:color="auto" w:fill="C6EFCE"/>
            <w:noWrap/>
          </w:tcPr>
          <w:p w14:paraId="370FCCD2" w14:textId="77777777"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2024</w:t>
            </w:r>
          </w:p>
        </w:tc>
        <w:tc>
          <w:tcPr>
            <w:tcW w:w="3772" w:type="dxa"/>
            <w:tcBorders>
              <w:top w:val="single" w:sz="4" w:space="0" w:color="auto"/>
              <w:left w:val="single" w:sz="4" w:space="0" w:color="auto"/>
              <w:bottom w:val="single" w:sz="4" w:space="0" w:color="auto"/>
              <w:right w:val="single" w:sz="4" w:space="0" w:color="auto"/>
            </w:tcBorders>
            <w:shd w:val="clear" w:color="auto" w:fill="C6EFCE"/>
            <w:noWrap/>
          </w:tcPr>
          <w:p w14:paraId="743159E5" w14:textId="73DCE4F4"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Публикува се покана за участие в състезателна процедура за подбор на проекти за производство на енергия от възобновяеми източници, които са разположени заедно със системи за съхранение на електрическа енергия.</w:t>
            </w:r>
          </w:p>
          <w:p w14:paraId="24529C95" w14:textId="77777777" w:rsidR="008B0F39" w:rsidRPr="008A0F8A" w:rsidRDefault="008B0F39" w:rsidP="0066695B">
            <w:pPr>
              <w:spacing w:after="0"/>
              <w:rPr>
                <w:rFonts w:ascii="Times New Roman" w:hAnsi="Times New Roman" w:cs="Times New Roman"/>
                <w:noProof/>
                <w:color w:val="006100"/>
                <w:sz w:val="20"/>
                <w:szCs w:val="20"/>
                <w:lang w:val="ru-RU"/>
              </w:rPr>
            </w:pPr>
          </w:p>
          <w:p w14:paraId="104DB34F" w14:textId="77777777"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Тръжният механизъм се разработва при консултация с изпълняваща международна финансова институция и се основава на най-добрите практики.</w:t>
            </w:r>
          </w:p>
          <w:p w14:paraId="0FE49380" w14:textId="77777777"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Критериите за подбор осигуряват съответствие с техническите насоки за прилагането на принципа за „ненанасяне на значителни вреди“ (2021/C58/01).</w:t>
            </w:r>
          </w:p>
        </w:tc>
      </w:tr>
      <w:tr w:rsidR="008E16C0" w:rsidRPr="005241FC" w14:paraId="239A8E1A" w14:textId="77777777" w:rsidTr="008E16C0">
        <w:trPr>
          <w:trHeight w:val="309"/>
        </w:trPr>
        <w:tc>
          <w:tcPr>
            <w:tcW w:w="681" w:type="dxa"/>
            <w:tcBorders>
              <w:top w:val="single" w:sz="4" w:space="0" w:color="auto"/>
              <w:left w:val="single" w:sz="4" w:space="0" w:color="auto"/>
              <w:bottom w:val="single" w:sz="4" w:space="0" w:color="auto"/>
              <w:right w:val="single" w:sz="4" w:space="0" w:color="auto"/>
            </w:tcBorders>
            <w:shd w:val="clear" w:color="auto" w:fill="C6EFCE"/>
            <w:noWrap/>
          </w:tcPr>
          <w:p w14:paraId="1B9294D2" w14:textId="1797F191" w:rsidR="008B0F39" w:rsidRPr="00491076" w:rsidRDefault="00413EDE"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103</w:t>
            </w:r>
          </w:p>
        </w:tc>
        <w:tc>
          <w:tcPr>
            <w:tcW w:w="1837" w:type="dxa"/>
            <w:tcBorders>
              <w:top w:val="single" w:sz="4" w:space="0" w:color="auto"/>
              <w:bottom w:val="single" w:sz="4" w:space="0" w:color="auto"/>
              <w:right w:val="single" w:sz="4" w:space="0" w:color="auto"/>
            </w:tcBorders>
            <w:shd w:val="clear" w:color="auto" w:fill="C6EFCE"/>
            <w:noWrap/>
          </w:tcPr>
          <w:p w14:paraId="45D31F18" w14:textId="77777777" w:rsidR="003B02A1" w:rsidRPr="00491076" w:rsidRDefault="008B0F39" w:rsidP="0073609B">
            <w:pPr>
              <w:spacing w:after="0"/>
              <w:rPr>
                <w:rFonts w:ascii="Times New Roman" w:hAnsi="Times New Roman" w:cs="Times New Roman"/>
                <w:noProof/>
                <w:color w:val="006100"/>
                <w:sz w:val="20"/>
                <w:szCs w:val="20"/>
              </w:rPr>
            </w:pPr>
            <w:r>
              <w:rPr>
                <w:rFonts w:ascii="Times New Roman" w:hAnsi="Times New Roman"/>
                <w:noProof/>
                <w:color w:val="006100"/>
                <w:sz w:val="20"/>
              </w:rPr>
              <w:t xml:space="preserve">C4.I6: </w:t>
            </w:r>
          </w:p>
          <w:p w14:paraId="6163EFC3" w14:textId="4FA34677" w:rsidR="008B0F39" w:rsidRPr="00491076" w:rsidRDefault="008B0F39" w:rsidP="0073609B">
            <w:pPr>
              <w:spacing w:after="0"/>
              <w:rPr>
                <w:rFonts w:ascii="Times New Roman" w:hAnsi="Times New Roman" w:cs="Times New Roman"/>
                <w:noProof/>
                <w:color w:val="006100"/>
                <w:sz w:val="20"/>
                <w:szCs w:val="20"/>
              </w:rPr>
            </w:pPr>
            <w:r>
              <w:rPr>
                <w:rFonts w:ascii="Times New Roman" w:hAnsi="Times New Roman"/>
                <w:noProof/>
                <w:color w:val="006100"/>
                <w:sz w:val="20"/>
              </w:rPr>
              <w:t>Подкрепа за нови мощности за производство на електроенергия от възобновяеми източници и съхранение на електроенергия</w:t>
            </w:r>
          </w:p>
        </w:tc>
        <w:tc>
          <w:tcPr>
            <w:tcW w:w="1131" w:type="dxa"/>
            <w:tcBorders>
              <w:top w:val="single" w:sz="4" w:space="0" w:color="auto"/>
              <w:left w:val="single" w:sz="4" w:space="0" w:color="auto"/>
              <w:bottom w:val="single" w:sz="4" w:space="0" w:color="auto"/>
              <w:right w:val="single" w:sz="4" w:space="0" w:color="auto"/>
            </w:tcBorders>
            <w:shd w:val="clear" w:color="auto" w:fill="C6EFCE"/>
            <w:noWrap/>
          </w:tcPr>
          <w:p w14:paraId="51F203E0" w14:textId="77777777"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Цел</w:t>
            </w:r>
          </w:p>
        </w:tc>
        <w:tc>
          <w:tcPr>
            <w:tcW w:w="1696" w:type="dxa"/>
            <w:tcBorders>
              <w:top w:val="single" w:sz="4" w:space="0" w:color="auto"/>
              <w:left w:val="single" w:sz="4" w:space="0" w:color="auto"/>
              <w:bottom w:val="single" w:sz="4" w:space="0" w:color="auto"/>
              <w:right w:val="single" w:sz="4" w:space="0" w:color="auto"/>
            </w:tcBorders>
            <w:shd w:val="clear" w:color="auto" w:fill="C6EFCE"/>
            <w:noWrap/>
          </w:tcPr>
          <w:p w14:paraId="4C8B81C4" w14:textId="77777777"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Допълнителен нов капацитет за производство на електроенергия от възобновяеми източници (вятърна и слънчева енергия), разположен съвместно с въведен в експлоатация капацитет за съхранение на електроенергия</w:t>
            </w:r>
          </w:p>
        </w:tc>
        <w:tc>
          <w:tcPr>
            <w:tcW w:w="1414" w:type="dxa"/>
            <w:tcBorders>
              <w:top w:val="single" w:sz="4" w:space="0" w:color="auto"/>
              <w:left w:val="single" w:sz="4" w:space="0" w:color="auto"/>
              <w:bottom w:val="single" w:sz="4" w:space="0" w:color="auto"/>
              <w:right w:val="single" w:sz="4" w:space="0" w:color="auto"/>
            </w:tcBorders>
            <w:shd w:val="clear" w:color="auto" w:fill="C6EFCE"/>
            <w:noWrap/>
          </w:tcPr>
          <w:p w14:paraId="1EFE0A6E" w14:textId="77777777" w:rsidR="008B0F39" w:rsidRPr="008A0F8A" w:rsidRDefault="008B0F39" w:rsidP="0066695B">
            <w:pPr>
              <w:spacing w:after="0"/>
              <w:rPr>
                <w:rFonts w:ascii="Times New Roman" w:hAnsi="Times New Roman" w:cs="Times New Roman"/>
                <w:noProof/>
                <w:color w:val="006100"/>
                <w:sz w:val="20"/>
                <w:szCs w:val="20"/>
                <w:lang w:val="ru-RU"/>
              </w:rPr>
            </w:pPr>
          </w:p>
        </w:tc>
        <w:tc>
          <w:tcPr>
            <w:tcW w:w="1151" w:type="dxa"/>
            <w:tcBorders>
              <w:top w:val="single" w:sz="4" w:space="0" w:color="auto"/>
              <w:left w:val="single" w:sz="4" w:space="0" w:color="auto"/>
              <w:bottom w:val="single" w:sz="4" w:space="0" w:color="auto"/>
              <w:right w:val="single" w:sz="4" w:space="0" w:color="auto"/>
            </w:tcBorders>
            <w:shd w:val="clear" w:color="auto" w:fill="C6EFCE"/>
            <w:noWrap/>
          </w:tcPr>
          <w:p w14:paraId="12E2E9B7" w14:textId="77777777"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Мегавати (MW)</w:t>
            </w:r>
          </w:p>
        </w:tc>
        <w:tc>
          <w:tcPr>
            <w:tcW w:w="1275" w:type="dxa"/>
            <w:tcBorders>
              <w:top w:val="single" w:sz="4" w:space="0" w:color="auto"/>
              <w:left w:val="single" w:sz="4" w:space="0" w:color="auto"/>
              <w:bottom w:val="single" w:sz="4" w:space="0" w:color="auto"/>
              <w:right w:val="single" w:sz="4" w:space="0" w:color="auto"/>
            </w:tcBorders>
            <w:shd w:val="clear" w:color="auto" w:fill="C6EFCE"/>
            <w:noWrap/>
          </w:tcPr>
          <w:p w14:paraId="262CDD76" w14:textId="77777777"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1704</w:t>
            </w:r>
          </w:p>
        </w:tc>
        <w:tc>
          <w:tcPr>
            <w:tcW w:w="1134" w:type="dxa"/>
            <w:tcBorders>
              <w:top w:val="single" w:sz="4" w:space="0" w:color="auto"/>
              <w:left w:val="single" w:sz="4" w:space="0" w:color="auto"/>
              <w:bottom w:val="single" w:sz="4" w:space="0" w:color="auto"/>
              <w:right w:val="single" w:sz="4" w:space="0" w:color="auto"/>
            </w:tcBorders>
            <w:shd w:val="clear" w:color="auto" w:fill="C6EFCE"/>
            <w:noWrap/>
          </w:tcPr>
          <w:p w14:paraId="2238B263" w14:textId="77777777"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3129</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14:paraId="7420547B" w14:textId="77777777"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T2</w:t>
            </w:r>
          </w:p>
        </w:tc>
        <w:tc>
          <w:tcPr>
            <w:tcW w:w="709" w:type="dxa"/>
            <w:tcBorders>
              <w:top w:val="single" w:sz="4" w:space="0" w:color="auto"/>
              <w:left w:val="single" w:sz="4" w:space="0" w:color="auto"/>
              <w:bottom w:val="single" w:sz="4" w:space="0" w:color="auto"/>
              <w:right w:val="single" w:sz="4" w:space="0" w:color="auto"/>
            </w:tcBorders>
            <w:shd w:val="clear" w:color="auto" w:fill="C6EFCE"/>
            <w:noWrap/>
          </w:tcPr>
          <w:p w14:paraId="1755EEB1" w14:textId="77777777"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2026</w:t>
            </w:r>
          </w:p>
        </w:tc>
        <w:tc>
          <w:tcPr>
            <w:tcW w:w="3772" w:type="dxa"/>
            <w:tcBorders>
              <w:top w:val="single" w:sz="4" w:space="0" w:color="auto"/>
              <w:left w:val="single" w:sz="4" w:space="0" w:color="auto"/>
              <w:bottom w:val="single" w:sz="4" w:space="0" w:color="auto"/>
              <w:right w:val="single" w:sz="4" w:space="0" w:color="auto"/>
            </w:tcBorders>
            <w:shd w:val="clear" w:color="auto" w:fill="C6EFCE"/>
            <w:noWrap/>
          </w:tcPr>
          <w:p w14:paraId="56B2C774" w14:textId="010F3BAF"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Кумулативен капацитет от 1425 MW за производство на електроенергия от възобновяеми източници, разположен съвместно с въведен в експлоатация и присъединен към мрежата най-малко 350 MW капацитет за съхранение на електроенергия в сравнение с нивата на инсталирания капацитет от 2022 г., в съответствие с условията, посочени в ключови етапи 98—102.</w:t>
            </w:r>
          </w:p>
        </w:tc>
      </w:tr>
      <w:tr w:rsidR="008E16C0" w:rsidRPr="005241FC" w14:paraId="14E97241" w14:textId="77777777" w:rsidTr="008E16C0">
        <w:trPr>
          <w:trHeight w:val="309"/>
        </w:trPr>
        <w:tc>
          <w:tcPr>
            <w:tcW w:w="681" w:type="dxa"/>
            <w:tcBorders>
              <w:top w:val="single" w:sz="4" w:space="0" w:color="auto"/>
              <w:left w:val="single" w:sz="4" w:space="0" w:color="auto"/>
              <w:bottom w:val="single" w:sz="4" w:space="0" w:color="auto"/>
              <w:right w:val="single" w:sz="4" w:space="0" w:color="auto"/>
            </w:tcBorders>
            <w:shd w:val="clear" w:color="auto" w:fill="C6EFCE"/>
            <w:noWrap/>
          </w:tcPr>
          <w:p w14:paraId="7B4A3091" w14:textId="00BEB31C" w:rsidR="008B0F39" w:rsidRPr="00491076" w:rsidRDefault="00413EDE"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104</w:t>
            </w:r>
          </w:p>
        </w:tc>
        <w:tc>
          <w:tcPr>
            <w:tcW w:w="1837" w:type="dxa"/>
            <w:tcBorders>
              <w:top w:val="single" w:sz="4" w:space="0" w:color="auto"/>
              <w:left w:val="nil"/>
              <w:bottom w:val="single" w:sz="4" w:space="0" w:color="auto"/>
              <w:right w:val="single" w:sz="4" w:space="0" w:color="auto"/>
            </w:tcBorders>
            <w:shd w:val="clear" w:color="auto" w:fill="C6EFCE"/>
            <w:noWrap/>
          </w:tcPr>
          <w:p w14:paraId="282362B8" w14:textId="77777777" w:rsidR="003B02A1" w:rsidRPr="00491076" w:rsidRDefault="0073609B"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C4.R6:</w:t>
            </w:r>
          </w:p>
          <w:p w14:paraId="6836228F" w14:textId="774EC2E6"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Стимулиране на производството на електроенергия от възобновяеми източници</w:t>
            </w:r>
          </w:p>
        </w:tc>
        <w:tc>
          <w:tcPr>
            <w:tcW w:w="1131" w:type="dxa"/>
            <w:tcBorders>
              <w:top w:val="single" w:sz="4" w:space="0" w:color="auto"/>
              <w:left w:val="nil"/>
              <w:bottom w:val="single" w:sz="4" w:space="0" w:color="auto"/>
              <w:right w:val="single" w:sz="4" w:space="0" w:color="auto"/>
            </w:tcBorders>
            <w:shd w:val="clear" w:color="auto" w:fill="C6EFCE"/>
            <w:noWrap/>
          </w:tcPr>
          <w:p w14:paraId="7FD8B9C3" w14:textId="77777777"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Цел</w:t>
            </w:r>
          </w:p>
        </w:tc>
        <w:tc>
          <w:tcPr>
            <w:tcW w:w="1696" w:type="dxa"/>
            <w:tcBorders>
              <w:top w:val="single" w:sz="4" w:space="0" w:color="auto"/>
              <w:left w:val="nil"/>
              <w:bottom w:val="single" w:sz="4" w:space="0" w:color="auto"/>
              <w:right w:val="single" w:sz="4" w:space="0" w:color="auto"/>
            </w:tcBorders>
            <w:shd w:val="clear" w:color="auto" w:fill="C6EFCE"/>
            <w:noWrap/>
          </w:tcPr>
          <w:p w14:paraId="385B6AAC" w14:textId="77777777"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 xml:space="preserve">Въведен в експлоатация общ нов капацитет за производство на електроенергия от възобновяеми източници (вятърна и слънчева енергия) </w:t>
            </w:r>
          </w:p>
        </w:tc>
        <w:tc>
          <w:tcPr>
            <w:tcW w:w="1414" w:type="dxa"/>
            <w:tcBorders>
              <w:top w:val="single" w:sz="4" w:space="0" w:color="auto"/>
              <w:left w:val="nil"/>
              <w:bottom w:val="single" w:sz="4" w:space="0" w:color="auto"/>
              <w:right w:val="single" w:sz="4" w:space="0" w:color="auto"/>
            </w:tcBorders>
            <w:shd w:val="clear" w:color="auto" w:fill="C6EFCE"/>
            <w:noWrap/>
          </w:tcPr>
          <w:p w14:paraId="261813A4" w14:textId="77777777" w:rsidR="008B0F39" w:rsidRPr="008A0F8A" w:rsidRDefault="008B0F39" w:rsidP="0066695B">
            <w:pPr>
              <w:spacing w:after="0"/>
              <w:rPr>
                <w:rFonts w:ascii="Times New Roman" w:hAnsi="Times New Roman" w:cs="Times New Roman"/>
                <w:noProof/>
                <w:color w:val="006100"/>
                <w:sz w:val="20"/>
                <w:szCs w:val="20"/>
                <w:lang w:val="ru-RU"/>
              </w:rPr>
            </w:pPr>
          </w:p>
        </w:tc>
        <w:tc>
          <w:tcPr>
            <w:tcW w:w="1151" w:type="dxa"/>
            <w:tcBorders>
              <w:top w:val="single" w:sz="4" w:space="0" w:color="auto"/>
              <w:left w:val="nil"/>
              <w:bottom w:val="single" w:sz="4" w:space="0" w:color="auto"/>
              <w:right w:val="single" w:sz="4" w:space="0" w:color="auto"/>
            </w:tcBorders>
            <w:shd w:val="clear" w:color="auto" w:fill="C6EFCE"/>
            <w:noWrap/>
          </w:tcPr>
          <w:p w14:paraId="04B6352D" w14:textId="77777777"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Мегавати (MW)</w:t>
            </w:r>
          </w:p>
        </w:tc>
        <w:tc>
          <w:tcPr>
            <w:tcW w:w="1275" w:type="dxa"/>
            <w:tcBorders>
              <w:top w:val="single" w:sz="4" w:space="0" w:color="auto"/>
              <w:left w:val="nil"/>
              <w:bottom w:val="single" w:sz="4" w:space="0" w:color="auto"/>
              <w:right w:val="single" w:sz="4" w:space="0" w:color="auto"/>
            </w:tcBorders>
            <w:shd w:val="clear" w:color="auto" w:fill="C6EFCE"/>
            <w:noWrap/>
          </w:tcPr>
          <w:p w14:paraId="5D22B478" w14:textId="77777777"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1704</w:t>
            </w:r>
          </w:p>
        </w:tc>
        <w:tc>
          <w:tcPr>
            <w:tcW w:w="1134" w:type="dxa"/>
            <w:tcBorders>
              <w:top w:val="single" w:sz="4" w:space="0" w:color="auto"/>
              <w:left w:val="nil"/>
              <w:bottom w:val="single" w:sz="4" w:space="0" w:color="auto"/>
              <w:right w:val="single" w:sz="4" w:space="0" w:color="auto"/>
            </w:tcBorders>
            <w:shd w:val="clear" w:color="auto" w:fill="C6EFCE"/>
            <w:noWrap/>
          </w:tcPr>
          <w:p w14:paraId="1772577B" w14:textId="77777777"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5204</w:t>
            </w:r>
          </w:p>
          <w:p w14:paraId="1892D524" w14:textId="77777777" w:rsidR="008B0F39" w:rsidRPr="00491076" w:rsidRDefault="008B0F39" w:rsidP="0066695B">
            <w:pPr>
              <w:spacing w:after="0"/>
              <w:rPr>
                <w:rFonts w:ascii="Times New Roman" w:hAnsi="Times New Roman" w:cs="Times New Roman"/>
                <w:noProof/>
                <w:color w:val="006100"/>
                <w:sz w:val="20"/>
                <w:szCs w:val="20"/>
                <w:lang w:val="en-GB"/>
              </w:rPr>
            </w:pPr>
          </w:p>
        </w:tc>
        <w:tc>
          <w:tcPr>
            <w:tcW w:w="851" w:type="dxa"/>
            <w:tcBorders>
              <w:top w:val="single" w:sz="4" w:space="0" w:color="auto"/>
              <w:left w:val="nil"/>
              <w:bottom w:val="single" w:sz="4" w:space="0" w:color="auto"/>
              <w:right w:val="single" w:sz="4" w:space="0" w:color="auto"/>
            </w:tcBorders>
            <w:shd w:val="clear" w:color="auto" w:fill="C6EFCE"/>
            <w:noWrap/>
          </w:tcPr>
          <w:p w14:paraId="5407762E" w14:textId="77777777"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T2</w:t>
            </w:r>
          </w:p>
        </w:tc>
        <w:tc>
          <w:tcPr>
            <w:tcW w:w="709" w:type="dxa"/>
            <w:tcBorders>
              <w:top w:val="single" w:sz="4" w:space="0" w:color="auto"/>
              <w:left w:val="nil"/>
              <w:bottom w:val="single" w:sz="4" w:space="0" w:color="auto"/>
              <w:right w:val="single" w:sz="4" w:space="0" w:color="auto"/>
            </w:tcBorders>
            <w:shd w:val="clear" w:color="auto" w:fill="C6EFCE"/>
            <w:noWrap/>
          </w:tcPr>
          <w:p w14:paraId="3D4DB414" w14:textId="77777777"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2026</w:t>
            </w:r>
          </w:p>
        </w:tc>
        <w:tc>
          <w:tcPr>
            <w:tcW w:w="3772" w:type="dxa"/>
            <w:tcBorders>
              <w:top w:val="single" w:sz="4" w:space="0" w:color="auto"/>
              <w:left w:val="nil"/>
              <w:bottom w:val="single" w:sz="4" w:space="0" w:color="auto"/>
              <w:right w:val="single" w:sz="4" w:space="0" w:color="auto"/>
            </w:tcBorders>
            <w:shd w:val="clear" w:color="auto" w:fill="C6EFCE"/>
            <w:noWrap/>
          </w:tcPr>
          <w:p w14:paraId="69023649" w14:textId="40715F32" w:rsidR="008B0F39" w:rsidRPr="00491076" w:rsidRDefault="008B0F39" w:rsidP="00653894">
            <w:pPr>
              <w:spacing w:after="0"/>
              <w:rPr>
                <w:rFonts w:ascii="Times New Roman" w:hAnsi="Times New Roman" w:cs="Times New Roman"/>
                <w:noProof/>
                <w:color w:val="006100"/>
                <w:sz w:val="20"/>
                <w:szCs w:val="20"/>
              </w:rPr>
            </w:pPr>
            <w:r>
              <w:rPr>
                <w:rFonts w:ascii="Times New Roman" w:hAnsi="Times New Roman"/>
                <w:noProof/>
                <w:color w:val="006100"/>
                <w:sz w:val="20"/>
              </w:rPr>
              <w:t>Въвежда се в експлоатация и се свързва към мрежата най-малко 3500 MW допълнителен капацитет за производство от възобновяеми източници (вятърна и слънчева енергия) в сравнение с нивата на инсталирания капацитет (вятърна и слънчева енергия) от 2022 г.</w:t>
            </w:r>
          </w:p>
        </w:tc>
      </w:tr>
      <w:tr w:rsidR="008E16C0" w:rsidRPr="005241FC" w14:paraId="16E36CD4" w14:textId="77777777" w:rsidTr="008E16C0">
        <w:trPr>
          <w:trHeight w:val="309"/>
        </w:trPr>
        <w:tc>
          <w:tcPr>
            <w:tcW w:w="681" w:type="dxa"/>
            <w:shd w:val="clear" w:color="auto" w:fill="C6EFCE"/>
            <w:noWrap/>
          </w:tcPr>
          <w:p w14:paraId="5AD0D205" w14:textId="4ECE4A82" w:rsidR="008B0F39" w:rsidRPr="00491076" w:rsidRDefault="00413EDE"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105</w:t>
            </w:r>
          </w:p>
        </w:tc>
        <w:tc>
          <w:tcPr>
            <w:tcW w:w="1837" w:type="dxa"/>
            <w:shd w:val="clear" w:color="auto" w:fill="C6EFCE"/>
            <w:noWrap/>
          </w:tcPr>
          <w:p w14:paraId="358DB784" w14:textId="77777777" w:rsidR="003B02A1" w:rsidRPr="00491076" w:rsidRDefault="008B0F39" w:rsidP="0073609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C4.I7: </w:t>
            </w:r>
          </w:p>
          <w:p w14:paraId="181602AE" w14:textId="3468DA5B" w:rsidR="008B0F39" w:rsidRPr="00491076" w:rsidRDefault="008B0F39" w:rsidP="0073609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Пилотен проект за комбинирано производство на топлинна и електрическа енергия от геотермални източници</w:t>
            </w:r>
          </w:p>
        </w:tc>
        <w:tc>
          <w:tcPr>
            <w:tcW w:w="1131" w:type="dxa"/>
            <w:shd w:val="clear" w:color="auto" w:fill="C6EFCE"/>
            <w:noWrap/>
          </w:tcPr>
          <w:p w14:paraId="1F71802A"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696" w:type="dxa"/>
            <w:shd w:val="clear" w:color="auto" w:fill="C6EFCE"/>
            <w:noWrap/>
          </w:tcPr>
          <w:p w14:paraId="604E9283"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Влизане в сила на измененията в Закона за водите, Закона за енергетиката и Закона за концесиите във връзка с изграждането на нов вид електроцентрала и използването на геотермална енергия.</w:t>
            </w:r>
          </w:p>
        </w:tc>
        <w:tc>
          <w:tcPr>
            <w:tcW w:w="1414" w:type="dxa"/>
            <w:shd w:val="clear" w:color="auto" w:fill="C6EFCE"/>
            <w:noWrap/>
          </w:tcPr>
          <w:p w14:paraId="4157A1D4"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Законова разпоредба, указваща влизането в сила на измененията в Закона за водите, Закона за енергетиката и Закона за концесиите</w:t>
            </w:r>
          </w:p>
        </w:tc>
        <w:tc>
          <w:tcPr>
            <w:tcW w:w="1151" w:type="dxa"/>
            <w:shd w:val="clear" w:color="auto" w:fill="C6EFCE"/>
            <w:noWrap/>
          </w:tcPr>
          <w:p w14:paraId="59E80D9E"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1275" w:type="dxa"/>
            <w:shd w:val="clear" w:color="auto" w:fill="C6EFCE"/>
            <w:noWrap/>
          </w:tcPr>
          <w:p w14:paraId="365F4ACE"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1134" w:type="dxa"/>
            <w:shd w:val="clear" w:color="auto" w:fill="C6EFCE"/>
            <w:noWrap/>
          </w:tcPr>
          <w:p w14:paraId="00C5839A"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851" w:type="dxa"/>
            <w:shd w:val="clear" w:color="auto" w:fill="C6EFCE"/>
            <w:noWrap/>
          </w:tcPr>
          <w:p w14:paraId="3456585A" w14:textId="0041BE98"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T4</w:t>
            </w:r>
          </w:p>
        </w:tc>
        <w:tc>
          <w:tcPr>
            <w:tcW w:w="709" w:type="dxa"/>
            <w:shd w:val="clear" w:color="auto" w:fill="C6EFCE"/>
            <w:noWrap/>
          </w:tcPr>
          <w:p w14:paraId="6F885161"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2022</w:t>
            </w:r>
          </w:p>
        </w:tc>
        <w:tc>
          <w:tcPr>
            <w:tcW w:w="3772" w:type="dxa"/>
            <w:shd w:val="clear" w:color="auto" w:fill="C6EFCE"/>
            <w:noWrap/>
          </w:tcPr>
          <w:p w14:paraId="5BA6F607" w14:textId="77777777"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 xml:space="preserve">Измененията в регулаторната рамка (Закона за водите, Закона за енергетиката и Закона за концесиите и всички необходими подзаконови актове): </w:t>
            </w:r>
          </w:p>
          <w:p w14:paraId="2F394F79" w14:textId="77777777"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 xml:space="preserve"> </w:t>
            </w:r>
          </w:p>
          <w:p w14:paraId="44AAA222" w14:textId="77777777" w:rsidR="008B0F39" w:rsidRPr="00491076" w:rsidRDefault="008B0F39" w:rsidP="008B0F39">
            <w:pPr>
              <w:pStyle w:val="ListParagraph"/>
              <w:numPr>
                <w:ilvl w:val="0"/>
                <w:numId w:val="25"/>
              </w:numPr>
              <w:spacing w:after="0"/>
              <w:ind w:left="360"/>
              <w:rPr>
                <w:rFonts w:ascii="Times New Roman" w:hAnsi="Times New Roman" w:cs="Times New Roman"/>
                <w:noProof/>
                <w:color w:val="006100"/>
                <w:sz w:val="20"/>
                <w:szCs w:val="20"/>
              </w:rPr>
            </w:pPr>
            <w:r>
              <w:rPr>
                <w:rFonts w:ascii="Times New Roman" w:hAnsi="Times New Roman"/>
                <w:noProof/>
                <w:color w:val="006100"/>
                <w:sz w:val="20"/>
              </w:rPr>
              <w:t xml:space="preserve">премахват основните пречки, посочени в пътната карта за развитието на геотермалната енергия като възобновяем енергиен източник; </w:t>
            </w:r>
          </w:p>
          <w:p w14:paraId="7AD51350" w14:textId="432B8D30" w:rsidR="008B0F39" w:rsidRPr="00313A8D" w:rsidRDefault="008B0F39" w:rsidP="00313A8D">
            <w:pPr>
              <w:pStyle w:val="ListParagraph"/>
              <w:numPr>
                <w:ilvl w:val="0"/>
                <w:numId w:val="25"/>
              </w:numPr>
              <w:spacing w:after="0"/>
              <w:ind w:left="360"/>
              <w:rPr>
                <w:rFonts w:ascii="Times New Roman" w:hAnsi="Times New Roman" w:cs="Times New Roman"/>
                <w:noProof/>
                <w:color w:val="006100"/>
                <w:sz w:val="20"/>
                <w:szCs w:val="20"/>
              </w:rPr>
            </w:pPr>
            <w:r>
              <w:rPr>
                <w:rFonts w:ascii="Times New Roman" w:hAnsi="Times New Roman"/>
                <w:noProof/>
                <w:color w:val="006100"/>
                <w:sz w:val="20"/>
              </w:rPr>
              <w:t>гарантират, че няма замърсяване на подземните води и водните повърхности както по време на геотермалните енергийни проучвания, така и по време на експлоатацията на инсталацията;</w:t>
            </w:r>
          </w:p>
          <w:p w14:paraId="5B52E9E2" w14:textId="77777777" w:rsidR="008B0F39" w:rsidRPr="00491076" w:rsidRDefault="008B0F39" w:rsidP="008B0F39">
            <w:pPr>
              <w:pStyle w:val="ListParagraph"/>
              <w:numPr>
                <w:ilvl w:val="0"/>
                <w:numId w:val="25"/>
              </w:numPr>
              <w:spacing w:after="0"/>
              <w:ind w:left="360"/>
              <w:rPr>
                <w:rFonts w:ascii="Times New Roman" w:hAnsi="Times New Roman" w:cs="Times New Roman"/>
                <w:noProof/>
                <w:color w:val="006100"/>
                <w:sz w:val="20"/>
                <w:szCs w:val="20"/>
              </w:rPr>
            </w:pPr>
            <w:r>
              <w:rPr>
                <w:rFonts w:ascii="Times New Roman" w:hAnsi="Times New Roman"/>
                <w:noProof/>
                <w:color w:val="006100"/>
                <w:sz w:val="20"/>
              </w:rPr>
              <w:t>регулират използването на геотермалната енергия като ресурс.</w:t>
            </w:r>
          </w:p>
        </w:tc>
      </w:tr>
      <w:tr w:rsidR="008E16C0" w:rsidRPr="005241FC" w14:paraId="07857AA7" w14:textId="77777777" w:rsidTr="008E16C0">
        <w:trPr>
          <w:trHeight w:val="309"/>
        </w:trPr>
        <w:tc>
          <w:tcPr>
            <w:tcW w:w="681" w:type="dxa"/>
            <w:shd w:val="clear" w:color="auto" w:fill="C6EFCE"/>
            <w:noWrap/>
          </w:tcPr>
          <w:p w14:paraId="2DD2BFCF" w14:textId="644AF32C" w:rsidR="008B0F39" w:rsidRPr="00491076" w:rsidRDefault="00413EDE"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106</w:t>
            </w:r>
          </w:p>
        </w:tc>
        <w:tc>
          <w:tcPr>
            <w:tcW w:w="1837" w:type="dxa"/>
            <w:shd w:val="clear" w:color="auto" w:fill="C6EFCE"/>
            <w:noWrap/>
          </w:tcPr>
          <w:p w14:paraId="6D4523E0" w14:textId="77777777" w:rsidR="003B02A1" w:rsidRPr="00491076" w:rsidRDefault="008B0F39" w:rsidP="0073609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C4.I7: </w:t>
            </w:r>
          </w:p>
          <w:p w14:paraId="091523EC" w14:textId="73F731F9" w:rsidR="008B0F39" w:rsidRPr="00491076" w:rsidRDefault="008B0F39" w:rsidP="0073609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Пилотен проект за комбинирано производство на топлинна и електрическа енергия от геотермални източници</w:t>
            </w:r>
          </w:p>
        </w:tc>
        <w:tc>
          <w:tcPr>
            <w:tcW w:w="1131" w:type="dxa"/>
            <w:shd w:val="clear" w:color="auto" w:fill="C6EFCE"/>
            <w:noWrap/>
          </w:tcPr>
          <w:p w14:paraId="0B0FBF4C"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696" w:type="dxa"/>
            <w:shd w:val="clear" w:color="auto" w:fill="C6EFCE"/>
            <w:noWrap/>
          </w:tcPr>
          <w:p w14:paraId="762A80AD"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Създаване на специализирана лаборатория за изследвания и обучение в областта на геотермалната енергия</w:t>
            </w:r>
          </w:p>
        </w:tc>
        <w:tc>
          <w:tcPr>
            <w:tcW w:w="1414" w:type="dxa"/>
            <w:shd w:val="clear" w:color="auto" w:fill="C6EFCE"/>
            <w:noWrap/>
          </w:tcPr>
          <w:p w14:paraId="57976448"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Функционира специализирана лаборатория</w:t>
            </w:r>
          </w:p>
        </w:tc>
        <w:tc>
          <w:tcPr>
            <w:tcW w:w="1151" w:type="dxa"/>
            <w:shd w:val="clear" w:color="auto" w:fill="C6EFCE"/>
            <w:noWrap/>
          </w:tcPr>
          <w:p w14:paraId="65EF0CAC"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lang w:val="en-GB" w:eastAsia="en-GB"/>
              </w:rPr>
            </w:pPr>
          </w:p>
        </w:tc>
        <w:tc>
          <w:tcPr>
            <w:tcW w:w="1275" w:type="dxa"/>
            <w:shd w:val="clear" w:color="auto" w:fill="C6EFCE"/>
            <w:noWrap/>
          </w:tcPr>
          <w:p w14:paraId="1EC61F9E"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lang w:val="en-GB" w:eastAsia="en-GB"/>
              </w:rPr>
            </w:pPr>
          </w:p>
        </w:tc>
        <w:tc>
          <w:tcPr>
            <w:tcW w:w="1134" w:type="dxa"/>
            <w:shd w:val="clear" w:color="auto" w:fill="C6EFCE"/>
            <w:noWrap/>
          </w:tcPr>
          <w:p w14:paraId="31B7B0EA"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lang w:val="en-GB" w:eastAsia="en-GB"/>
              </w:rPr>
            </w:pPr>
          </w:p>
        </w:tc>
        <w:tc>
          <w:tcPr>
            <w:tcW w:w="851" w:type="dxa"/>
            <w:shd w:val="clear" w:color="auto" w:fill="C6EFCE"/>
            <w:noWrap/>
          </w:tcPr>
          <w:p w14:paraId="6F0AC38B"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T3</w:t>
            </w:r>
          </w:p>
        </w:tc>
        <w:tc>
          <w:tcPr>
            <w:tcW w:w="709" w:type="dxa"/>
            <w:shd w:val="clear" w:color="auto" w:fill="C6EFCE"/>
            <w:noWrap/>
          </w:tcPr>
          <w:p w14:paraId="0AFC90BA"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2023</w:t>
            </w:r>
          </w:p>
        </w:tc>
        <w:tc>
          <w:tcPr>
            <w:tcW w:w="3772" w:type="dxa"/>
            <w:shd w:val="clear" w:color="auto" w:fill="C6EFCE"/>
            <w:noWrap/>
          </w:tcPr>
          <w:p w14:paraId="1648F256"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Създава се специализирана лаборатория, която е оборудвана за научни изследвания и обучение по високоефективни комбинирани технологии за преобразуване на геотермална енергия и геотермални енергийни системи.</w:t>
            </w:r>
          </w:p>
        </w:tc>
      </w:tr>
      <w:tr w:rsidR="008E16C0" w:rsidRPr="005241FC" w14:paraId="272AFED1" w14:textId="77777777" w:rsidTr="008E16C0">
        <w:trPr>
          <w:trHeight w:val="309"/>
        </w:trPr>
        <w:tc>
          <w:tcPr>
            <w:tcW w:w="681" w:type="dxa"/>
            <w:shd w:val="clear" w:color="auto" w:fill="C6EFCE"/>
            <w:noWrap/>
          </w:tcPr>
          <w:p w14:paraId="26BF0EFE" w14:textId="585DEAF6" w:rsidR="008B0F39" w:rsidRPr="00491076" w:rsidRDefault="00413EDE"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107</w:t>
            </w:r>
          </w:p>
        </w:tc>
        <w:tc>
          <w:tcPr>
            <w:tcW w:w="1837" w:type="dxa"/>
            <w:shd w:val="clear" w:color="auto" w:fill="C6EFCE"/>
            <w:noWrap/>
          </w:tcPr>
          <w:p w14:paraId="532BC256" w14:textId="77777777" w:rsidR="003B02A1" w:rsidRPr="00491076" w:rsidRDefault="008B0F39" w:rsidP="0073609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C4.I7: </w:t>
            </w:r>
          </w:p>
          <w:p w14:paraId="0AAEF434" w14:textId="5D9C606B" w:rsidR="008B0F39" w:rsidRPr="00491076" w:rsidRDefault="008B0F39" w:rsidP="0073609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Пилотен проект за комбинирано производство на топлинна и електрическа енергия от геотермални източници</w:t>
            </w:r>
          </w:p>
        </w:tc>
        <w:tc>
          <w:tcPr>
            <w:tcW w:w="1131" w:type="dxa"/>
            <w:shd w:val="clear" w:color="auto" w:fill="C6EFCE"/>
            <w:noWrap/>
          </w:tcPr>
          <w:p w14:paraId="74DB1EC4"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696" w:type="dxa"/>
            <w:shd w:val="clear" w:color="auto" w:fill="C6EFCE"/>
            <w:noWrap/>
          </w:tcPr>
          <w:p w14:paraId="15384808" w14:textId="260BD6F4"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Подписване на договор(и) за разработване на пилотен проект за комбинирано производство на топлинна и електрическа енергия от геотермални източници.</w:t>
            </w:r>
          </w:p>
        </w:tc>
        <w:tc>
          <w:tcPr>
            <w:tcW w:w="1414" w:type="dxa"/>
            <w:shd w:val="clear" w:color="auto" w:fill="C6EFCE"/>
            <w:noWrap/>
          </w:tcPr>
          <w:p w14:paraId="2B301414"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Подписан(и) договор(и) от Министерството на енергетиката със спечелилия(ите) оферент(и)</w:t>
            </w:r>
          </w:p>
        </w:tc>
        <w:tc>
          <w:tcPr>
            <w:tcW w:w="1151" w:type="dxa"/>
            <w:shd w:val="clear" w:color="auto" w:fill="C6EFCE"/>
            <w:noWrap/>
          </w:tcPr>
          <w:p w14:paraId="6E7F0D71" w14:textId="77777777" w:rsidR="008B0F39" w:rsidRPr="008A0F8A" w:rsidRDefault="008B0F39" w:rsidP="0066695B">
            <w:pPr>
              <w:spacing w:after="0" w:line="240" w:lineRule="auto"/>
              <w:rPr>
                <w:rFonts w:ascii="Times New Roman" w:eastAsia="Times New Roman" w:hAnsi="Times New Roman" w:cs="Times New Roman"/>
                <w:noProof/>
                <w:color w:val="006100"/>
                <w:sz w:val="20"/>
                <w:szCs w:val="20"/>
                <w:lang w:val="ru-RU" w:eastAsia="en-GB"/>
              </w:rPr>
            </w:pPr>
          </w:p>
        </w:tc>
        <w:tc>
          <w:tcPr>
            <w:tcW w:w="1275" w:type="dxa"/>
            <w:shd w:val="clear" w:color="auto" w:fill="C6EFCE"/>
            <w:noWrap/>
          </w:tcPr>
          <w:p w14:paraId="1B33A183" w14:textId="77777777" w:rsidR="008B0F39" w:rsidRPr="008A0F8A" w:rsidRDefault="008B0F39" w:rsidP="0066695B">
            <w:pPr>
              <w:spacing w:after="0" w:line="240" w:lineRule="auto"/>
              <w:rPr>
                <w:rFonts w:ascii="Times New Roman" w:eastAsia="Times New Roman" w:hAnsi="Times New Roman" w:cs="Times New Roman"/>
                <w:noProof/>
                <w:color w:val="006100"/>
                <w:sz w:val="20"/>
                <w:szCs w:val="20"/>
                <w:lang w:val="ru-RU" w:eastAsia="en-GB"/>
              </w:rPr>
            </w:pPr>
          </w:p>
        </w:tc>
        <w:tc>
          <w:tcPr>
            <w:tcW w:w="1134" w:type="dxa"/>
            <w:shd w:val="clear" w:color="auto" w:fill="C6EFCE"/>
            <w:noWrap/>
          </w:tcPr>
          <w:p w14:paraId="26C7E300" w14:textId="77777777" w:rsidR="008B0F39" w:rsidRPr="008A0F8A" w:rsidRDefault="008B0F39" w:rsidP="0066695B">
            <w:pPr>
              <w:spacing w:after="0" w:line="240" w:lineRule="auto"/>
              <w:rPr>
                <w:rFonts w:ascii="Times New Roman" w:eastAsia="Times New Roman" w:hAnsi="Times New Roman" w:cs="Times New Roman"/>
                <w:noProof/>
                <w:color w:val="006100"/>
                <w:sz w:val="20"/>
                <w:szCs w:val="20"/>
                <w:lang w:val="ru-RU" w:eastAsia="en-GB"/>
              </w:rPr>
            </w:pPr>
          </w:p>
        </w:tc>
        <w:tc>
          <w:tcPr>
            <w:tcW w:w="851" w:type="dxa"/>
            <w:shd w:val="clear" w:color="auto" w:fill="C6EFCE"/>
            <w:noWrap/>
          </w:tcPr>
          <w:p w14:paraId="5D5C4A9E"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T4</w:t>
            </w:r>
          </w:p>
        </w:tc>
        <w:tc>
          <w:tcPr>
            <w:tcW w:w="709" w:type="dxa"/>
            <w:shd w:val="clear" w:color="auto" w:fill="C6EFCE"/>
            <w:noWrap/>
          </w:tcPr>
          <w:p w14:paraId="38A78483"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2023</w:t>
            </w:r>
          </w:p>
        </w:tc>
        <w:tc>
          <w:tcPr>
            <w:tcW w:w="3772" w:type="dxa"/>
            <w:shd w:val="clear" w:color="auto" w:fill="C6EFCE"/>
            <w:noWrap/>
          </w:tcPr>
          <w:p w14:paraId="463EADF4" w14:textId="17824F15" w:rsidR="009879C3" w:rsidRPr="00491076" w:rsidRDefault="009879C3" w:rsidP="00DF56F8">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Подписване на договор(и) за производството на най-малко 10 MW електроенергия от геотермални източници след конкурентна тръжна процедура. </w:t>
            </w:r>
          </w:p>
          <w:p w14:paraId="5463F8D5" w14:textId="77777777" w:rsidR="009879C3" w:rsidRPr="00491076" w:rsidRDefault="009879C3" w:rsidP="00DF56F8">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Тази тръжна процедура трябва да бъде открита, недискриминационна и да предвижда участието на всички заинтересовани предприятия.</w:t>
            </w:r>
          </w:p>
          <w:p w14:paraId="6C388D7A" w14:textId="77777777" w:rsidR="009879C3" w:rsidRPr="008A0F8A" w:rsidRDefault="009879C3" w:rsidP="0066695B">
            <w:pPr>
              <w:spacing w:after="0" w:line="240" w:lineRule="auto"/>
              <w:rPr>
                <w:rFonts w:ascii="Times New Roman" w:hAnsi="Times New Roman" w:cs="Times New Roman"/>
                <w:noProof/>
                <w:color w:val="006100"/>
                <w:sz w:val="20"/>
                <w:szCs w:val="20"/>
                <w:lang w:val="ru-RU"/>
              </w:rPr>
            </w:pPr>
          </w:p>
          <w:p w14:paraId="6B99C6F8" w14:textId="32C5FFF1"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Договорите обхващат проучването, проектирането и изграждането на пилотна демонстрационна геотермална електроцентрала. </w:t>
            </w:r>
          </w:p>
          <w:p w14:paraId="0572FB9A"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Критериите за подбор осигуряват съответствие с техническите насоки за прилагането на принципа за „ненанасяне на значителни вреди“ (2021/C58/01).</w:t>
            </w:r>
          </w:p>
        </w:tc>
      </w:tr>
      <w:tr w:rsidR="008E16C0" w:rsidRPr="005241FC" w14:paraId="3B6556C0" w14:textId="77777777" w:rsidTr="008E16C0">
        <w:trPr>
          <w:trHeight w:val="309"/>
        </w:trPr>
        <w:tc>
          <w:tcPr>
            <w:tcW w:w="681" w:type="dxa"/>
            <w:shd w:val="clear" w:color="auto" w:fill="C6EFCE"/>
            <w:noWrap/>
          </w:tcPr>
          <w:p w14:paraId="377E506C" w14:textId="03C83CEF" w:rsidR="008B0F39" w:rsidRPr="00491076" w:rsidRDefault="00413EDE"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108</w:t>
            </w:r>
          </w:p>
        </w:tc>
        <w:tc>
          <w:tcPr>
            <w:tcW w:w="1837" w:type="dxa"/>
            <w:shd w:val="clear" w:color="auto" w:fill="C6EFCE"/>
            <w:noWrap/>
          </w:tcPr>
          <w:p w14:paraId="716899BD" w14:textId="77777777" w:rsidR="003B02A1" w:rsidRPr="00491076" w:rsidRDefault="008B0F39" w:rsidP="0073609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C4.I7: </w:t>
            </w:r>
          </w:p>
          <w:p w14:paraId="03E0176E" w14:textId="31DC745B" w:rsidR="008B0F39" w:rsidRPr="00491076" w:rsidRDefault="008B0F39" w:rsidP="0073609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Пилотен проект за комбинирано производство на топлинна и електрическа енергия от геотермални източници</w:t>
            </w:r>
          </w:p>
        </w:tc>
        <w:tc>
          <w:tcPr>
            <w:tcW w:w="1131" w:type="dxa"/>
            <w:shd w:val="clear" w:color="auto" w:fill="C6EFCE"/>
            <w:noWrap/>
          </w:tcPr>
          <w:p w14:paraId="46EF826B"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Цел</w:t>
            </w:r>
          </w:p>
        </w:tc>
        <w:tc>
          <w:tcPr>
            <w:tcW w:w="1696" w:type="dxa"/>
            <w:shd w:val="clear" w:color="auto" w:fill="C6EFCE"/>
            <w:noWrap/>
          </w:tcPr>
          <w:p w14:paraId="6D6B2A32"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В експлоатация е пилотна демонстрационна геотермална електроцентрала. </w:t>
            </w:r>
          </w:p>
        </w:tc>
        <w:tc>
          <w:tcPr>
            <w:tcW w:w="1414" w:type="dxa"/>
            <w:shd w:val="clear" w:color="auto" w:fill="C6EFCE"/>
            <w:noWrap/>
          </w:tcPr>
          <w:p w14:paraId="433EAC83" w14:textId="77777777" w:rsidR="008B0F39" w:rsidRPr="008A0F8A" w:rsidRDefault="008B0F39" w:rsidP="0066695B">
            <w:pPr>
              <w:spacing w:after="0" w:line="240" w:lineRule="auto"/>
              <w:rPr>
                <w:rFonts w:ascii="Times New Roman" w:eastAsia="Times New Roman" w:hAnsi="Times New Roman" w:cs="Times New Roman"/>
                <w:noProof/>
                <w:color w:val="006100"/>
                <w:sz w:val="20"/>
                <w:szCs w:val="20"/>
                <w:lang w:val="ru-RU" w:eastAsia="en-GB"/>
              </w:rPr>
            </w:pPr>
          </w:p>
        </w:tc>
        <w:tc>
          <w:tcPr>
            <w:tcW w:w="1151" w:type="dxa"/>
            <w:shd w:val="clear" w:color="auto" w:fill="C6EFCE"/>
            <w:noWrap/>
          </w:tcPr>
          <w:p w14:paraId="566CEA3E" w14:textId="7ABB608D"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Мегавати (MW) </w:t>
            </w:r>
          </w:p>
        </w:tc>
        <w:tc>
          <w:tcPr>
            <w:tcW w:w="1275" w:type="dxa"/>
            <w:shd w:val="clear" w:color="auto" w:fill="C6EFCE"/>
            <w:noWrap/>
          </w:tcPr>
          <w:p w14:paraId="2B631F65"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0</w:t>
            </w:r>
          </w:p>
        </w:tc>
        <w:tc>
          <w:tcPr>
            <w:tcW w:w="1134" w:type="dxa"/>
            <w:shd w:val="clear" w:color="auto" w:fill="C6EFCE"/>
            <w:noWrap/>
          </w:tcPr>
          <w:p w14:paraId="14B83B7D"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10</w:t>
            </w:r>
          </w:p>
        </w:tc>
        <w:tc>
          <w:tcPr>
            <w:tcW w:w="851" w:type="dxa"/>
            <w:shd w:val="clear" w:color="auto" w:fill="C6EFCE"/>
            <w:noWrap/>
          </w:tcPr>
          <w:p w14:paraId="7ACEDD0F"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T2</w:t>
            </w:r>
          </w:p>
        </w:tc>
        <w:tc>
          <w:tcPr>
            <w:tcW w:w="709" w:type="dxa"/>
            <w:shd w:val="clear" w:color="auto" w:fill="C6EFCE"/>
            <w:noWrap/>
          </w:tcPr>
          <w:p w14:paraId="6D03808F"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2026</w:t>
            </w:r>
          </w:p>
        </w:tc>
        <w:tc>
          <w:tcPr>
            <w:tcW w:w="3772" w:type="dxa"/>
            <w:shd w:val="clear" w:color="auto" w:fill="C6EFCE"/>
            <w:noWrap/>
          </w:tcPr>
          <w:p w14:paraId="3A67CE62" w14:textId="07480BE3"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Пускане в експлоатация на пилотната геотермална електроцентрала за производство на 10 MW електроенергия и 30 MW топлинна енергия от геотермална енергия в съответствие с техническите насоки за прилагането на принципа за „ненанасяне на значителни вреди“ (2021/C58/01).</w:t>
            </w:r>
          </w:p>
        </w:tc>
      </w:tr>
      <w:tr w:rsidR="008E16C0" w:rsidRPr="005241FC" w14:paraId="17A84CA9" w14:textId="77777777" w:rsidTr="008E16C0">
        <w:trPr>
          <w:trHeight w:val="309"/>
        </w:trPr>
        <w:tc>
          <w:tcPr>
            <w:tcW w:w="681" w:type="dxa"/>
            <w:shd w:val="clear" w:color="auto" w:fill="C6EFCE"/>
            <w:noWrap/>
          </w:tcPr>
          <w:p w14:paraId="39BDD2BA" w14:textId="28BB2340" w:rsidR="008B0F39" w:rsidRPr="00491076" w:rsidRDefault="00413EDE"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109</w:t>
            </w:r>
          </w:p>
        </w:tc>
        <w:tc>
          <w:tcPr>
            <w:tcW w:w="1837" w:type="dxa"/>
            <w:shd w:val="clear" w:color="auto" w:fill="C6EFCE"/>
            <w:noWrap/>
          </w:tcPr>
          <w:p w14:paraId="2CAC76D7" w14:textId="77777777" w:rsidR="003B02A1" w:rsidRPr="00491076" w:rsidRDefault="008B0F39" w:rsidP="0073609B">
            <w:pPr>
              <w:spacing w:after="0" w:line="240" w:lineRule="auto"/>
              <w:rPr>
                <w:rFonts w:ascii="Times New Roman" w:eastAsia="Calibri" w:hAnsi="Times New Roman" w:cs="Times New Roman"/>
                <w:noProof/>
                <w:color w:val="006100"/>
                <w:sz w:val="20"/>
                <w:szCs w:val="20"/>
              </w:rPr>
            </w:pPr>
            <w:r>
              <w:rPr>
                <w:rFonts w:ascii="Times New Roman" w:hAnsi="Times New Roman"/>
                <w:noProof/>
                <w:color w:val="006100"/>
                <w:sz w:val="20"/>
              </w:rPr>
              <w:t xml:space="preserve">C4.I5: </w:t>
            </w:r>
          </w:p>
          <w:p w14:paraId="4249EE48" w14:textId="3FAF368B" w:rsidR="008B0F39" w:rsidRPr="00491076" w:rsidRDefault="47BDAFE8" w:rsidP="0073609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Пилотни проекти за производството на зелен водород</w:t>
            </w:r>
          </w:p>
        </w:tc>
        <w:tc>
          <w:tcPr>
            <w:tcW w:w="1131" w:type="dxa"/>
            <w:shd w:val="clear" w:color="auto" w:fill="C6EFCE"/>
            <w:noWrap/>
          </w:tcPr>
          <w:p w14:paraId="2947094A"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696" w:type="dxa"/>
            <w:shd w:val="clear" w:color="auto" w:fill="C6EFCE"/>
            <w:noWrap/>
          </w:tcPr>
          <w:p w14:paraId="253C1A26" w14:textId="26C67BDE" w:rsidR="008B0F39" w:rsidRPr="00491076" w:rsidRDefault="47BDAFE8"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Стартиране на тръжна процедура за предложения за проекти за производството на зелен водород</w:t>
            </w:r>
          </w:p>
        </w:tc>
        <w:tc>
          <w:tcPr>
            <w:tcW w:w="1414" w:type="dxa"/>
            <w:shd w:val="clear" w:color="auto" w:fill="C6EFCE"/>
            <w:noWrap/>
          </w:tcPr>
          <w:p w14:paraId="0DC3FB79" w14:textId="70567DA5"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Публикуване на тръжната процедура (включително насоки и критерии за подбор) за предложения за проекти </w:t>
            </w:r>
          </w:p>
        </w:tc>
        <w:tc>
          <w:tcPr>
            <w:tcW w:w="1151" w:type="dxa"/>
            <w:shd w:val="clear" w:color="auto" w:fill="C6EFCE"/>
            <w:noWrap/>
          </w:tcPr>
          <w:p w14:paraId="3293185D"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1275" w:type="dxa"/>
            <w:shd w:val="clear" w:color="auto" w:fill="C6EFCE"/>
            <w:noWrap/>
          </w:tcPr>
          <w:p w14:paraId="501A8598"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1134" w:type="dxa"/>
            <w:shd w:val="clear" w:color="auto" w:fill="C6EFCE"/>
            <w:noWrap/>
          </w:tcPr>
          <w:p w14:paraId="248401F2"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851" w:type="dxa"/>
            <w:shd w:val="clear" w:color="auto" w:fill="C6EFCE"/>
            <w:noWrap/>
          </w:tcPr>
          <w:p w14:paraId="774B5FB3" w14:textId="0443B46C" w:rsidR="008B0F39" w:rsidRPr="00491076" w:rsidRDefault="72694C01"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T4</w:t>
            </w:r>
          </w:p>
        </w:tc>
        <w:tc>
          <w:tcPr>
            <w:tcW w:w="709" w:type="dxa"/>
            <w:shd w:val="clear" w:color="auto" w:fill="C6EFCE"/>
            <w:noWrap/>
          </w:tcPr>
          <w:p w14:paraId="21A35E79" w14:textId="295FC6F0" w:rsidR="008B0F39" w:rsidRPr="00491076" w:rsidRDefault="7F97D216" w:rsidP="0066695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2023</w:t>
            </w:r>
          </w:p>
        </w:tc>
        <w:tc>
          <w:tcPr>
            <w:tcW w:w="3772" w:type="dxa"/>
            <w:shd w:val="clear" w:color="auto" w:fill="C6EFCE"/>
            <w:noWrap/>
          </w:tcPr>
          <w:p w14:paraId="136C18F5" w14:textId="21F272C6" w:rsidR="008B0F39" w:rsidRPr="00491076" w:rsidRDefault="47BDAFE8" w:rsidP="0066695B">
            <w:pPr>
              <w:spacing w:after="0" w:line="252" w:lineRule="auto"/>
              <w:textAlignment w:val="baseline"/>
              <w:rPr>
                <w:rFonts w:ascii="Times New Roman" w:eastAsia="Calibri" w:hAnsi="Times New Roman" w:cs="Times New Roman"/>
                <w:noProof/>
                <w:color w:val="006100"/>
                <w:sz w:val="20"/>
                <w:szCs w:val="20"/>
              </w:rPr>
            </w:pPr>
            <w:r>
              <w:rPr>
                <w:rFonts w:ascii="Times New Roman" w:hAnsi="Times New Roman"/>
                <w:noProof/>
                <w:color w:val="006100"/>
                <w:sz w:val="20"/>
              </w:rPr>
              <w:t xml:space="preserve">Стартира се тръжната процедура за производството на зелен водород, която обхваща най-малко 55 MW нов капацитет за производството на зелен водород в електролизьори. </w:t>
            </w:r>
          </w:p>
          <w:p w14:paraId="3506300B" w14:textId="77777777" w:rsidR="008B0F39" w:rsidRPr="008A0F8A" w:rsidRDefault="008B0F39" w:rsidP="0066695B">
            <w:pPr>
              <w:spacing w:after="0" w:line="252" w:lineRule="auto"/>
              <w:textAlignment w:val="baseline"/>
              <w:rPr>
                <w:rFonts w:ascii="Times New Roman" w:eastAsia="Calibri" w:hAnsi="Times New Roman" w:cs="Times New Roman"/>
                <w:noProof/>
                <w:color w:val="006100"/>
                <w:sz w:val="20"/>
                <w:szCs w:val="20"/>
                <w:lang w:val="ru-RU"/>
              </w:rPr>
            </w:pPr>
          </w:p>
          <w:p w14:paraId="496DE2F2" w14:textId="5B424E89"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Критериите за подбор на тръжната процедура осигуряват съответствие с техническите насоки за прилагането на принципа за „ненанасяне на значителни вреди“ (2021/C58/01).</w:t>
            </w:r>
          </w:p>
        </w:tc>
      </w:tr>
      <w:tr w:rsidR="008E16C0" w:rsidRPr="005241FC" w14:paraId="55694BEB" w14:textId="77777777" w:rsidTr="008E16C0">
        <w:trPr>
          <w:trHeight w:val="309"/>
        </w:trPr>
        <w:tc>
          <w:tcPr>
            <w:tcW w:w="681" w:type="dxa"/>
            <w:shd w:val="clear" w:color="auto" w:fill="C6EFCE"/>
            <w:noWrap/>
          </w:tcPr>
          <w:p w14:paraId="2E91B4B4" w14:textId="04F91793" w:rsidR="008B0F39" w:rsidRPr="00491076" w:rsidRDefault="2B3F0BA3"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110</w:t>
            </w:r>
          </w:p>
        </w:tc>
        <w:tc>
          <w:tcPr>
            <w:tcW w:w="1837" w:type="dxa"/>
            <w:shd w:val="clear" w:color="auto" w:fill="C6EFCE"/>
            <w:noWrap/>
          </w:tcPr>
          <w:p w14:paraId="5F07AF76" w14:textId="77777777" w:rsidR="003B02A1" w:rsidRPr="00491076" w:rsidRDefault="008B0F39" w:rsidP="0073609B">
            <w:pPr>
              <w:spacing w:after="0" w:line="240" w:lineRule="auto"/>
              <w:rPr>
                <w:rFonts w:ascii="Times New Roman" w:eastAsia="Calibri" w:hAnsi="Times New Roman" w:cs="Times New Roman"/>
                <w:noProof/>
                <w:color w:val="006100"/>
                <w:sz w:val="20"/>
                <w:szCs w:val="20"/>
              </w:rPr>
            </w:pPr>
            <w:r>
              <w:rPr>
                <w:rFonts w:ascii="Times New Roman" w:hAnsi="Times New Roman"/>
                <w:noProof/>
                <w:color w:val="006100"/>
                <w:sz w:val="20"/>
              </w:rPr>
              <w:t xml:space="preserve">C4.I5: </w:t>
            </w:r>
          </w:p>
          <w:p w14:paraId="26CE37E8" w14:textId="5F60BA4E" w:rsidR="008B0F39" w:rsidRPr="00491076" w:rsidRDefault="47BDAFE8" w:rsidP="0073609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Пилотни проекти за производството на зелен водород</w:t>
            </w:r>
          </w:p>
        </w:tc>
        <w:tc>
          <w:tcPr>
            <w:tcW w:w="1131" w:type="dxa"/>
            <w:shd w:val="clear" w:color="auto" w:fill="C6EFCE"/>
            <w:noWrap/>
          </w:tcPr>
          <w:p w14:paraId="504382F1"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696" w:type="dxa"/>
            <w:shd w:val="clear" w:color="auto" w:fill="C6EFCE"/>
            <w:noWrap/>
          </w:tcPr>
          <w:p w14:paraId="49033237" w14:textId="6487B26D" w:rsidR="008B0F39" w:rsidRPr="00491076" w:rsidRDefault="47BDAFE8"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Подписване на договор(и) за изграждане на електролизьори</w:t>
            </w:r>
          </w:p>
        </w:tc>
        <w:tc>
          <w:tcPr>
            <w:tcW w:w="1414" w:type="dxa"/>
            <w:shd w:val="clear" w:color="auto" w:fill="C6EFCE"/>
            <w:noWrap/>
          </w:tcPr>
          <w:p w14:paraId="1AAA3994"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Подписан(и) договор(и) от Министерството на енергетиката със спечелилия(ите) оферент(и)</w:t>
            </w:r>
          </w:p>
        </w:tc>
        <w:tc>
          <w:tcPr>
            <w:tcW w:w="1151" w:type="dxa"/>
            <w:shd w:val="clear" w:color="auto" w:fill="C6EFCE"/>
            <w:noWrap/>
          </w:tcPr>
          <w:p w14:paraId="0F6FB531" w14:textId="77777777" w:rsidR="008B0F39" w:rsidRPr="008A0F8A" w:rsidRDefault="008B0F39" w:rsidP="0066695B">
            <w:pPr>
              <w:spacing w:after="0" w:line="240" w:lineRule="auto"/>
              <w:rPr>
                <w:rFonts w:ascii="Times New Roman" w:eastAsia="Times New Roman" w:hAnsi="Times New Roman" w:cs="Times New Roman"/>
                <w:noProof/>
                <w:color w:val="006100"/>
                <w:sz w:val="20"/>
                <w:szCs w:val="20"/>
                <w:lang w:val="ru-RU" w:eastAsia="en-GB"/>
              </w:rPr>
            </w:pPr>
          </w:p>
        </w:tc>
        <w:tc>
          <w:tcPr>
            <w:tcW w:w="1275" w:type="dxa"/>
            <w:shd w:val="clear" w:color="auto" w:fill="C6EFCE"/>
            <w:noWrap/>
          </w:tcPr>
          <w:p w14:paraId="4B86C4C9" w14:textId="77777777" w:rsidR="008B0F39" w:rsidRPr="008A0F8A" w:rsidRDefault="008B0F39" w:rsidP="0066695B">
            <w:pPr>
              <w:spacing w:after="0" w:line="240" w:lineRule="auto"/>
              <w:rPr>
                <w:rFonts w:ascii="Times New Roman" w:eastAsia="Times New Roman" w:hAnsi="Times New Roman" w:cs="Times New Roman"/>
                <w:noProof/>
                <w:color w:val="006100"/>
                <w:sz w:val="20"/>
                <w:szCs w:val="20"/>
                <w:lang w:val="ru-RU" w:eastAsia="en-GB"/>
              </w:rPr>
            </w:pPr>
          </w:p>
        </w:tc>
        <w:tc>
          <w:tcPr>
            <w:tcW w:w="1134" w:type="dxa"/>
            <w:shd w:val="clear" w:color="auto" w:fill="C6EFCE"/>
            <w:noWrap/>
          </w:tcPr>
          <w:p w14:paraId="0C381E67" w14:textId="77777777" w:rsidR="008B0F39" w:rsidRPr="008A0F8A" w:rsidRDefault="008B0F39" w:rsidP="0066695B">
            <w:pPr>
              <w:spacing w:after="0" w:line="240" w:lineRule="auto"/>
              <w:rPr>
                <w:rFonts w:ascii="Times New Roman" w:eastAsia="Times New Roman" w:hAnsi="Times New Roman" w:cs="Times New Roman"/>
                <w:noProof/>
                <w:color w:val="006100"/>
                <w:sz w:val="20"/>
                <w:szCs w:val="20"/>
                <w:lang w:val="ru-RU" w:eastAsia="en-GB"/>
              </w:rPr>
            </w:pPr>
          </w:p>
        </w:tc>
        <w:tc>
          <w:tcPr>
            <w:tcW w:w="851" w:type="dxa"/>
            <w:shd w:val="clear" w:color="auto" w:fill="C6EFCE"/>
            <w:noWrap/>
          </w:tcPr>
          <w:p w14:paraId="5FF2FE8D" w14:textId="6A726582"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T2</w:t>
            </w:r>
          </w:p>
        </w:tc>
        <w:tc>
          <w:tcPr>
            <w:tcW w:w="709" w:type="dxa"/>
            <w:shd w:val="clear" w:color="auto" w:fill="C6EFCE"/>
            <w:noWrap/>
          </w:tcPr>
          <w:p w14:paraId="081C5CB7" w14:textId="0E7F06A4" w:rsidR="008B0F39" w:rsidRPr="00491076" w:rsidRDefault="3B30133D"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2024</w:t>
            </w:r>
          </w:p>
        </w:tc>
        <w:tc>
          <w:tcPr>
            <w:tcW w:w="3772" w:type="dxa"/>
            <w:shd w:val="clear" w:color="auto" w:fill="C6EFCE"/>
            <w:noWrap/>
          </w:tcPr>
          <w:p w14:paraId="5E7B1417" w14:textId="14FDB9F8" w:rsidR="008B0F39" w:rsidRPr="00491076" w:rsidRDefault="47BDAFE8" w:rsidP="00FD493D">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Договорът(ите) за изграждане се подписва(т) от Министерството на енергетиката със спечелилия(ите) оферент(и) и обхваща(т) нови електролизьори с мощност най-малко 55 MW, с очакван генериран обем от най-малко 7800 тона/година зелен водород, произведен от електроенергия от възобновяеми енергийни източници;</w:t>
            </w:r>
          </w:p>
          <w:p w14:paraId="32BE9BBC" w14:textId="6BA35F6F" w:rsidR="008B0F39" w:rsidRPr="008A0F8A" w:rsidRDefault="008B0F39" w:rsidP="00FD493D">
            <w:pPr>
              <w:spacing w:after="0"/>
              <w:rPr>
                <w:rFonts w:ascii="Times New Roman" w:eastAsia="Times New Roman" w:hAnsi="Times New Roman" w:cs="Times New Roman"/>
                <w:noProof/>
                <w:color w:val="006100"/>
                <w:sz w:val="20"/>
                <w:szCs w:val="20"/>
                <w:lang w:val="ru-RU" w:eastAsia="en-GB"/>
              </w:rPr>
            </w:pPr>
          </w:p>
        </w:tc>
      </w:tr>
      <w:tr w:rsidR="008E16C0" w:rsidRPr="005241FC" w14:paraId="797287E0" w14:textId="77777777" w:rsidTr="008E16C0">
        <w:trPr>
          <w:trHeight w:val="309"/>
        </w:trPr>
        <w:tc>
          <w:tcPr>
            <w:tcW w:w="681" w:type="dxa"/>
            <w:shd w:val="clear" w:color="auto" w:fill="C6EFCE"/>
            <w:noWrap/>
          </w:tcPr>
          <w:p w14:paraId="4392614B" w14:textId="45BCABAA" w:rsidR="008B0F39" w:rsidRPr="00491076" w:rsidRDefault="00413EDE"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111</w:t>
            </w:r>
          </w:p>
        </w:tc>
        <w:tc>
          <w:tcPr>
            <w:tcW w:w="1837" w:type="dxa"/>
            <w:shd w:val="clear" w:color="auto" w:fill="C6EFCE"/>
            <w:noWrap/>
          </w:tcPr>
          <w:p w14:paraId="7805B13F" w14:textId="77777777" w:rsidR="003B02A1" w:rsidRPr="00491076" w:rsidRDefault="008B0F39" w:rsidP="0073609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C4.I5: </w:t>
            </w:r>
          </w:p>
          <w:p w14:paraId="61AB5BCD" w14:textId="68F86C9B" w:rsidR="008B0F39" w:rsidRPr="00491076" w:rsidRDefault="47BDAFE8" w:rsidP="0073609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Пилотни проекти за производството на зелен водород</w:t>
            </w:r>
          </w:p>
        </w:tc>
        <w:tc>
          <w:tcPr>
            <w:tcW w:w="1131" w:type="dxa"/>
            <w:shd w:val="clear" w:color="auto" w:fill="C6EFCE"/>
            <w:noWrap/>
          </w:tcPr>
          <w:p w14:paraId="05EDB459"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Цел</w:t>
            </w:r>
          </w:p>
        </w:tc>
        <w:tc>
          <w:tcPr>
            <w:tcW w:w="1696" w:type="dxa"/>
            <w:shd w:val="clear" w:color="auto" w:fill="C6EFCE"/>
            <w:noWrap/>
          </w:tcPr>
          <w:p w14:paraId="0B2C6AE4"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Производство на зелен водород </w:t>
            </w:r>
          </w:p>
        </w:tc>
        <w:tc>
          <w:tcPr>
            <w:tcW w:w="1414" w:type="dxa"/>
            <w:shd w:val="clear" w:color="auto" w:fill="C6EFCE"/>
            <w:noWrap/>
          </w:tcPr>
          <w:p w14:paraId="420D54EA"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lang w:val="en-GB" w:eastAsia="en-GB"/>
              </w:rPr>
            </w:pPr>
          </w:p>
        </w:tc>
        <w:tc>
          <w:tcPr>
            <w:tcW w:w="1151" w:type="dxa"/>
            <w:shd w:val="clear" w:color="auto" w:fill="C6EFCE"/>
            <w:noWrap/>
          </w:tcPr>
          <w:p w14:paraId="147F75AB" w14:textId="017406AD"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Мегавати (MW) </w:t>
            </w:r>
          </w:p>
        </w:tc>
        <w:tc>
          <w:tcPr>
            <w:tcW w:w="1275" w:type="dxa"/>
            <w:shd w:val="clear" w:color="auto" w:fill="C6EFCE"/>
            <w:noWrap/>
          </w:tcPr>
          <w:p w14:paraId="78D1E0BB"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0</w:t>
            </w:r>
          </w:p>
        </w:tc>
        <w:tc>
          <w:tcPr>
            <w:tcW w:w="1134" w:type="dxa"/>
            <w:shd w:val="clear" w:color="auto" w:fill="C6EFCE"/>
            <w:noWrap/>
          </w:tcPr>
          <w:p w14:paraId="26A76E4E"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55</w:t>
            </w:r>
          </w:p>
        </w:tc>
        <w:tc>
          <w:tcPr>
            <w:tcW w:w="851" w:type="dxa"/>
            <w:shd w:val="clear" w:color="auto" w:fill="C6EFCE"/>
            <w:noWrap/>
          </w:tcPr>
          <w:p w14:paraId="003F704B"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T4</w:t>
            </w:r>
          </w:p>
        </w:tc>
        <w:tc>
          <w:tcPr>
            <w:tcW w:w="709" w:type="dxa"/>
            <w:shd w:val="clear" w:color="auto" w:fill="C6EFCE"/>
            <w:noWrap/>
          </w:tcPr>
          <w:p w14:paraId="1CC3AB70"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2025</w:t>
            </w:r>
          </w:p>
        </w:tc>
        <w:tc>
          <w:tcPr>
            <w:tcW w:w="3772" w:type="dxa"/>
            <w:shd w:val="clear" w:color="auto" w:fill="C6EFCE"/>
            <w:noWrap/>
          </w:tcPr>
          <w:p w14:paraId="1994B864"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Въвеждане в експлоатация на електролизьори с мощност 55 MW, способни да произвеждат най-малко 7800 тона зелен водород годишно от възобновяеми енергийни източници.</w:t>
            </w:r>
          </w:p>
        </w:tc>
      </w:tr>
      <w:tr w:rsidR="008E16C0" w:rsidRPr="005241FC" w14:paraId="539C0BAD" w14:textId="77777777" w:rsidTr="008E16C0">
        <w:trPr>
          <w:trHeight w:val="309"/>
        </w:trPr>
        <w:tc>
          <w:tcPr>
            <w:tcW w:w="681" w:type="dxa"/>
            <w:shd w:val="clear" w:color="auto" w:fill="C6EFCE"/>
            <w:noWrap/>
          </w:tcPr>
          <w:p w14:paraId="6877A2B2" w14:textId="5B73FF5B" w:rsidR="008B0F39" w:rsidRPr="00491076" w:rsidRDefault="00413EDE"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113</w:t>
            </w:r>
          </w:p>
        </w:tc>
        <w:tc>
          <w:tcPr>
            <w:tcW w:w="1837" w:type="dxa"/>
            <w:shd w:val="clear" w:color="auto" w:fill="C6EFCE"/>
            <w:noWrap/>
          </w:tcPr>
          <w:p w14:paraId="7F581CE1" w14:textId="67F8D375" w:rsidR="003B02A1" w:rsidRPr="00491076" w:rsidRDefault="008B0F39" w:rsidP="0073609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C4.R9: </w:t>
            </w:r>
          </w:p>
          <w:p w14:paraId="50A9836B" w14:textId="12C08918" w:rsidR="008B0F39" w:rsidRPr="00491076" w:rsidRDefault="008B0F39" w:rsidP="0073609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Пътна карта за неутралност по отношение на климата</w:t>
            </w:r>
          </w:p>
        </w:tc>
        <w:tc>
          <w:tcPr>
            <w:tcW w:w="1131" w:type="dxa"/>
            <w:shd w:val="clear" w:color="auto" w:fill="C6EFCE"/>
            <w:noWrap/>
          </w:tcPr>
          <w:p w14:paraId="12238A46"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696" w:type="dxa"/>
            <w:shd w:val="clear" w:color="auto" w:fill="C6EFCE"/>
            <w:noWrap/>
          </w:tcPr>
          <w:p w14:paraId="787C5034" w14:textId="01F1B36E"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Влизане в сила на решение на правителството за създаване на Комисия за преход към зелена енергия</w:t>
            </w:r>
          </w:p>
        </w:tc>
        <w:tc>
          <w:tcPr>
            <w:tcW w:w="1414" w:type="dxa"/>
            <w:shd w:val="clear" w:color="auto" w:fill="C6EFCE"/>
            <w:noWrap/>
          </w:tcPr>
          <w:p w14:paraId="541DE49C" w14:textId="307D396F"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Разпоредба в решението на правителството, указваща влизането в сила на решението на правителството и създаването на Комисия за преход към зелена енергия</w:t>
            </w:r>
          </w:p>
        </w:tc>
        <w:tc>
          <w:tcPr>
            <w:tcW w:w="1151" w:type="dxa"/>
            <w:shd w:val="clear" w:color="auto" w:fill="C6EFCE"/>
            <w:noWrap/>
          </w:tcPr>
          <w:p w14:paraId="19D8091E"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1275" w:type="dxa"/>
            <w:shd w:val="clear" w:color="auto" w:fill="C6EFCE"/>
            <w:noWrap/>
          </w:tcPr>
          <w:p w14:paraId="0FE29294"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1134" w:type="dxa"/>
            <w:shd w:val="clear" w:color="auto" w:fill="C6EFCE"/>
            <w:noWrap/>
          </w:tcPr>
          <w:p w14:paraId="021DE09B"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851" w:type="dxa"/>
            <w:shd w:val="clear" w:color="auto" w:fill="C6EFCE"/>
            <w:noWrap/>
          </w:tcPr>
          <w:p w14:paraId="4F3E4D8F" w14:textId="7539802B"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T2</w:t>
            </w:r>
          </w:p>
        </w:tc>
        <w:tc>
          <w:tcPr>
            <w:tcW w:w="709" w:type="dxa"/>
            <w:shd w:val="clear" w:color="auto" w:fill="C6EFCE"/>
            <w:noWrap/>
          </w:tcPr>
          <w:p w14:paraId="24324A15"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2022</w:t>
            </w:r>
          </w:p>
        </w:tc>
        <w:tc>
          <w:tcPr>
            <w:tcW w:w="3772" w:type="dxa"/>
            <w:shd w:val="clear" w:color="auto" w:fill="C6EFCE"/>
            <w:noWrap/>
          </w:tcPr>
          <w:p w14:paraId="3850DE06" w14:textId="77777777" w:rsidR="008B0F39" w:rsidRPr="00491076" w:rsidRDefault="008B0F39" w:rsidP="0066695B">
            <w:pPr>
              <w:pStyle w:val="NormalWeb"/>
              <w:rPr>
                <w:noProof/>
                <w:color w:val="006100"/>
                <w:sz w:val="20"/>
                <w:szCs w:val="20"/>
              </w:rPr>
            </w:pPr>
            <w:r>
              <w:rPr>
                <w:noProof/>
                <w:color w:val="006100"/>
                <w:sz w:val="20"/>
              </w:rPr>
              <w:t xml:space="preserve">Комисията ще се създаде с решение на правителството и ще ѝ се даде мандат за изготвяне на сценарии и препоръки за пътна карта за неутралност по отношение на климата. </w:t>
            </w:r>
          </w:p>
          <w:p w14:paraId="11625038" w14:textId="3D2A2BBE" w:rsidR="008B0F39" w:rsidRPr="00491076" w:rsidRDefault="008B0F39" w:rsidP="0066695B">
            <w:pPr>
              <w:pStyle w:val="NormalWeb"/>
              <w:rPr>
                <w:noProof/>
                <w:color w:val="006100"/>
                <w:sz w:val="20"/>
                <w:szCs w:val="20"/>
              </w:rPr>
            </w:pPr>
            <w:r>
              <w:rPr>
                <w:noProof/>
                <w:color w:val="006100"/>
                <w:sz w:val="20"/>
              </w:rPr>
              <w:t>Комисията ще се създаде на експертно равнище с широко участие на заинтересованите страни, за да се гарантира експертен опит, независимост и плурализъм.</w:t>
            </w:r>
          </w:p>
          <w:p w14:paraId="03AC2520" w14:textId="77777777"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 xml:space="preserve">Докладът за сценариите и препоръките ще се адресират до правителството и ще се оповестяват публично. </w:t>
            </w:r>
          </w:p>
          <w:p w14:paraId="7E18F99D" w14:textId="77777777" w:rsidR="008B0F39" w:rsidRPr="008A0F8A" w:rsidRDefault="008B0F39" w:rsidP="0066695B">
            <w:pPr>
              <w:spacing w:after="0"/>
              <w:rPr>
                <w:rFonts w:ascii="Times New Roman" w:hAnsi="Times New Roman" w:cs="Times New Roman"/>
                <w:noProof/>
                <w:color w:val="006100"/>
                <w:sz w:val="20"/>
                <w:szCs w:val="20"/>
                <w:lang w:val="ru-RU" w:eastAsia="en-GB"/>
              </w:rPr>
            </w:pPr>
          </w:p>
          <w:p w14:paraId="1F2CF6B2" w14:textId="77777777"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Разработените сценарии и препоръки ще включват стъпки за завършване на постепенното преустановяване използването на каменни въглища възможно най-скоро и най-късно до 2038 г.</w:t>
            </w:r>
          </w:p>
          <w:p w14:paraId="1B00CB7B" w14:textId="77777777" w:rsidR="008B0F39" w:rsidRPr="008A0F8A" w:rsidRDefault="008B0F39" w:rsidP="0066695B">
            <w:pPr>
              <w:spacing w:after="0"/>
              <w:rPr>
                <w:rFonts w:ascii="Times New Roman" w:hAnsi="Times New Roman" w:cs="Times New Roman"/>
                <w:noProof/>
                <w:color w:val="006100"/>
                <w:sz w:val="20"/>
                <w:szCs w:val="20"/>
                <w:lang w:val="ru-RU" w:eastAsia="en-GB"/>
              </w:rPr>
            </w:pPr>
          </w:p>
          <w:p w14:paraId="5183B0E7" w14:textId="15DCE43A" w:rsidR="00B146DE" w:rsidRPr="00491076" w:rsidRDefault="00B146DE"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Очаква се разработването на сценариите и доклада да допринесе за навременното финализиране на териториалните планове за справедлив преход за въгледобивните региони.</w:t>
            </w:r>
          </w:p>
          <w:p w14:paraId="4C1A1151" w14:textId="77777777" w:rsidR="00B146DE" w:rsidRPr="008A0F8A" w:rsidRDefault="00B146DE" w:rsidP="0066695B">
            <w:pPr>
              <w:spacing w:after="0"/>
              <w:rPr>
                <w:rFonts w:ascii="Times New Roman" w:hAnsi="Times New Roman" w:cs="Times New Roman"/>
                <w:noProof/>
                <w:color w:val="006100"/>
                <w:sz w:val="20"/>
                <w:szCs w:val="20"/>
                <w:lang w:val="ru-RU" w:eastAsia="en-GB"/>
              </w:rPr>
            </w:pPr>
          </w:p>
          <w:p w14:paraId="088AE5BC"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Комисията ще оценява различните сценарии за постепенното преустановяване на използването на каменни въглища, включително за ускорено постепенно извеждане от употреба до 2030 г., в съответствие със сравними съседни държави членки. </w:t>
            </w:r>
          </w:p>
        </w:tc>
      </w:tr>
      <w:tr w:rsidR="008E16C0" w:rsidRPr="005241FC" w14:paraId="5598BCAE" w14:textId="77777777" w:rsidTr="008E16C0">
        <w:trPr>
          <w:trHeight w:val="309"/>
        </w:trPr>
        <w:tc>
          <w:tcPr>
            <w:tcW w:w="681" w:type="dxa"/>
            <w:shd w:val="clear" w:color="auto" w:fill="C6EFCE"/>
            <w:noWrap/>
          </w:tcPr>
          <w:p w14:paraId="2478D666" w14:textId="0CFFB0BE" w:rsidR="008B0F39" w:rsidRPr="00491076" w:rsidRDefault="00042E61"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114</w:t>
            </w:r>
          </w:p>
        </w:tc>
        <w:tc>
          <w:tcPr>
            <w:tcW w:w="1837" w:type="dxa"/>
            <w:shd w:val="clear" w:color="auto" w:fill="C6EFCE"/>
            <w:noWrap/>
          </w:tcPr>
          <w:p w14:paraId="2D80B971" w14:textId="562C547E" w:rsidR="003B02A1" w:rsidRPr="00491076" w:rsidRDefault="008B0F39" w:rsidP="0073609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C4.R9: </w:t>
            </w:r>
          </w:p>
          <w:p w14:paraId="4AC5C5C5" w14:textId="68B61CEE" w:rsidR="008B0F39" w:rsidRPr="00491076" w:rsidRDefault="008B0F39" w:rsidP="0073609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Пътна карта за неутралност по отношение на климата</w:t>
            </w:r>
          </w:p>
        </w:tc>
        <w:tc>
          <w:tcPr>
            <w:tcW w:w="1131" w:type="dxa"/>
            <w:shd w:val="clear" w:color="auto" w:fill="C6EFCE"/>
            <w:noWrap/>
          </w:tcPr>
          <w:p w14:paraId="2040F1AE" w14:textId="77777777" w:rsidR="008B0F39" w:rsidRPr="00491076" w:rsidRDefault="008B0F39" w:rsidP="0066695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Ключов етап</w:t>
            </w:r>
          </w:p>
        </w:tc>
        <w:tc>
          <w:tcPr>
            <w:tcW w:w="1696" w:type="dxa"/>
            <w:shd w:val="clear" w:color="auto" w:fill="C6EFCE"/>
            <w:noWrap/>
          </w:tcPr>
          <w:p w14:paraId="76847540" w14:textId="77777777" w:rsidR="008B0F39" w:rsidRPr="00491076" w:rsidRDefault="008B0F39" w:rsidP="0066695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Представяне на доклад за сценариите и препоръки и одобрение от Народното събрание на пътна карта за неутралност по отношение на климата.</w:t>
            </w:r>
          </w:p>
        </w:tc>
        <w:tc>
          <w:tcPr>
            <w:tcW w:w="1414" w:type="dxa"/>
            <w:shd w:val="clear" w:color="auto" w:fill="C6EFCE"/>
            <w:noWrap/>
          </w:tcPr>
          <w:p w14:paraId="52931EAC"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Резолюция, приета от Народното събрание</w:t>
            </w:r>
          </w:p>
        </w:tc>
        <w:tc>
          <w:tcPr>
            <w:tcW w:w="1151" w:type="dxa"/>
            <w:tcBorders>
              <w:bottom w:val="single" w:sz="4" w:space="0" w:color="auto"/>
            </w:tcBorders>
            <w:shd w:val="clear" w:color="auto" w:fill="C6EFCE"/>
            <w:noWrap/>
          </w:tcPr>
          <w:p w14:paraId="710C813A" w14:textId="77777777" w:rsidR="008B0F39" w:rsidRPr="008A0F8A" w:rsidRDefault="008B0F39" w:rsidP="0066695B">
            <w:pPr>
              <w:spacing w:after="0" w:line="240" w:lineRule="auto"/>
              <w:rPr>
                <w:rFonts w:ascii="Times New Roman" w:hAnsi="Times New Roman" w:cs="Times New Roman"/>
                <w:noProof/>
                <w:color w:val="006100"/>
                <w:sz w:val="20"/>
                <w:szCs w:val="20"/>
                <w:lang w:val="ru-RU"/>
              </w:rPr>
            </w:pPr>
          </w:p>
        </w:tc>
        <w:tc>
          <w:tcPr>
            <w:tcW w:w="1275" w:type="dxa"/>
            <w:tcBorders>
              <w:bottom w:val="single" w:sz="4" w:space="0" w:color="auto"/>
            </w:tcBorders>
            <w:shd w:val="clear" w:color="auto" w:fill="C6EFCE"/>
            <w:noWrap/>
          </w:tcPr>
          <w:p w14:paraId="07C6789F" w14:textId="77777777" w:rsidR="008B0F39" w:rsidRPr="008A0F8A" w:rsidRDefault="008B0F39" w:rsidP="0066695B">
            <w:pPr>
              <w:spacing w:after="0" w:line="240" w:lineRule="auto"/>
              <w:rPr>
                <w:rFonts w:ascii="Times New Roman" w:hAnsi="Times New Roman" w:cs="Times New Roman"/>
                <w:noProof/>
                <w:color w:val="006100"/>
                <w:sz w:val="20"/>
                <w:szCs w:val="20"/>
                <w:lang w:val="ru-RU"/>
              </w:rPr>
            </w:pPr>
          </w:p>
        </w:tc>
        <w:tc>
          <w:tcPr>
            <w:tcW w:w="1134" w:type="dxa"/>
            <w:tcBorders>
              <w:bottom w:val="single" w:sz="4" w:space="0" w:color="auto"/>
            </w:tcBorders>
            <w:shd w:val="clear" w:color="auto" w:fill="C6EFCE"/>
            <w:noWrap/>
          </w:tcPr>
          <w:p w14:paraId="640E2AA0" w14:textId="77777777" w:rsidR="008B0F39" w:rsidRPr="008A0F8A" w:rsidRDefault="008B0F39" w:rsidP="0066695B">
            <w:pPr>
              <w:spacing w:after="0" w:line="240" w:lineRule="auto"/>
              <w:rPr>
                <w:rFonts w:ascii="Times New Roman" w:hAnsi="Times New Roman" w:cs="Times New Roman"/>
                <w:noProof/>
                <w:color w:val="006100"/>
                <w:sz w:val="20"/>
                <w:szCs w:val="20"/>
                <w:lang w:val="ru-RU"/>
              </w:rPr>
            </w:pPr>
          </w:p>
        </w:tc>
        <w:tc>
          <w:tcPr>
            <w:tcW w:w="851" w:type="dxa"/>
            <w:tcBorders>
              <w:bottom w:val="single" w:sz="4" w:space="0" w:color="auto"/>
            </w:tcBorders>
            <w:shd w:val="clear" w:color="auto" w:fill="C6EFCE"/>
            <w:noWrap/>
          </w:tcPr>
          <w:p w14:paraId="0E86252E" w14:textId="77777777" w:rsidR="008B0F39" w:rsidRPr="00491076" w:rsidRDefault="008B0F39" w:rsidP="0066695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T3</w:t>
            </w:r>
          </w:p>
        </w:tc>
        <w:tc>
          <w:tcPr>
            <w:tcW w:w="709" w:type="dxa"/>
            <w:tcBorders>
              <w:bottom w:val="single" w:sz="4" w:space="0" w:color="auto"/>
            </w:tcBorders>
            <w:shd w:val="clear" w:color="auto" w:fill="C6EFCE"/>
            <w:noWrap/>
          </w:tcPr>
          <w:p w14:paraId="4B4CFC26" w14:textId="77777777" w:rsidR="008B0F39" w:rsidRPr="00491076" w:rsidRDefault="008B0F39" w:rsidP="0066695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2022</w:t>
            </w:r>
          </w:p>
        </w:tc>
        <w:tc>
          <w:tcPr>
            <w:tcW w:w="3772" w:type="dxa"/>
            <w:tcBorders>
              <w:bottom w:val="single" w:sz="4" w:space="0" w:color="auto"/>
            </w:tcBorders>
            <w:shd w:val="clear" w:color="auto" w:fill="C6EFCE"/>
            <w:noWrap/>
          </w:tcPr>
          <w:p w14:paraId="63721E9C" w14:textId="1C63CCE0"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 xml:space="preserve">Правителството представя на Народното събрание предложение за постепенно преустановяване на използването на въглища въз основа на доклада за сценариите и препоръките, разработени от Комисията за енергиен преход. </w:t>
            </w:r>
          </w:p>
          <w:p w14:paraId="2C0D3A96" w14:textId="77777777" w:rsidR="008B0F39" w:rsidRPr="008A0F8A" w:rsidRDefault="008B0F39" w:rsidP="0066695B">
            <w:pPr>
              <w:spacing w:after="0" w:line="240" w:lineRule="auto"/>
              <w:rPr>
                <w:rFonts w:ascii="Times New Roman" w:hAnsi="Times New Roman" w:cs="Times New Roman"/>
                <w:noProof/>
                <w:color w:val="006100"/>
                <w:sz w:val="20"/>
                <w:szCs w:val="20"/>
                <w:lang w:val="ru-RU"/>
              </w:rPr>
            </w:pPr>
          </w:p>
          <w:p w14:paraId="128D6642" w14:textId="77777777" w:rsidR="008B0F39" w:rsidRPr="00491076" w:rsidRDefault="008B0F39" w:rsidP="0066695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Народното събрание приема резолюция, с която одобрява пътна карта за постигане на неутралност по отношение на климата въз основа на доклада и препоръките, представени от правителството. В резолюцията се определя крайната дата за постепенното преустановяване на използването на каменни въглища, както е посочено в един от сценариите, разработени от Комисията за енергиен преход.</w:t>
            </w:r>
          </w:p>
        </w:tc>
      </w:tr>
      <w:tr w:rsidR="008E16C0" w:rsidRPr="005241FC" w14:paraId="5132FEA3" w14:textId="77777777" w:rsidTr="008E16C0">
        <w:trPr>
          <w:trHeight w:val="309"/>
        </w:trPr>
        <w:tc>
          <w:tcPr>
            <w:tcW w:w="681" w:type="dxa"/>
            <w:shd w:val="clear" w:color="auto" w:fill="C6EFCE"/>
            <w:noWrap/>
          </w:tcPr>
          <w:p w14:paraId="5F8B3CB8" w14:textId="09801276" w:rsidR="008B0F39" w:rsidRPr="00491076" w:rsidRDefault="00042E61"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115</w:t>
            </w:r>
          </w:p>
        </w:tc>
        <w:tc>
          <w:tcPr>
            <w:tcW w:w="1837" w:type="dxa"/>
            <w:tcBorders>
              <w:top w:val="single" w:sz="4" w:space="0" w:color="auto"/>
              <w:left w:val="nil"/>
              <w:bottom w:val="single" w:sz="4" w:space="0" w:color="auto"/>
              <w:right w:val="single" w:sz="4" w:space="0" w:color="auto"/>
            </w:tcBorders>
            <w:shd w:val="clear" w:color="auto" w:fill="C6EFCE"/>
            <w:noWrap/>
          </w:tcPr>
          <w:p w14:paraId="7BA5530E" w14:textId="3BB77EAC" w:rsidR="008B0F39" w:rsidRPr="00491076" w:rsidRDefault="0073609B" w:rsidP="0066695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C4.R10: Декарбонизация на енергийния сектор</w:t>
            </w:r>
          </w:p>
        </w:tc>
        <w:tc>
          <w:tcPr>
            <w:tcW w:w="1131" w:type="dxa"/>
            <w:tcBorders>
              <w:top w:val="single" w:sz="4" w:space="0" w:color="auto"/>
              <w:left w:val="nil"/>
              <w:bottom w:val="single" w:sz="4" w:space="0" w:color="auto"/>
              <w:right w:val="single" w:sz="4" w:space="0" w:color="auto"/>
            </w:tcBorders>
            <w:shd w:val="clear" w:color="auto" w:fill="C6EFCE"/>
            <w:noWrap/>
          </w:tcPr>
          <w:p w14:paraId="107035BA"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696" w:type="dxa"/>
            <w:tcBorders>
              <w:top w:val="single" w:sz="4" w:space="0" w:color="auto"/>
              <w:left w:val="nil"/>
              <w:bottom w:val="single" w:sz="4" w:space="0" w:color="auto"/>
              <w:right w:val="single" w:sz="4" w:space="0" w:color="auto"/>
            </w:tcBorders>
            <w:shd w:val="clear" w:color="auto" w:fill="C6EFCE"/>
            <w:noWrap/>
          </w:tcPr>
          <w:p w14:paraId="3BC9DAF1" w14:textId="77777777" w:rsidR="008B0F39" w:rsidRPr="00491076" w:rsidRDefault="008B0F39" w:rsidP="0066695B">
            <w:pPr>
              <w:rPr>
                <w:rFonts w:ascii="Times New Roman" w:hAnsi="Times New Roman" w:cs="Times New Roman"/>
                <w:noProof/>
                <w:color w:val="006100"/>
                <w:sz w:val="20"/>
                <w:szCs w:val="20"/>
              </w:rPr>
            </w:pPr>
            <w:r>
              <w:rPr>
                <w:rFonts w:ascii="Times New Roman" w:hAnsi="Times New Roman"/>
                <w:noProof/>
                <w:color w:val="006100"/>
                <w:sz w:val="20"/>
              </w:rPr>
              <w:t>Влизане в сила на законодателство, с което се приема графикът за постепенното преустановяване на използването на каменни въглища и се въвежда горна граница за емисиите на CO2 за електроцентрали, работещи на въглища.</w:t>
            </w:r>
          </w:p>
          <w:p w14:paraId="49E11622" w14:textId="77777777" w:rsidR="008B0F39" w:rsidRPr="008A0F8A" w:rsidRDefault="008B0F39" w:rsidP="0066695B">
            <w:pPr>
              <w:spacing w:after="0" w:line="240" w:lineRule="auto"/>
              <w:rPr>
                <w:rFonts w:ascii="Times New Roman" w:eastAsia="Times New Roman" w:hAnsi="Times New Roman" w:cs="Times New Roman"/>
                <w:noProof/>
                <w:color w:val="006100"/>
                <w:sz w:val="20"/>
                <w:szCs w:val="20"/>
                <w:lang w:val="ru-RU" w:eastAsia="en-GB"/>
              </w:rPr>
            </w:pPr>
          </w:p>
        </w:tc>
        <w:tc>
          <w:tcPr>
            <w:tcW w:w="1414" w:type="dxa"/>
            <w:tcBorders>
              <w:top w:val="single" w:sz="4" w:space="0" w:color="auto"/>
              <w:left w:val="nil"/>
              <w:bottom w:val="single" w:sz="4" w:space="0" w:color="auto"/>
              <w:right w:val="single" w:sz="4" w:space="0" w:color="auto"/>
            </w:tcBorders>
            <w:shd w:val="clear" w:color="auto" w:fill="C6EFCE"/>
            <w:noWrap/>
          </w:tcPr>
          <w:p w14:paraId="5B1AF43C"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Законова разпоредба, указваща влизането в сила</w:t>
            </w:r>
          </w:p>
        </w:tc>
        <w:tc>
          <w:tcPr>
            <w:tcW w:w="1151" w:type="dxa"/>
            <w:tcBorders>
              <w:top w:val="single" w:sz="4" w:space="0" w:color="auto"/>
              <w:left w:val="nil"/>
              <w:bottom w:val="single" w:sz="4" w:space="0" w:color="auto"/>
              <w:right w:val="single" w:sz="4" w:space="0" w:color="auto"/>
            </w:tcBorders>
            <w:shd w:val="clear" w:color="auto" w:fill="C6EFCE"/>
            <w:noWrap/>
          </w:tcPr>
          <w:p w14:paraId="3418927D" w14:textId="77777777" w:rsidR="008B0F39" w:rsidRPr="008A0F8A" w:rsidRDefault="008B0F39" w:rsidP="0066695B">
            <w:pPr>
              <w:spacing w:after="0" w:line="240" w:lineRule="auto"/>
              <w:rPr>
                <w:rFonts w:ascii="Times New Roman" w:eastAsia="Times New Roman" w:hAnsi="Times New Roman" w:cs="Times New Roman"/>
                <w:noProof/>
                <w:color w:val="006100"/>
                <w:sz w:val="20"/>
                <w:szCs w:val="20"/>
                <w:lang w:val="ru-RU" w:eastAsia="en-GB"/>
              </w:rPr>
            </w:pPr>
          </w:p>
        </w:tc>
        <w:tc>
          <w:tcPr>
            <w:tcW w:w="1275" w:type="dxa"/>
            <w:tcBorders>
              <w:top w:val="single" w:sz="4" w:space="0" w:color="auto"/>
              <w:left w:val="single" w:sz="4" w:space="0" w:color="auto"/>
              <w:bottom w:val="single" w:sz="4" w:space="0" w:color="auto"/>
              <w:right w:val="single" w:sz="4" w:space="0" w:color="auto"/>
            </w:tcBorders>
            <w:shd w:val="clear" w:color="auto" w:fill="C6EFCE"/>
            <w:noWrap/>
          </w:tcPr>
          <w:p w14:paraId="2DB8A672" w14:textId="77777777" w:rsidR="008B0F39" w:rsidRPr="008A0F8A" w:rsidRDefault="008B0F39" w:rsidP="0066695B">
            <w:pPr>
              <w:spacing w:after="0" w:line="240" w:lineRule="auto"/>
              <w:rPr>
                <w:rFonts w:ascii="Times New Roman" w:eastAsia="Times New Roman" w:hAnsi="Times New Roman" w:cs="Times New Roman"/>
                <w:noProof/>
                <w:color w:val="006100"/>
                <w:sz w:val="20"/>
                <w:szCs w:val="20"/>
                <w:lang w:val="ru-RU"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C6EFCE"/>
            <w:noWrap/>
          </w:tcPr>
          <w:p w14:paraId="1FD61F82" w14:textId="77777777" w:rsidR="008B0F39" w:rsidRPr="008A0F8A" w:rsidRDefault="008B0F39" w:rsidP="0066695B">
            <w:pPr>
              <w:spacing w:after="0" w:line="240" w:lineRule="auto"/>
              <w:rPr>
                <w:rFonts w:ascii="Times New Roman" w:eastAsia="Times New Roman" w:hAnsi="Times New Roman" w:cs="Times New Roman"/>
                <w:noProof/>
                <w:color w:val="006100"/>
                <w:sz w:val="20"/>
                <w:szCs w:val="20"/>
                <w:lang w:val="ru-RU" w:eastAsia="en-GB"/>
              </w:rPr>
            </w:pP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14:paraId="74838BA0"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T1</w:t>
            </w:r>
          </w:p>
        </w:tc>
        <w:tc>
          <w:tcPr>
            <w:tcW w:w="709" w:type="dxa"/>
            <w:tcBorders>
              <w:top w:val="single" w:sz="4" w:space="0" w:color="auto"/>
              <w:left w:val="single" w:sz="4" w:space="0" w:color="auto"/>
              <w:bottom w:val="single" w:sz="4" w:space="0" w:color="auto"/>
              <w:right w:val="single" w:sz="4" w:space="0" w:color="auto"/>
            </w:tcBorders>
            <w:shd w:val="clear" w:color="auto" w:fill="C6EFCE"/>
            <w:noWrap/>
          </w:tcPr>
          <w:p w14:paraId="75906B50"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2023</w:t>
            </w:r>
          </w:p>
        </w:tc>
        <w:tc>
          <w:tcPr>
            <w:tcW w:w="3772" w:type="dxa"/>
            <w:tcBorders>
              <w:top w:val="single" w:sz="4" w:space="0" w:color="auto"/>
              <w:left w:val="single" w:sz="4" w:space="0" w:color="auto"/>
              <w:bottom w:val="single" w:sz="4" w:space="0" w:color="auto"/>
              <w:right w:val="single" w:sz="4" w:space="0" w:color="auto"/>
            </w:tcBorders>
            <w:shd w:val="clear" w:color="auto" w:fill="C6EFCE"/>
            <w:noWrap/>
          </w:tcPr>
          <w:p w14:paraId="4071D55F" w14:textId="77777777"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Влизане в сила на законодателство, установяващо правила за производството на електроенергия от въглища. Законът:</w:t>
            </w:r>
          </w:p>
          <w:p w14:paraId="6A137A58" w14:textId="77777777" w:rsidR="008B0F39" w:rsidRPr="00491076" w:rsidRDefault="008B0F39" w:rsidP="00A17CA8">
            <w:pPr>
              <w:pStyle w:val="ListParagraph"/>
              <w:numPr>
                <w:ilvl w:val="0"/>
                <w:numId w:val="77"/>
              </w:numPr>
              <w:spacing w:after="0"/>
              <w:rPr>
                <w:rFonts w:ascii="Times New Roman" w:hAnsi="Times New Roman" w:cs="Times New Roman"/>
                <w:noProof/>
                <w:color w:val="006100"/>
                <w:sz w:val="20"/>
                <w:szCs w:val="20"/>
              </w:rPr>
            </w:pPr>
            <w:r>
              <w:rPr>
                <w:rFonts w:ascii="Times New Roman" w:hAnsi="Times New Roman"/>
                <w:noProof/>
                <w:color w:val="006100"/>
                <w:sz w:val="20"/>
              </w:rPr>
              <w:t>включва забрана за:</w:t>
            </w:r>
          </w:p>
          <w:p w14:paraId="08498433" w14:textId="77777777" w:rsidR="008B0F39" w:rsidRPr="00491076" w:rsidRDefault="008B0F39" w:rsidP="00A17CA8">
            <w:pPr>
              <w:pStyle w:val="ListParagraph"/>
              <w:numPr>
                <w:ilvl w:val="1"/>
                <w:numId w:val="77"/>
              </w:numPr>
              <w:spacing w:after="0"/>
              <w:ind w:left="627" w:hanging="283"/>
              <w:rPr>
                <w:rFonts w:ascii="Times New Roman" w:hAnsi="Times New Roman" w:cs="Times New Roman"/>
                <w:noProof/>
                <w:color w:val="006100"/>
                <w:sz w:val="20"/>
                <w:szCs w:val="20"/>
              </w:rPr>
            </w:pPr>
            <w:r>
              <w:rPr>
                <w:rFonts w:ascii="Times New Roman" w:hAnsi="Times New Roman"/>
                <w:noProof/>
                <w:color w:val="006100"/>
                <w:sz w:val="20"/>
              </w:rPr>
              <w:t>изграждане и експлоатация на нови инсталации за производство на електроенергия от въглища;</w:t>
            </w:r>
          </w:p>
          <w:p w14:paraId="0761402B" w14:textId="77777777" w:rsidR="008B0F39" w:rsidRPr="00491076" w:rsidRDefault="008B0F39" w:rsidP="00A17CA8">
            <w:pPr>
              <w:pStyle w:val="ListParagraph"/>
              <w:numPr>
                <w:ilvl w:val="1"/>
                <w:numId w:val="77"/>
              </w:numPr>
              <w:spacing w:after="0"/>
              <w:ind w:left="627" w:hanging="283"/>
              <w:rPr>
                <w:rFonts w:ascii="Times New Roman" w:hAnsi="Times New Roman" w:cs="Times New Roman"/>
                <w:noProof/>
                <w:color w:val="006100"/>
                <w:sz w:val="20"/>
                <w:szCs w:val="20"/>
              </w:rPr>
            </w:pPr>
            <w:r>
              <w:rPr>
                <w:rFonts w:ascii="Times New Roman" w:hAnsi="Times New Roman"/>
                <w:noProof/>
                <w:color w:val="006100"/>
                <w:sz w:val="20"/>
              </w:rPr>
              <w:t>производство на електроенергия от въглища, която влиза в сила не по-късно от 2038 г., включително задължителен график за постепенно извеждане от употреба.</w:t>
            </w:r>
          </w:p>
          <w:p w14:paraId="38E76878" w14:textId="70BF208E" w:rsidR="008B0F39" w:rsidRPr="00491076" w:rsidRDefault="008B0F39" w:rsidP="00A17CA8">
            <w:pPr>
              <w:pStyle w:val="ListParagraph"/>
              <w:numPr>
                <w:ilvl w:val="0"/>
                <w:numId w:val="77"/>
              </w:numPr>
              <w:spacing w:after="0"/>
              <w:rPr>
                <w:rFonts w:ascii="Times New Roman" w:hAnsi="Times New Roman" w:cs="Times New Roman"/>
                <w:noProof/>
                <w:color w:val="006100"/>
                <w:sz w:val="20"/>
                <w:szCs w:val="20"/>
              </w:rPr>
            </w:pPr>
            <w:r>
              <w:rPr>
                <w:rFonts w:ascii="Times New Roman" w:hAnsi="Times New Roman"/>
                <w:noProof/>
                <w:color w:val="006100"/>
                <w:sz w:val="20"/>
              </w:rPr>
              <w:t xml:space="preserve">въвеждане на общо ограничение за общото годишно количество на емисиите на въглероден диоксид (CO2), както е записано в Регистъра на емисиите на ЕС (СТЕ на ЕС) за съществуващите електроцентрали, работещи на въглища („горна граница на емисиите“). Горната граница на емисиите се прилага от 1 януари 2026 г. и се реализира чрез механизма, предвиден в ключов етап 116. Горната граница на емисиите гарантира, че годишните емисии от всички електроцентрали, работещи с въглища, както са посочени в описанието на компонента в България, не надвишават 10 983 000 тона CO2 до пълното извеждане от употреба на въглищата. </w:t>
            </w:r>
          </w:p>
          <w:p w14:paraId="209F9BF0" w14:textId="77777777" w:rsidR="008B0F39" w:rsidRPr="00491076" w:rsidRDefault="008B0F39" w:rsidP="0066695B">
            <w:pPr>
              <w:pStyle w:val="ListParagraph"/>
              <w:spacing w:after="0"/>
              <w:ind w:left="360"/>
              <w:rPr>
                <w:rFonts w:ascii="Times New Roman" w:hAnsi="Times New Roman" w:cs="Times New Roman"/>
                <w:noProof/>
                <w:color w:val="006100"/>
                <w:sz w:val="20"/>
                <w:szCs w:val="20"/>
              </w:rPr>
            </w:pPr>
            <w:r>
              <w:rPr>
                <w:rFonts w:ascii="Times New Roman" w:hAnsi="Times New Roman"/>
                <w:noProof/>
                <w:color w:val="006100"/>
                <w:sz w:val="20"/>
              </w:rPr>
              <w:t>Годишната горна граница на емисиите се прилага въз основа на календарна година в съответствие с годишния цикъл за мониторинг, докладване и проверка на емисиите в рамките на СТЕ на ЕС, както е предвидено в Директива 2003/87/ЕО за СТЕ. Годишните емисии, докладвани за целите на СТЕ на ЕС, се използват от регулатора за проверка на съответствието.</w:t>
            </w:r>
          </w:p>
          <w:p w14:paraId="262DFF96" w14:textId="77777777" w:rsidR="008B0F39" w:rsidRPr="008A0F8A" w:rsidRDefault="008B0F39" w:rsidP="0066695B">
            <w:pPr>
              <w:pStyle w:val="ListParagraph"/>
              <w:spacing w:after="0"/>
              <w:ind w:left="360"/>
              <w:rPr>
                <w:rFonts w:ascii="Times New Roman" w:hAnsi="Times New Roman" w:cs="Times New Roman"/>
                <w:noProof/>
                <w:color w:val="006100"/>
                <w:sz w:val="20"/>
                <w:szCs w:val="20"/>
                <w:lang w:val="ru-RU"/>
              </w:rPr>
            </w:pPr>
          </w:p>
          <w:p w14:paraId="4DB2D636" w14:textId="77777777" w:rsidR="008B0F39" w:rsidRPr="00491076" w:rsidRDefault="008B0F39" w:rsidP="00A17CA8">
            <w:pPr>
              <w:pStyle w:val="ListParagraph"/>
              <w:numPr>
                <w:ilvl w:val="0"/>
                <w:numId w:val="77"/>
              </w:numPr>
              <w:spacing w:after="0"/>
              <w:rPr>
                <w:rFonts w:ascii="Times New Roman" w:hAnsi="Times New Roman" w:cs="Times New Roman"/>
                <w:noProof/>
                <w:color w:val="006100"/>
                <w:sz w:val="20"/>
                <w:szCs w:val="20"/>
              </w:rPr>
            </w:pPr>
            <w:r>
              <w:rPr>
                <w:rFonts w:ascii="Times New Roman" w:hAnsi="Times New Roman"/>
                <w:noProof/>
                <w:color w:val="006100"/>
                <w:sz w:val="20"/>
              </w:rPr>
              <w:t xml:space="preserve">Да се предвиди решение за изпълнение, в което да се определят подробни регулаторни разпоредби за прилагането и налагането на пределно допустимата стойност на емисиите, която да бъде въведена от българското правителство. Това включва назначаването на регулатор и механизъм за прилагане на глобалната пределна стойност на емисиите като пределни стойности на равнището на отделните инсталации на годишна основа. </w:t>
            </w:r>
          </w:p>
          <w:p w14:paraId="60D0C2B6" w14:textId="77777777" w:rsidR="008B0F39" w:rsidRPr="008A0F8A" w:rsidRDefault="008B0F39" w:rsidP="0066695B">
            <w:pPr>
              <w:pStyle w:val="ListParagraph"/>
              <w:spacing w:after="0"/>
              <w:ind w:left="360"/>
              <w:rPr>
                <w:rFonts w:ascii="Times New Roman" w:hAnsi="Times New Roman" w:cs="Times New Roman"/>
                <w:noProof/>
                <w:color w:val="006100"/>
                <w:sz w:val="20"/>
                <w:szCs w:val="20"/>
                <w:lang w:val="ru-RU"/>
              </w:rPr>
            </w:pPr>
          </w:p>
          <w:p w14:paraId="43CAABF0" w14:textId="6F50EB88"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В закона трябва да се предвидят и мерки, насочени към справяне със социално-икономическите въздействия в засегнатите общности. Подобни мерки се съгласуват със съответния териториален план за справедлив преход в рамките на Фонда за справедлив преход.</w:t>
            </w:r>
          </w:p>
        </w:tc>
      </w:tr>
      <w:tr w:rsidR="008E16C0" w:rsidRPr="005241FC" w14:paraId="18EF5B0A" w14:textId="77777777" w:rsidTr="008E16C0">
        <w:trPr>
          <w:trHeight w:val="309"/>
        </w:trPr>
        <w:tc>
          <w:tcPr>
            <w:tcW w:w="681" w:type="dxa"/>
            <w:shd w:val="clear" w:color="auto" w:fill="C6EFCE"/>
            <w:noWrap/>
          </w:tcPr>
          <w:p w14:paraId="2C5F94FF" w14:textId="1FC61425" w:rsidR="008B0F39" w:rsidRPr="00491076" w:rsidRDefault="00042E61"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116</w:t>
            </w:r>
          </w:p>
        </w:tc>
        <w:tc>
          <w:tcPr>
            <w:tcW w:w="1837" w:type="dxa"/>
            <w:tcBorders>
              <w:top w:val="single" w:sz="4" w:space="0" w:color="auto"/>
              <w:left w:val="nil"/>
              <w:bottom w:val="single" w:sz="4" w:space="0" w:color="auto"/>
              <w:right w:val="single" w:sz="4" w:space="0" w:color="auto"/>
            </w:tcBorders>
            <w:shd w:val="clear" w:color="auto" w:fill="C6EFCE"/>
            <w:noWrap/>
          </w:tcPr>
          <w:p w14:paraId="69E3D60C" w14:textId="0E68BBAB" w:rsidR="008B0F39" w:rsidRPr="00491076" w:rsidRDefault="008B0F39" w:rsidP="0073609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C4.R10: Декарбонизация на енергийния сектор</w:t>
            </w:r>
          </w:p>
        </w:tc>
        <w:tc>
          <w:tcPr>
            <w:tcW w:w="1131" w:type="dxa"/>
            <w:tcBorders>
              <w:top w:val="single" w:sz="4" w:space="0" w:color="auto"/>
              <w:left w:val="nil"/>
              <w:bottom w:val="single" w:sz="4" w:space="0" w:color="auto"/>
              <w:right w:val="single" w:sz="4" w:space="0" w:color="auto"/>
            </w:tcBorders>
            <w:shd w:val="clear" w:color="auto" w:fill="C6EFCE"/>
            <w:noWrap/>
          </w:tcPr>
          <w:p w14:paraId="64977B46" w14:textId="77777777" w:rsidR="008B0F39" w:rsidRPr="00491076" w:rsidRDefault="008B0F39" w:rsidP="0066695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Ключов етап</w:t>
            </w:r>
          </w:p>
        </w:tc>
        <w:tc>
          <w:tcPr>
            <w:tcW w:w="1696" w:type="dxa"/>
            <w:tcBorders>
              <w:top w:val="single" w:sz="4" w:space="0" w:color="auto"/>
              <w:left w:val="nil"/>
              <w:bottom w:val="single" w:sz="4" w:space="0" w:color="auto"/>
              <w:right w:val="single" w:sz="4" w:space="0" w:color="auto"/>
            </w:tcBorders>
            <w:shd w:val="clear" w:color="auto" w:fill="C6EFCE"/>
            <w:noWrap/>
          </w:tcPr>
          <w:p w14:paraId="2261225E" w14:textId="77777777" w:rsidR="008B0F39" w:rsidRPr="00491076" w:rsidRDefault="008B0F39" w:rsidP="0066695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Влизане в сила на решение(я) за изпълнение за прилагане на ограничението за емисиите на въглероден диоксид при производството на електроенергия от каменни въглища</w:t>
            </w:r>
          </w:p>
        </w:tc>
        <w:tc>
          <w:tcPr>
            <w:tcW w:w="1414" w:type="dxa"/>
            <w:tcBorders>
              <w:top w:val="single" w:sz="4" w:space="0" w:color="auto"/>
              <w:left w:val="nil"/>
              <w:bottom w:val="single" w:sz="4" w:space="0" w:color="auto"/>
              <w:right w:val="single" w:sz="4" w:space="0" w:color="auto"/>
            </w:tcBorders>
            <w:shd w:val="clear" w:color="auto" w:fill="C6EFCE"/>
            <w:noWrap/>
          </w:tcPr>
          <w:p w14:paraId="0370463F" w14:textId="77777777" w:rsidR="008B0F39" w:rsidRPr="00491076" w:rsidRDefault="008B0F39"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Разпоредба в решението(ята) за изпълнение, указваща влизането в сила</w:t>
            </w:r>
          </w:p>
        </w:tc>
        <w:tc>
          <w:tcPr>
            <w:tcW w:w="1151" w:type="dxa"/>
            <w:tcBorders>
              <w:top w:val="single" w:sz="4" w:space="0" w:color="auto"/>
              <w:left w:val="nil"/>
              <w:bottom w:val="single" w:sz="4" w:space="0" w:color="auto"/>
              <w:right w:val="single" w:sz="4" w:space="0" w:color="auto"/>
            </w:tcBorders>
            <w:shd w:val="clear" w:color="auto" w:fill="C6EFCE"/>
            <w:noWrap/>
          </w:tcPr>
          <w:p w14:paraId="0543870D" w14:textId="77777777" w:rsidR="008B0F39" w:rsidRPr="008A0F8A" w:rsidRDefault="008B0F39" w:rsidP="0066695B">
            <w:pPr>
              <w:spacing w:after="0" w:line="240" w:lineRule="auto"/>
              <w:rPr>
                <w:rFonts w:ascii="Times New Roman" w:hAnsi="Times New Roman" w:cs="Times New Roman"/>
                <w:noProof/>
                <w:color w:val="006100"/>
                <w:sz w:val="20"/>
                <w:szCs w:val="20"/>
                <w:lang w:val="ru-RU"/>
              </w:rPr>
            </w:pPr>
          </w:p>
        </w:tc>
        <w:tc>
          <w:tcPr>
            <w:tcW w:w="1275" w:type="dxa"/>
            <w:tcBorders>
              <w:top w:val="single" w:sz="4" w:space="0" w:color="auto"/>
              <w:left w:val="single" w:sz="4" w:space="0" w:color="auto"/>
              <w:bottom w:val="single" w:sz="4" w:space="0" w:color="auto"/>
              <w:right w:val="single" w:sz="4" w:space="0" w:color="auto"/>
            </w:tcBorders>
            <w:shd w:val="clear" w:color="auto" w:fill="C6EFCE"/>
            <w:noWrap/>
          </w:tcPr>
          <w:p w14:paraId="0AA0BEFD" w14:textId="77777777" w:rsidR="008B0F39" w:rsidRPr="008A0F8A" w:rsidRDefault="008B0F39" w:rsidP="0066695B">
            <w:pPr>
              <w:spacing w:after="0" w:line="240" w:lineRule="auto"/>
              <w:rPr>
                <w:rFonts w:ascii="Times New Roman" w:hAnsi="Times New Roman" w:cs="Times New Roman"/>
                <w:noProof/>
                <w:color w:val="006100"/>
                <w:sz w:val="20"/>
                <w:szCs w:val="20"/>
                <w:lang w:val="ru-RU"/>
              </w:rPr>
            </w:pPr>
          </w:p>
        </w:tc>
        <w:tc>
          <w:tcPr>
            <w:tcW w:w="1134" w:type="dxa"/>
            <w:tcBorders>
              <w:top w:val="single" w:sz="4" w:space="0" w:color="auto"/>
              <w:left w:val="single" w:sz="4" w:space="0" w:color="auto"/>
              <w:bottom w:val="single" w:sz="4" w:space="0" w:color="auto"/>
              <w:right w:val="single" w:sz="4" w:space="0" w:color="auto"/>
            </w:tcBorders>
            <w:shd w:val="clear" w:color="auto" w:fill="C6EFCE"/>
            <w:noWrap/>
          </w:tcPr>
          <w:p w14:paraId="53CBAB67" w14:textId="77777777" w:rsidR="008B0F39" w:rsidRPr="008A0F8A" w:rsidRDefault="008B0F39" w:rsidP="0066695B">
            <w:pPr>
              <w:spacing w:after="0" w:line="240" w:lineRule="auto"/>
              <w:rPr>
                <w:rFonts w:ascii="Times New Roman" w:hAnsi="Times New Roman" w:cs="Times New Roman"/>
                <w:noProof/>
                <w:color w:val="006100"/>
                <w:sz w:val="20"/>
                <w:szCs w:val="20"/>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14:paraId="477B70CC" w14:textId="77777777" w:rsidR="008B0F39" w:rsidRPr="00491076" w:rsidRDefault="008B0F39" w:rsidP="0066695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T2</w:t>
            </w:r>
          </w:p>
        </w:tc>
        <w:tc>
          <w:tcPr>
            <w:tcW w:w="709" w:type="dxa"/>
            <w:tcBorders>
              <w:top w:val="single" w:sz="4" w:space="0" w:color="auto"/>
              <w:left w:val="single" w:sz="4" w:space="0" w:color="auto"/>
              <w:bottom w:val="single" w:sz="4" w:space="0" w:color="auto"/>
              <w:right w:val="single" w:sz="4" w:space="0" w:color="auto"/>
            </w:tcBorders>
            <w:shd w:val="clear" w:color="auto" w:fill="C6EFCE"/>
            <w:noWrap/>
          </w:tcPr>
          <w:p w14:paraId="65A32EE7" w14:textId="77777777" w:rsidR="008B0F39" w:rsidRPr="00491076" w:rsidRDefault="008B0F39" w:rsidP="0066695B">
            <w:pPr>
              <w:rPr>
                <w:rFonts w:ascii="Times New Roman" w:hAnsi="Times New Roman" w:cs="Times New Roman"/>
                <w:noProof/>
                <w:color w:val="006100"/>
                <w:sz w:val="20"/>
                <w:szCs w:val="20"/>
              </w:rPr>
            </w:pPr>
            <w:r>
              <w:rPr>
                <w:rFonts w:ascii="Times New Roman" w:hAnsi="Times New Roman"/>
                <w:noProof/>
                <w:color w:val="006100"/>
                <w:sz w:val="20"/>
              </w:rPr>
              <w:t>2023</w:t>
            </w:r>
          </w:p>
          <w:p w14:paraId="404B4A3B" w14:textId="77777777" w:rsidR="008B0F39" w:rsidRPr="00491076" w:rsidRDefault="008B0F39" w:rsidP="0066695B">
            <w:pPr>
              <w:spacing w:after="0" w:line="240" w:lineRule="auto"/>
              <w:rPr>
                <w:rFonts w:ascii="Times New Roman" w:hAnsi="Times New Roman" w:cs="Times New Roman"/>
                <w:noProof/>
                <w:color w:val="006100"/>
                <w:sz w:val="20"/>
                <w:szCs w:val="20"/>
                <w:lang w:val="en-GB"/>
              </w:rPr>
            </w:pPr>
          </w:p>
        </w:tc>
        <w:tc>
          <w:tcPr>
            <w:tcW w:w="3772" w:type="dxa"/>
            <w:tcBorders>
              <w:top w:val="single" w:sz="4" w:space="0" w:color="auto"/>
              <w:left w:val="single" w:sz="4" w:space="0" w:color="auto"/>
              <w:bottom w:val="single" w:sz="4" w:space="0" w:color="auto"/>
              <w:right w:val="single" w:sz="4" w:space="0" w:color="auto"/>
            </w:tcBorders>
            <w:shd w:val="clear" w:color="auto" w:fill="C6EFCE"/>
            <w:noWrap/>
          </w:tcPr>
          <w:p w14:paraId="236B8C02" w14:textId="77777777" w:rsidR="008B0F39" w:rsidRPr="00491076" w:rsidRDefault="008B0F39"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Влизане в сила на решение за изпълнение на българското правителство, с което се определят:</w:t>
            </w:r>
          </w:p>
          <w:p w14:paraId="6FE6E2A5" w14:textId="6938CBD7" w:rsidR="008B0F39" w:rsidRPr="00491076" w:rsidRDefault="008B0F39" w:rsidP="00A17CA8">
            <w:pPr>
              <w:pStyle w:val="ListParagraph"/>
              <w:numPr>
                <w:ilvl w:val="0"/>
                <w:numId w:val="78"/>
              </w:numPr>
              <w:spacing w:after="0"/>
              <w:rPr>
                <w:rFonts w:ascii="Times New Roman" w:hAnsi="Times New Roman" w:cs="Times New Roman"/>
                <w:noProof/>
                <w:color w:val="006100"/>
                <w:sz w:val="20"/>
                <w:szCs w:val="20"/>
              </w:rPr>
            </w:pPr>
            <w:r>
              <w:rPr>
                <w:rFonts w:ascii="Times New Roman" w:hAnsi="Times New Roman"/>
                <w:noProof/>
                <w:color w:val="006100"/>
                <w:sz w:val="20"/>
              </w:rPr>
              <w:t>регулатор: определя се компетентен орган, който да прилага, проверява и налага горната граница на емисиите за производството на електроенергия от въглища.</w:t>
            </w:r>
          </w:p>
          <w:p w14:paraId="0791BD72" w14:textId="77777777" w:rsidR="008B0F39" w:rsidRPr="00491076" w:rsidRDefault="008B0F39" w:rsidP="00A17CA8">
            <w:pPr>
              <w:pStyle w:val="ListParagraph"/>
              <w:numPr>
                <w:ilvl w:val="0"/>
                <w:numId w:val="78"/>
              </w:numPr>
              <w:spacing w:after="0"/>
              <w:rPr>
                <w:rFonts w:ascii="Times New Roman" w:hAnsi="Times New Roman" w:cs="Times New Roman"/>
                <w:noProof/>
                <w:color w:val="006100"/>
                <w:sz w:val="20"/>
                <w:szCs w:val="20"/>
              </w:rPr>
            </w:pPr>
            <w:r>
              <w:rPr>
                <w:rFonts w:ascii="Times New Roman" w:hAnsi="Times New Roman"/>
                <w:noProof/>
                <w:color w:val="006100"/>
                <w:sz w:val="20"/>
              </w:rPr>
              <w:t xml:space="preserve">уредба за изпълнение: въвеждат се подробни правила за прилагането на годишната горна граница на емисиите, включително механизмите, чрез които регулаторът определя годишните пределни стойности на въглеродните емисии за отделните инсталации. </w:t>
            </w:r>
          </w:p>
          <w:p w14:paraId="7D1D684C" w14:textId="69E03D32" w:rsidR="008B0F39" w:rsidRPr="00491076" w:rsidRDefault="008B0F39" w:rsidP="00A17CA8">
            <w:pPr>
              <w:pStyle w:val="ListParagraph"/>
              <w:numPr>
                <w:ilvl w:val="0"/>
                <w:numId w:val="78"/>
              </w:numPr>
              <w:spacing w:after="0"/>
              <w:rPr>
                <w:rFonts w:ascii="Times New Roman" w:hAnsi="Times New Roman" w:cs="Times New Roman"/>
                <w:noProof/>
                <w:color w:val="006100"/>
                <w:sz w:val="20"/>
                <w:szCs w:val="20"/>
              </w:rPr>
            </w:pPr>
            <w:r>
              <w:rPr>
                <w:rFonts w:ascii="Times New Roman" w:hAnsi="Times New Roman"/>
                <w:noProof/>
                <w:color w:val="006100"/>
                <w:sz w:val="20"/>
              </w:rPr>
              <w:t>механизми за докладване, мониторинг и спазване: механизмите за докладване са тези, които се използват в рамките на СТЕ на ЕС, за да се сведе до минимум тежестта за операторите; спазването на горната граница на емисиите се извършва чрез сравняване на проверените годишни въглеродни емисии на инсталацията, докладвани в рамките на СТЕ на ЕС, с пределните стойности, определени от регулатора в рамките на горната граница на емисиите.</w:t>
            </w:r>
          </w:p>
          <w:p w14:paraId="6C371A0D" w14:textId="77777777" w:rsidR="008B0F39" w:rsidRPr="00491076" w:rsidRDefault="008B0F39" w:rsidP="00A17CA8">
            <w:pPr>
              <w:pStyle w:val="ListParagraph"/>
              <w:numPr>
                <w:ilvl w:val="0"/>
                <w:numId w:val="78"/>
              </w:numPr>
              <w:spacing w:after="0"/>
              <w:rPr>
                <w:rFonts w:ascii="Times New Roman" w:hAnsi="Times New Roman" w:cs="Times New Roman"/>
                <w:noProof/>
                <w:color w:val="006100"/>
                <w:sz w:val="20"/>
                <w:szCs w:val="20"/>
              </w:rPr>
            </w:pPr>
            <w:r>
              <w:rPr>
                <w:rFonts w:ascii="Times New Roman" w:hAnsi="Times New Roman"/>
                <w:noProof/>
                <w:color w:val="006100"/>
                <w:sz w:val="20"/>
              </w:rPr>
              <w:t xml:space="preserve">налагане и санкции: регулаторът трябва да има достъп до подходящи механизми за налагане, за да се гарантира, че не съществува финансов стимул за нарушаване на горната граница на емисиите, и от него се изисква да налага глоби, в случай че оператор на централа наруши горната граница на емисиите; размерът на финансовата санкция, наложена във връзка с нарушение на горната граница на емисиите, трябва да е достатъчен, за да се отстрани всякаква изгода за оператора от подобно нарушение. </w:t>
            </w:r>
          </w:p>
        </w:tc>
      </w:tr>
      <w:tr w:rsidR="008E16C0" w:rsidRPr="005241FC" w14:paraId="06F68A6C" w14:textId="77777777" w:rsidTr="008E16C0">
        <w:trPr>
          <w:trHeight w:val="309"/>
        </w:trPr>
        <w:tc>
          <w:tcPr>
            <w:tcW w:w="681" w:type="dxa"/>
            <w:tcBorders>
              <w:top w:val="single" w:sz="4" w:space="0" w:color="auto"/>
              <w:left w:val="single" w:sz="4" w:space="0" w:color="auto"/>
              <w:bottom w:val="single" w:sz="4" w:space="0" w:color="auto"/>
              <w:right w:val="single" w:sz="4" w:space="0" w:color="auto"/>
            </w:tcBorders>
            <w:shd w:val="clear" w:color="auto" w:fill="C6EFCE"/>
            <w:noWrap/>
          </w:tcPr>
          <w:p w14:paraId="31843AEB" w14:textId="367FECA2" w:rsidR="008B0F39" w:rsidRPr="00491076" w:rsidRDefault="00042E61"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117</w:t>
            </w:r>
          </w:p>
        </w:tc>
        <w:tc>
          <w:tcPr>
            <w:tcW w:w="1837" w:type="dxa"/>
            <w:tcBorders>
              <w:top w:val="single" w:sz="4" w:space="0" w:color="auto"/>
              <w:left w:val="nil"/>
              <w:bottom w:val="single" w:sz="4" w:space="0" w:color="auto"/>
              <w:right w:val="single" w:sz="4" w:space="0" w:color="auto"/>
            </w:tcBorders>
            <w:shd w:val="clear" w:color="auto" w:fill="C6EFCE"/>
            <w:noWrap/>
          </w:tcPr>
          <w:p w14:paraId="38D50A42" w14:textId="19E09B28" w:rsidR="008B0F39" w:rsidRPr="00491076" w:rsidRDefault="0073609B" w:rsidP="0066695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C4.R10: Декарбонизация на енергийния сектор</w:t>
            </w:r>
          </w:p>
        </w:tc>
        <w:tc>
          <w:tcPr>
            <w:tcW w:w="1131" w:type="dxa"/>
            <w:tcBorders>
              <w:top w:val="single" w:sz="4" w:space="0" w:color="auto"/>
              <w:left w:val="nil"/>
              <w:bottom w:val="single" w:sz="4" w:space="0" w:color="auto"/>
              <w:right w:val="single" w:sz="4" w:space="0" w:color="auto"/>
            </w:tcBorders>
            <w:shd w:val="clear" w:color="auto" w:fill="C6EFCE"/>
            <w:noWrap/>
          </w:tcPr>
          <w:p w14:paraId="5FF76B5A" w14:textId="77777777" w:rsidR="008B0F39" w:rsidRPr="00491076" w:rsidRDefault="008B0F39" w:rsidP="0066695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Цел</w:t>
            </w:r>
          </w:p>
        </w:tc>
        <w:tc>
          <w:tcPr>
            <w:tcW w:w="1696" w:type="dxa"/>
            <w:tcBorders>
              <w:top w:val="single" w:sz="4" w:space="0" w:color="auto"/>
              <w:left w:val="nil"/>
              <w:bottom w:val="single" w:sz="4" w:space="0" w:color="auto"/>
              <w:right w:val="single" w:sz="4" w:space="0" w:color="auto"/>
            </w:tcBorders>
            <w:shd w:val="clear" w:color="auto" w:fill="C6EFCE"/>
            <w:noWrap/>
          </w:tcPr>
          <w:p w14:paraId="31DE52AF" w14:textId="77777777" w:rsidR="008B0F39" w:rsidRPr="00491076" w:rsidRDefault="008B0F39" w:rsidP="0066695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Намаляване на емисиите на въглероден диоксид от енергийния сектор (I)</w:t>
            </w:r>
          </w:p>
        </w:tc>
        <w:tc>
          <w:tcPr>
            <w:tcW w:w="1414" w:type="dxa"/>
            <w:tcBorders>
              <w:top w:val="single" w:sz="4" w:space="0" w:color="auto"/>
              <w:left w:val="nil"/>
              <w:bottom w:val="single" w:sz="4" w:space="0" w:color="auto"/>
              <w:right w:val="single" w:sz="4" w:space="0" w:color="auto"/>
            </w:tcBorders>
            <w:shd w:val="clear" w:color="auto" w:fill="C6EFCE"/>
            <w:noWrap/>
          </w:tcPr>
          <w:p w14:paraId="3916C822" w14:textId="77777777" w:rsidR="008B0F39" w:rsidRPr="008A0F8A" w:rsidRDefault="008B0F39" w:rsidP="0066695B">
            <w:pPr>
              <w:spacing w:after="0" w:line="240" w:lineRule="auto"/>
              <w:rPr>
                <w:rFonts w:ascii="Times New Roman" w:hAnsi="Times New Roman" w:cs="Times New Roman"/>
                <w:noProof/>
                <w:color w:val="006100"/>
                <w:sz w:val="20"/>
                <w:szCs w:val="20"/>
                <w:lang w:val="ru-RU"/>
              </w:rPr>
            </w:pPr>
          </w:p>
        </w:tc>
        <w:tc>
          <w:tcPr>
            <w:tcW w:w="1151" w:type="dxa"/>
            <w:tcBorders>
              <w:top w:val="single" w:sz="4" w:space="0" w:color="auto"/>
              <w:left w:val="nil"/>
              <w:bottom w:val="single" w:sz="4" w:space="0" w:color="auto"/>
              <w:right w:val="single" w:sz="4" w:space="0" w:color="auto"/>
            </w:tcBorders>
            <w:shd w:val="clear" w:color="auto" w:fill="C6EFCE"/>
            <w:noWrap/>
          </w:tcPr>
          <w:p w14:paraId="3A08A1E9" w14:textId="77777777" w:rsidR="008B0F39" w:rsidRPr="00491076" w:rsidRDefault="008B0F39" w:rsidP="0066695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Тонове CO2</w:t>
            </w:r>
          </w:p>
        </w:tc>
        <w:tc>
          <w:tcPr>
            <w:tcW w:w="1275" w:type="dxa"/>
            <w:tcBorders>
              <w:top w:val="single" w:sz="4" w:space="0" w:color="auto"/>
              <w:left w:val="single" w:sz="4" w:space="0" w:color="auto"/>
              <w:bottom w:val="single" w:sz="4" w:space="0" w:color="auto"/>
              <w:right w:val="single" w:sz="4" w:space="0" w:color="auto"/>
            </w:tcBorders>
            <w:shd w:val="clear" w:color="auto" w:fill="C6EFCE"/>
            <w:noWrap/>
          </w:tcPr>
          <w:p w14:paraId="78382E26" w14:textId="77777777" w:rsidR="008B0F39" w:rsidRPr="000D4630" w:rsidRDefault="008B0F39" w:rsidP="0066695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19438000</w:t>
            </w:r>
          </w:p>
        </w:tc>
        <w:tc>
          <w:tcPr>
            <w:tcW w:w="1134" w:type="dxa"/>
            <w:tcBorders>
              <w:top w:val="single" w:sz="4" w:space="0" w:color="auto"/>
              <w:left w:val="single" w:sz="4" w:space="0" w:color="auto"/>
              <w:bottom w:val="single" w:sz="4" w:space="0" w:color="auto"/>
              <w:right w:val="single" w:sz="4" w:space="0" w:color="auto"/>
            </w:tcBorders>
            <w:shd w:val="clear" w:color="auto" w:fill="C6EFCE"/>
            <w:noWrap/>
          </w:tcPr>
          <w:p w14:paraId="1E4F6516" w14:textId="77777777" w:rsidR="008B0F39" w:rsidRPr="00491076" w:rsidRDefault="008B0F39" w:rsidP="0066695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17883000</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14:paraId="66E5CB71" w14:textId="77777777" w:rsidR="008B0F39" w:rsidRPr="00491076" w:rsidRDefault="008B0F39" w:rsidP="0066695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T2</w:t>
            </w:r>
          </w:p>
        </w:tc>
        <w:tc>
          <w:tcPr>
            <w:tcW w:w="709" w:type="dxa"/>
            <w:tcBorders>
              <w:top w:val="single" w:sz="4" w:space="0" w:color="auto"/>
              <w:left w:val="single" w:sz="4" w:space="0" w:color="auto"/>
              <w:bottom w:val="single" w:sz="4" w:space="0" w:color="auto"/>
              <w:right w:val="single" w:sz="4" w:space="0" w:color="auto"/>
            </w:tcBorders>
            <w:shd w:val="clear" w:color="auto" w:fill="C6EFCE"/>
            <w:noWrap/>
          </w:tcPr>
          <w:p w14:paraId="18BA8EB6" w14:textId="77777777" w:rsidR="008B0F39" w:rsidRPr="00491076" w:rsidRDefault="008B0F39" w:rsidP="0066695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2023</w:t>
            </w:r>
          </w:p>
        </w:tc>
        <w:tc>
          <w:tcPr>
            <w:tcW w:w="3772" w:type="dxa"/>
            <w:tcBorders>
              <w:top w:val="single" w:sz="4" w:space="0" w:color="auto"/>
              <w:left w:val="single" w:sz="4" w:space="0" w:color="auto"/>
              <w:bottom w:val="single" w:sz="4" w:space="0" w:color="auto"/>
              <w:right w:val="single" w:sz="4" w:space="0" w:color="auto"/>
            </w:tcBorders>
            <w:shd w:val="clear" w:color="auto" w:fill="C6EFCE"/>
            <w:noWrap/>
          </w:tcPr>
          <w:p w14:paraId="48019BBB" w14:textId="77777777" w:rsidR="008B0F39" w:rsidRPr="00491076" w:rsidRDefault="008B0F39" w:rsidP="0066695B">
            <w:pPr>
              <w:rPr>
                <w:rFonts w:ascii="Times New Roman" w:hAnsi="Times New Roman" w:cs="Times New Roman"/>
                <w:noProof/>
                <w:color w:val="006100"/>
                <w:sz w:val="20"/>
                <w:szCs w:val="20"/>
              </w:rPr>
            </w:pPr>
            <w:r>
              <w:rPr>
                <w:rFonts w:ascii="Times New Roman" w:hAnsi="Times New Roman"/>
                <w:noProof/>
                <w:color w:val="006100"/>
                <w:sz w:val="20"/>
              </w:rPr>
              <w:t xml:space="preserve">Емисиите на въглероден диоксид през 2022 г. от всички електроцентрали, работещи на въглища, трябва да намалеят с най-малко 1 555 000 тона в сравнение с нивата от 2019 г. </w:t>
            </w:r>
          </w:p>
          <w:p w14:paraId="00C036F2" w14:textId="5A98A5A4" w:rsidR="008B0F39" w:rsidRPr="00491076" w:rsidRDefault="008B0F39" w:rsidP="0066695B">
            <w:pPr>
              <w:rPr>
                <w:rFonts w:ascii="Times New Roman" w:hAnsi="Times New Roman" w:cs="Times New Roman"/>
                <w:noProof/>
                <w:color w:val="006100"/>
                <w:sz w:val="20"/>
                <w:szCs w:val="20"/>
              </w:rPr>
            </w:pPr>
            <w:r>
              <w:rPr>
                <w:rFonts w:ascii="Times New Roman" w:hAnsi="Times New Roman"/>
                <w:noProof/>
                <w:color w:val="006100"/>
                <w:sz w:val="20"/>
              </w:rPr>
              <w:t xml:space="preserve">Намалението се изчислява, като се използват годишните верифицирани емисии на въглероден диоксид от производството на електроенергия с въглища, както са записани в Регистъра на емисиите на ЕС (СТЕ на ЕС), управляван от Европейската комисия. </w:t>
            </w:r>
          </w:p>
          <w:p w14:paraId="69088581" w14:textId="77777777" w:rsidR="008B0F39" w:rsidRPr="00491076" w:rsidRDefault="008B0F39" w:rsidP="0066695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Намалението се измерва чрез разликата между сумата на всички верифицирани емисии на въглероден диоксид за 2022 г. от енергийните източници, работещи на въглища, и сумата от всички верифицирани емисии на въглероден диоксид за 2019 г. от производството на електроенергия с въглища.</w:t>
            </w:r>
          </w:p>
        </w:tc>
      </w:tr>
      <w:tr w:rsidR="008E16C0" w:rsidRPr="005241FC" w14:paraId="1F8C799D" w14:textId="77777777" w:rsidTr="008E16C0">
        <w:trPr>
          <w:trHeight w:val="309"/>
        </w:trPr>
        <w:tc>
          <w:tcPr>
            <w:tcW w:w="681" w:type="dxa"/>
            <w:tcBorders>
              <w:top w:val="single" w:sz="4" w:space="0" w:color="auto"/>
              <w:left w:val="single" w:sz="4" w:space="0" w:color="auto"/>
              <w:bottom w:val="single" w:sz="4" w:space="0" w:color="auto"/>
              <w:right w:val="single" w:sz="4" w:space="0" w:color="auto"/>
            </w:tcBorders>
            <w:shd w:val="clear" w:color="auto" w:fill="C6EFCE"/>
            <w:noWrap/>
          </w:tcPr>
          <w:p w14:paraId="3B290709" w14:textId="03803713" w:rsidR="008B0F39" w:rsidRPr="00491076" w:rsidRDefault="00042E61"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118</w:t>
            </w:r>
          </w:p>
        </w:tc>
        <w:tc>
          <w:tcPr>
            <w:tcW w:w="1837" w:type="dxa"/>
            <w:tcBorders>
              <w:top w:val="single" w:sz="4" w:space="0" w:color="auto"/>
              <w:left w:val="nil"/>
              <w:bottom w:val="single" w:sz="4" w:space="0" w:color="auto"/>
              <w:right w:val="single" w:sz="4" w:space="0" w:color="auto"/>
            </w:tcBorders>
            <w:shd w:val="clear" w:color="auto" w:fill="C6EFCE"/>
            <w:noWrap/>
          </w:tcPr>
          <w:p w14:paraId="2FFFA7C8" w14:textId="58AD1BE8" w:rsidR="008B0F39" w:rsidRPr="00491076" w:rsidRDefault="0073609B" w:rsidP="0066695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C4.R10: Декарбонизация на енергийния сектор</w:t>
            </w:r>
          </w:p>
        </w:tc>
        <w:tc>
          <w:tcPr>
            <w:tcW w:w="1131" w:type="dxa"/>
            <w:tcBorders>
              <w:top w:val="single" w:sz="4" w:space="0" w:color="auto"/>
              <w:left w:val="nil"/>
              <w:bottom w:val="single" w:sz="4" w:space="0" w:color="auto"/>
              <w:right w:val="single" w:sz="4" w:space="0" w:color="auto"/>
            </w:tcBorders>
            <w:shd w:val="clear" w:color="auto" w:fill="C6EFCE"/>
            <w:noWrap/>
          </w:tcPr>
          <w:p w14:paraId="7DD47061" w14:textId="77777777" w:rsidR="008B0F39" w:rsidRPr="00491076" w:rsidRDefault="008B0F39" w:rsidP="0066695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Цел</w:t>
            </w:r>
          </w:p>
        </w:tc>
        <w:tc>
          <w:tcPr>
            <w:tcW w:w="1696" w:type="dxa"/>
            <w:tcBorders>
              <w:top w:val="single" w:sz="4" w:space="0" w:color="auto"/>
              <w:left w:val="nil"/>
              <w:bottom w:val="single" w:sz="4" w:space="0" w:color="auto"/>
              <w:right w:val="single" w:sz="4" w:space="0" w:color="auto"/>
            </w:tcBorders>
            <w:shd w:val="clear" w:color="auto" w:fill="C6EFCE"/>
            <w:noWrap/>
          </w:tcPr>
          <w:p w14:paraId="59E83970" w14:textId="77777777" w:rsidR="008B0F39" w:rsidRPr="00491076" w:rsidRDefault="008B0F39" w:rsidP="0066695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Намаляване на емисиите на въглероден диоксид от енергийния сектор (IІ)</w:t>
            </w:r>
          </w:p>
        </w:tc>
        <w:tc>
          <w:tcPr>
            <w:tcW w:w="1414" w:type="dxa"/>
            <w:tcBorders>
              <w:top w:val="single" w:sz="4" w:space="0" w:color="auto"/>
              <w:left w:val="nil"/>
              <w:bottom w:val="single" w:sz="4" w:space="0" w:color="auto"/>
              <w:right w:val="single" w:sz="4" w:space="0" w:color="auto"/>
            </w:tcBorders>
            <w:shd w:val="clear" w:color="auto" w:fill="C6EFCE"/>
            <w:noWrap/>
          </w:tcPr>
          <w:p w14:paraId="3CF075CC" w14:textId="77777777" w:rsidR="008B0F39" w:rsidRPr="008A0F8A" w:rsidRDefault="008B0F39" w:rsidP="0066695B">
            <w:pPr>
              <w:spacing w:after="0" w:line="240" w:lineRule="auto"/>
              <w:rPr>
                <w:rFonts w:ascii="Times New Roman" w:hAnsi="Times New Roman" w:cs="Times New Roman"/>
                <w:noProof/>
                <w:color w:val="006100"/>
                <w:sz w:val="20"/>
                <w:szCs w:val="20"/>
                <w:lang w:val="ru-RU"/>
              </w:rPr>
            </w:pPr>
          </w:p>
        </w:tc>
        <w:tc>
          <w:tcPr>
            <w:tcW w:w="1151" w:type="dxa"/>
            <w:tcBorders>
              <w:top w:val="single" w:sz="4" w:space="0" w:color="auto"/>
              <w:left w:val="nil"/>
              <w:bottom w:val="single" w:sz="4" w:space="0" w:color="auto"/>
              <w:right w:val="single" w:sz="4" w:space="0" w:color="auto"/>
            </w:tcBorders>
            <w:shd w:val="clear" w:color="auto" w:fill="C6EFCE"/>
            <w:noWrap/>
          </w:tcPr>
          <w:p w14:paraId="6FE3F377" w14:textId="77777777" w:rsidR="008B0F39" w:rsidRPr="00491076" w:rsidRDefault="008B0F39" w:rsidP="0066695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Тонове CO2</w:t>
            </w:r>
          </w:p>
        </w:tc>
        <w:tc>
          <w:tcPr>
            <w:tcW w:w="1275" w:type="dxa"/>
            <w:tcBorders>
              <w:top w:val="single" w:sz="4" w:space="0" w:color="auto"/>
              <w:left w:val="nil"/>
              <w:bottom w:val="single" w:sz="4" w:space="0" w:color="auto"/>
              <w:right w:val="single" w:sz="4" w:space="0" w:color="auto"/>
            </w:tcBorders>
            <w:shd w:val="clear" w:color="auto" w:fill="C6EFCE"/>
            <w:noWrap/>
          </w:tcPr>
          <w:p w14:paraId="17000CB3" w14:textId="77777777" w:rsidR="008B0F39" w:rsidRPr="00491076" w:rsidRDefault="008B0F39" w:rsidP="0066695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19438000</w:t>
            </w:r>
          </w:p>
        </w:tc>
        <w:tc>
          <w:tcPr>
            <w:tcW w:w="1134" w:type="dxa"/>
            <w:tcBorders>
              <w:top w:val="single" w:sz="4" w:space="0" w:color="auto"/>
              <w:left w:val="single" w:sz="4" w:space="0" w:color="auto"/>
              <w:bottom w:val="single" w:sz="4" w:space="0" w:color="auto"/>
              <w:right w:val="single" w:sz="4" w:space="0" w:color="auto"/>
            </w:tcBorders>
            <w:shd w:val="clear" w:color="auto" w:fill="C6EFCE"/>
            <w:noWrap/>
          </w:tcPr>
          <w:p w14:paraId="77F3FB3A" w14:textId="77777777" w:rsidR="008B0F39" w:rsidRPr="00491076" w:rsidRDefault="008B0F39" w:rsidP="0066695B">
            <w:pPr>
              <w:rPr>
                <w:rFonts w:ascii="Times New Roman" w:hAnsi="Times New Roman" w:cs="Times New Roman"/>
                <w:noProof/>
                <w:color w:val="006100"/>
                <w:sz w:val="20"/>
                <w:szCs w:val="20"/>
              </w:rPr>
            </w:pPr>
            <w:r>
              <w:rPr>
                <w:rFonts w:ascii="Times New Roman" w:hAnsi="Times New Roman"/>
                <w:noProof/>
                <w:color w:val="006100"/>
                <w:sz w:val="20"/>
              </w:rPr>
              <w:t xml:space="preserve">15939000 </w:t>
            </w:r>
          </w:p>
          <w:p w14:paraId="65F9D5DB" w14:textId="77777777" w:rsidR="008B0F39" w:rsidRPr="00491076" w:rsidRDefault="008B0F39" w:rsidP="0066695B">
            <w:pPr>
              <w:spacing w:after="0" w:line="240" w:lineRule="auto"/>
              <w:rPr>
                <w:rFonts w:ascii="Times New Roman" w:hAnsi="Times New Roman" w:cs="Times New Roman"/>
                <w:noProof/>
                <w:color w:val="006100"/>
                <w:sz w:val="20"/>
                <w:szCs w:val="20"/>
                <w:lang w:val="en-GB"/>
              </w:rPr>
            </w:pP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14:paraId="3C8E2114" w14:textId="77777777" w:rsidR="008B0F39" w:rsidRPr="00491076" w:rsidRDefault="008B0F39" w:rsidP="0066695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T2</w:t>
            </w:r>
          </w:p>
        </w:tc>
        <w:tc>
          <w:tcPr>
            <w:tcW w:w="709" w:type="dxa"/>
            <w:tcBorders>
              <w:top w:val="single" w:sz="4" w:space="0" w:color="auto"/>
              <w:left w:val="single" w:sz="4" w:space="0" w:color="auto"/>
              <w:bottom w:val="single" w:sz="4" w:space="0" w:color="auto"/>
              <w:right w:val="single" w:sz="4" w:space="0" w:color="auto"/>
            </w:tcBorders>
            <w:shd w:val="clear" w:color="auto" w:fill="C6EFCE"/>
            <w:noWrap/>
          </w:tcPr>
          <w:p w14:paraId="3397D309" w14:textId="77777777" w:rsidR="008B0F39" w:rsidRPr="00491076" w:rsidRDefault="008B0F39" w:rsidP="0066695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2024</w:t>
            </w:r>
          </w:p>
        </w:tc>
        <w:tc>
          <w:tcPr>
            <w:tcW w:w="3772" w:type="dxa"/>
            <w:tcBorders>
              <w:top w:val="single" w:sz="4" w:space="0" w:color="auto"/>
              <w:left w:val="single" w:sz="4" w:space="0" w:color="auto"/>
              <w:bottom w:val="single" w:sz="4" w:space="0" w:color="auto"/>
              <w:right w:val="single" w:sz="4" w:space="0" w:color="auto"/>
            </w:tcBorders>
            <w:shd w:val="clear" w:color="auto" w:fill="C6EFCE"/>
            <w:noWrap/>
          </w:tcPr>
          <w:p w14:paraId="6287C0C8" w14:textId="77777777" w:rsidR="008B0F39" w:rsidRPr="00491076" w:rsidRDefault="008B0F39" w:rsidP="0066695B">
            <w:pPr>
              <w:rPr>
                <w:rFonts w:ascii="Times New Roman" w:hAnsi="Times New Roman" w:cs="Times New Roman"/>
                <w:noProof/>
                <w:color w:val="006100"/>
                <w:sz w:val="20"/>
                <w:szCs w:val="20"/>
              </w:rPr>
            </w:pPr>
            <w:r>
              <w:rPr>
                <w:rFonts w:ascii="Times New Roman" w:hAnsi="Times New Roman"/>
                <w:noProof/>
                <w:color w:val="006100"/>
                <w:sz w:val="20"/>
              </w:rPr>
              <w:t>Емисиите на въглероден диоксид през 2023 г. от всички електроцентрали, работещи на въглища, трябва да намалеят с най-малко 3 499 000 тона в сравнение с нивата от 2019 г.</w:t>
            </w:r>
          </w:p>
          <w:p w14:paraId="0CFBA18F" w14:textId="2D1775CC" w:rsidR="008B0F39" w:rsidRPr="00491076" w:rsidRDefault="008B0F39" w:rsidP="0066695B">
            <w:pPr>
              <w:rPr>
                <w:rFonts w:ascii="Times New Roman" w:hAnsi="Times New Roman" w:cs="Times New Roman"/>
                <w:noProof/>
                <w:color w:val="006100"/>
                <w:sz w:val="20"/>
                <w:szCs w:val="20"/>
              </w:rPr>
            </w:pPr>
            <w:r>
              <w:rPr>
                <w:rFonts w:ascii="Times New Roman" w:hAnsi="Times New Roman"/>
                <w:noProof/>
                <w:color w:val="006100"/>
                <w:sz w:val="20"/>
              </w:rPr>
              <w:t xml:space="preserve">Намалението се изчислява, като се използват годишните верифицирани емисии на въглероден диоксид от производството на електроенергия с въглища, както са записани в Регистъра на емисиите на ЕС (СТЕ на ЕС), управляван от Европейската комисия. </w:t>
            </w:r>
          </w:p>
          <w:p w14:paraId="2C71A9D1" w14:textId="77777777" w:rsidR="008B0F39" w:rsidRPr="00491076" w:rsidRDefault="008B0F39" w:rsidP="0066695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Намалението се измерва чрез разликата между сумата на всички верифицирани емисии на въглероден диоксид за 2023 г. от енергийните източници, работещи на въглища, и сумата от всички верифицирани емисии на въглероден диоксид за 2019 г. от производството на електроенергия с въглища.</w:t>
            </w:r>
          </w:p>
        </w:tc>
      </w:tr>
      <w:tr w:rsidR="008E16C0" w:rsidRPr="005241FC" w14:paraId="7AD79E55" w14:textId="77777777" w:rsidTr="008E16C0">
        <w:trPr>
          <w:trHeight w:val="309"/>
        </w:trPr>
        <w:tc>
          <w:tcPr>
            <w:tcW w:w="681" w:type="dxa"/>
            <w:tcBorders>
              <w:top w:val="single" w:sz="4" w:space="0" w:color="auto"/>
              <w:left w:val="single" w:sz="4" w:space="0" w:color="auto"/>
              <w:bottom w:val="single" w:sz="4" w:space="0" w:color="auto"/>
              <w:right w:val="single" w:sz="4" w:space="0" w:color="auto"/>
            </w:tcBorders>
            <w:shd w:val="clear" w:color="auto" w:fill="C6EFCE"/>
            <w:noWrap/>
          </w:tcPr>
          <w:p w14:paraId="6B2248D6" w14:textId="10BCA7FC" w:rsidR="008B0F39" w:rsidRPr="00491076" w:rsidRDefault="00042E61"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119</w:t>
            </w:r>
          </w:p>
        </w:tc>
        <w:tc>
          <w:tcPr>
            <w:tcW w:w="1837" w:type="dxa"/>
            <w:tcBorders>
              <w:top w:val="single" w:sz="4" w:space="0" w:color="auto"/>
              <w:left w:val="nil"/>
              <w:bottom w:val="single" w:sz="4" w:space="0" w:color="auto"/>
              <w:right w:val="single" w:sz="4" w:space="0" w:color="auto"/>
            </w:tcBorders>
            <w:shd w:val="clear" w:color="auto" w:fill="C6EFCE"/>
            <w:noWrap/>
          </w:tcPr>
          <w:p w14:paraId="1D511A8D" w14:textId="04146CF9" w:rsidR="008B0F39" w:rsidRPr="00491076" w:rsidRDefault="0073609B" w:rsidP="0066695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C4.R10: Декарбонизация на енергийния сектор</w:t>
            </w:r>
          </w:p>
        </w:tc>
        <w:tc>
          <w:tcPr>
            <w:tcW w:w="1131" w:type="dxa"/>
            <w:tcBorders>
              <w:top w:val="single" w:sz="4" w:space="0" w:color="auto"/>
              <w:left w:val="nil"/>
              <w:bottom w:val="single" w:sz="4" w:space="0" w:color="auto"/>
              <w:right w:val="single" w:sz="4" w:space="0" w:color="auto"/>
            </w:tcBorders>
            <w:shd w:val="clear" w:color="auto" w:fill="C6EFCE"/>
            <w:noWrap/>
          </w:tcPr>
          <w:p w14:paraId="4B7460C6" w14:textId="538CCA1E" w:rsidR="008B0F39" w:rsidRPr="00491076" w:rsidRDefault="00410658" w:rsidP="0066695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Цел</w:t>
            </w:r>
          </w:p>
        </w:tc>
        <w:tc>
          <w:tcPr>
            <w:tcW w:w="1696" w:type="dxa"/>
            <w:tcBorders>
              <w:top w:val="single" w:sz="4" w:space="0" w:color="auto"/>
              <w:left w:val="nil"/>
              <w:bottom w:val="single" w:sz="4" w:space="0" w:color="auto"/>
              <w:right w:val="single" w:sz="4" w:space="0" w:color="auto"/>
            </w:tcBorders>
            <w:shd w:val="clear" w:color="auto" w:fill="C6EFCE"/>
            <w:noWrap/>
          </w:tcPr>
          <w:p w14:paraId="4AB165B2" w14:textId="77777777" w:rsidR="008B0F39" w:rsidRPr="00491076" w:rsidRDefault="008B0F39" w:rsidP="0066695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Намаляване на емисиите на въглероден диоксид от енергийния сектор (III)</w:t>
            </w:r>
          </w:p>
        </w:tc>
        <w:tc>
          <w:tcPr>
            <w:tcW w:w="1414" w:type="dxa"/>
            <w:tcBorders>
              <w:top w:val="single" w:sz="4" w:space="0" w:color="auto"/>
              <w:left w:val="nil"/>
              <w:bottom w:val="single" w:sz="4" w:space="0" w:color="auto"/>
              <w:right w:val="single" w:sz="4" w:space="0" w:color="auto"/>
            </w:tcBorders>
            <w:shd w:val="clear" w:color="auto" w:fill="C6EFCE"/>
            <w:noWrap/>
          </w:tcPr>
          <w:p w14:paraId="1297285F" w14:textId="77777777" w:rsidR="008B0F39" w:rsidRPr="008A0F8A" w:rsidRDefault="008B0F39" w:rsidP="0066695B">
            <w:pPr>
              <w:spacing w:after="0" w:line="240" w:lineRule="auto"/>
              <w:rPr>
                <w:rFonts w:ascii="Times New Roman" w:hAnsi="Times New Roman" w:cs="Times New Roman"/>
                <w:noProof/>
                <w:color w:val="006100"/>
                <w:sz w:val="20"/>
                <w:szCs w:val="20"/>
                <w:lang w:val="ru-RU"/>
              </w:rPr>
            </w:pPr>
          </w:p>
        </w:tc>
        <w:tc>
          <w:tcPr>
            <w:tcW w:w="1151" w:type="dxa"/>
            <w:tcBorders>
              <w:top w:val="single" w:sz="4" w:space="0" w:color="auto"/>
              <w:left w:val="nil"/>
              <w:bottom w:val="single" w:sz="4" w:space="0" w:color="auto"/>
              <w:right w:val="single" w:sz="4" w:space="0" w:color="auto"/>
            </w:tcBorders>
            <w:shd w:val="clear" w:color="auto" w:fill="C6EFCE"/>
            <w:noWrap/>
          </w:tcPr>
          <w:p w14:paraId="4BF47BA9" w14:textId="7C9B5D31" w:rsidR="008B0F39" w:rsidRPr="00491076" w:rsidRDefault="006A5D8A" w:rsidP="0066695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Тонове CO2</w:t>
            </w:r>
          </w:p>
        </w:tc>
        <w:tc>
          <w:tcPr>
            <w:tcW w:w="1275" w:type="dxa"/>
            <w:tcBorders>
              <w:top w:val="single" w:sz="4" w:space="0" w:color="auto"/>
              <w:left w:val="nil"/>
              <w:bottom w:val="single" w:sz="4" w:space="0" w:color="auto"/>
              <w:right w:val="single" w:sz="4" w:space="0" w:color="auto"/>
            </w:tcBorders>
            <w:shd w:val="clear" w:color="auto" w:fill="C6EFCE"/>
            <w:noWrap/>
          </w:tcPr>
          <w:p w14:paraId="7D38D03E" w14:textId="77777777" w:rsidR="008B0F39" w:rsidRPr="00491076" w:rsidRDefault="008B0F39" w:rsidP="0066695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19438000</w:t>
            </w:r>
          </w:p>
        </w:tc>
        <w:tc>
          <w:tcPr>
            <w:tcW w:w="1134" w:type="dxa"/>
            <w:tcBorders>
              <w:top w:val="single" w:sz="4" w:space="0" w:color="auto"/>
              <w:left w:val="single" w:sz="4" w:space="0" w:color="auto"/>
              <w:bottom w:val="single" w:sz="4" w:space="0" w:color="auto"/>
              <w:right w:val="single" w:sz="4" w:space="0" w:color="auto"/>
            </w:tcBorders>
            <w:shd w:val="clear" w:color="auto" w:fill="C6EFCE"/>
            <w:noWrap/>
          </w:tcPr>
          <w:p w14:paraId="0799D02A" w14:textId="77777777" w:rsidR="008B0F39" w:rsidRPr="00491076" w:rsidRDefault="008B0F39" w:rsidP="0066695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13607000</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14:paraId="32D395A1" w14:textId="77777777" w:rsidR="008B0F39" w:rsidRPr="00491076" w:rsidRDefault="008B0F39" w:rsidP="0066695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T2</w:t>
            </w:r>
          </w:p>
        </w:tc>
        <w:tc>
          <w:tcPr>
            <w:tcW w:w="709" w:type="dxa"/>
            <w:tcBorders>
              <w:top w:val="single" w:sz="4" w:space="0" w:color="auto"/>
              <w:left w:val="single" w:sz="4" w:space="0" w:color="auto"/>
              <w:bottom w:val="single" w:sz="4" w:space="0" w:color="auto"/>
              <w:right w:val="single" w:sz="4" w:space="0" w:color="auto"/>
            </w:tcBorders>
            <w:shd w:val="clear" w:color="auto" w:fill="C6EFCE"/>
            <w:noWrap/>
          </w:tcPr>
          <w:p w14:paraId="7A200811" w14:textId="77777777" w:rsidR="008B0F39" w:rsidRPr="00491076" w:rsidRDefault="008B0F39" w:rsidP="0066695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2025</w:t>
            </w:r>
          </w:p>
        </w:tc>
        <w:tc>
          <w:tcPr>
            <w:tcW w:w="3772" w:type="dxa"/>
            <w:tcBorders>
              <w:top w:val="single" w:sz="4" w:space="0" w:color="auto"/>
              <w:left w:val="single" w:sz="4" w:space="0" w:color="auto"/>
              <w:bottom w:val="single" w:sz="4" w:space="0" w:color="auto"/>
              <w:right w:val="single" w:sz="4" w:space="0" w:color="auto"/>
            </w:tcBorders>
            <w:shd w:val="clear" w:color="auto" w:fill="C6EFCE"/>
            <w:noWrap/>
          </w:tcPr>
          <w:p w14:paraId="39E2786D" w14:textId="77777777" w:rsidR="008B0F39" w:rsidRPr="00491076" w:rsidRDefault="008B0F39" w:rsidP="0066695B">
            <w:pPr>
              <w:rPr>
                <w:rFonts w:ascii="Times New Roman" w:hAnsi="Times New Roman" w:cs="Times New Roman"/>
                <w:noProof/>
                <w:color w:val="006100"/>
                <w:sz w:val="20"/>
                <w:szCs w:val="20"/>
              </w:rPr>
            </w:pPr>
            <w:r>
              <w:rPr>
                <w:rFonts w:ascii="Times New Roman" w:hAnsi="Times New Roman"/>
                <w:noProof/>
                <w:color w:val="006100"/>
                <w:sz w:val="20"/>
              </w:rPr>
              <w:t>Емисиите на въглероден диоксид през 2024 г. от всички електроцентрали, работещи на въглища, трябва да намалеят с най-малко 5 831 000 тона в сравнение с нивата от 2019 г.</w:t>
            </w:r>
          </w:p>
          <w:p w14:paraId="4032B800" w14:textId="780ED831" w:rsidR="008B0F39" w:rsidRPr="00491076" w:rsidRDefault="008B0F39" w:rsidP="0066695B">
            <w:pPr>
              <w:rPr>
                <w:rFonts w:ascii="Times New Roman" w:hAnsi="Times New Roman" w:cs="Times New Roman"/>
                <w:noProof/>
                <w:color w:val="006100"/>
                <w:sz w:val="20"/>
                <w:szCs w:val="20"/>
              </w:rPr>
            </w:pPr>
            <w:r>
              <w:rPr>
                <w:rFonts w:ascii="Times New Roman" w:hAnsi="Times New Roman"/>
                <w:noProof/>
                <w:color w:val="006100"/>
                <w:sz w:val="20"/>
              </w:rPr>
              <w:t xml:space="preserve">Намалението се изчислява, като се използват годишните верифицирани емисии на въглероден диоксид от производството на електроенергия с въглища, както са записани в Регистъра на емисиите на ЕС (СТЕ на ЕС), управляван от Европейската комисия. </w:t>
            </w:r>
          </w:p>
          <w:p w14:paraId="74C9BFFF" w14:textId="77777777" w:rsidR="008B0F39" w:rsidRPr="00491076" w:rsidRDefault="008B0F39" w:rsidP="0066695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Намалението се измерва чрез разликата между сумата на всички верифицирани емисии на въглероден диоксид за 2024 г. от енергийните източници, работещи на въглища, и сумата от всички верифицирани емисии на въглероден диоксид за 2019 г. от производството на електроенергия с въглища.</w:t>
            </w:r>
          </w:p>
        </w:tc>
      </w:tr>
      <w:tr w:rsidR="008E16C0" w:rsidRPr="005241FC" w14:paraId="26AC71DD" w14:textId="77777777" w:rsidTr="008E16C0">
        <w:trPr>
          <w:trHeight w:val="309"/>
        </w:trPr>
        <w:tc>
          <w:tcPr>
            <w:tcW w:w="681" w:type="dxa"/>
            <w:tcBorders>
              <w:top w:val="single" w:sz="4" w:space="0" w:color="auto"/>
              <w:left w:val="single" w:sz="4" w:space="0" w:color="auto"/>
              <w:bottom w:val="single" w:sz="4" w:space="0" w:color="auto"/>
              <w:right w:val="single" w:sz="4" w:space="0" w:color="auto"/>
            </w:tcBorders>
            <w:shd w:val="clear" w:color="auto" w:fill="C6EFCE"/>
            <w:noWrap/>
          </w:tcPr>
          <w:p w14:paraId="3CE21718" w14:textId="599874AD" w:rsidR="008B0F39" w:rsidRPr="00491076" w:rsidRDefault="00042E61"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120</w:t>
            </w:r>
          </w:p>
        </w:tc>
        <w:tc>
          <w:tcPr>
            <w:tcW w:w="1837" w:type="dxa"/>
            <w:tcBorders>
              <w:top w:val="single" w:sz="4" w:space="0" w:color="auto"/>
              <w:left w:val="nil"/>
              <w:bottom w:val="single" w:sz="4" w:space="0" w:color="auto"/>
              <w:right w:val="single" w:sz="4" w:space="0" w:color="auto"/>
            </w:tcBorders>
            <w:shd w:val="clear" w:color="auto" w:fill="C6EFCE"/>
            <w:noWrap/>
          </w:tcPr>
          <w:p w14:paraId="489CC311" w14:textId="1EA55032" w:rsidR="008B0F39" w:rsidRPr="00491076" w:rsidRDefault="008B0F39" w:rsidP="0073609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C4.R10: Декарбонизация на енергийния сектор</w:t>
            </w:r>
          </w:p>
        </w:tc>
        <w:tc>
          <w:tcPr>
            <w:tcW w:w="1131" w:type="dxa"/>
            <w:tcBorders>
              <w:top w:val="single" w:sz="4" w:space="0" w:color="auto"/>
              <w:left w:val="nil"/>
              <w:bottom w:val="single" w:sz="4" w:space="0" w:color="auto"/>
              <w:right w:val="single" w:sz="4" w:space="0" w:color="auto"/>
            </w:tcBorders>
            <w:shd w:val="clear" w:color="auto" w:fill="C6EFCE"/>
            <w:noWrap/>
          </w:tcPr>
          <w:p w14:paraId="40F44ABA" w14:textId="6D3E915D" w:rsidR="008B0F39" w:rsidRPr="00491076" w:rsidRDefault="00410658" w:rsidP="0066695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Цел</w:t>
            </w:r>
          </w:p>
        </w:tc>
        <w:tc>
          <w:tcPr>
            <w:tcW w:w="1696" w:type="dxa"/>
            <w:tcBorders>
              <w:top w:val="single" w:sz="4" w:space="0" w:color="auto"/>
              <w:left w:val="nil"/>
              <w:bottom w:val="single" w:sz="4" w:space="0" w:color="auto"/>
              <w:right w:val="single" w:sz="4" w:space="0" w:color="auto"/>
            </w:tcBorders>
            <w:shd w:val="clear" w:color="auto" w:fill="C6EFCE"/>
            <w:noWrap/>
          </w:tcPr>
          <w:p w14:paraId="76E39C75" w14:textId="77777777" w:rsidR="008B0F39" w:rsidRPr="00491076" w:rsidRDefault="008B0F39" w:rsidP="0066695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Намаляване на емисиите на въглероден диоксид от енергийния сектор (IV)</w:t>
            </w:r>
          </w:p>
        </w:tc>
        <w:tc>
          <w:tcPr>
            <w:tcW w:w="1414" w:type="dxa"/>
            <w:tcBorders>
              <w:top w:val="single" w:sz="4" w:space="0" w:color="auto"/>
              <w:left w:val="nil"/>
              <w:bottom w:val="single" w:sz="4" w:space="0" w:color="auto"/>
              <w:right w:val="single" w:sz="4" w:space="0" w:color="auto"/>
            </w:tcBorders>
            <w:shd w:val="clear" w:color="auto" w:fill="C6EFCE"/>
            <w:noWrap/>
          </w:tcPr>
          <w:p w14:paraId="14F61B02" w14:textId="77777777" w:rsidR="008B0F39" w:rsidRPr="008A0F8A" w:rsidRDefault="008B0F39" w:rsidP="0066695B">
            <w:pPr>
              <w:spacing w:after="0" w:line="240" w:lineRule="auto"/>
              <w:rPr>
                <w:rFonts w:ascii="Times New Roman" w:hAnsi="Times New Roman" w:cs="Times New Roman"/>
                <w:noProof/>
                <w:color w:val="006100"/>
                <w:sz w:val="20"/>
                <w:szCs w:val="20"/>
                <w:lang w:val="ru-RU"/>
              </w:rPr>
            </w:pPr>
          </w:p>
        </w:tc>
        <w:tc>
          <w:tcPr>
            <w:tcW w:w="1151" w:type="dxa"/>
            <w:tcBorders>
              <w:top w:val="single" w:sz="4" w:space="0" w:color="auto"/>
              <w:left w:val="nil"/>
              <w:bottom w:val="single" w:sz="4" w:space="0" w:color="auto"/>
              <w:right w:val="single" w:sz="4" w:space="0" w:color="auto"/>
            </w:tcBorders>
            <w:shd w:val="clear" w:color="auto" w:fill="C6EFCE"/>
            <w:noWrap/>
          </w:tcPr>
          <w:p w14:paraId="4076E1C9" w14:textId="32E2B2EF" w:rsidR="008B0F39" w:rsidRPr="00491076" w:rsidRDefault="006A5D8A" w:rsidP="0066695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Тонове CO2</w:t>
            </w:r>
          </w:p>
        </w:tc>
        <w:tc>
          <w:tcPr>
            <w:tcW w:w="1275" w:type="dxa"/>
            <w:tcBorders>
              <w:top w:val="single" w:sz="4" w:space="0" w:color="auto"/>
              <w:left w:val="nil"/>
              <w:bottom w:val="single" w:sz="4" w:space="0" w:color="auto"/>
              <w:right w:val="single" w:sz="4" w:space="0" w:color="auto"/>
            </w:tcBorders>
            <w:shd w:val="clear" w:color="auto" w:fill="C6EFCE"/>
            <w:noWrap/>
          </w:tcPr>
          <w:p w14:paraId="2BC0AF7E" w14:textId="77777777" w:rsidR="008B0F39" w:rsidRPr="00491076" w:rsidRDefault="008B0F39" w:rsidP="0066695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19438000</w:t>
            </w:r>
          </w:p>
        </w:tc>
        <w:tc>
          <w:tcPr>
            <w:tcW w:w="1134" w:type="dxa"/>
            <w:tcBorders>
              <w:top w:val="single" w:sz="4" w:space="0" w:color="auto"/>
              <w:left w:val="single" w:sz="4" w:space="0" w:color="auto"/>
              <w:bottom w:val="single" w:sz="4" w:space="0" w:color="auto"/>
              <w:right w:val="single" w:sz="4" w:space="0" w:color="auto"/>
            </w:tcBorders>
            <w:shd w:val="clear" w:color="auto" w:fill="C6EFCE"/>
            <w:noWrap/>
          </w:tcPr>
          <w:p w14:paraId="1A193597" w14:textId="77777777" w:rsidR="008B0F39" w:rsidRPr="00491076" w:rsidRDefault="008B0F39" w:rsidP="0066695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10983000</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14:paraId="542999E7" w14:textId="77777777" w:rsidR="008B0F39" w:rsidRPr="00491076" w:rsidRDefault="008B0F39" w:rsidP="0066695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T2 </w:t>
            </w:r>
          </w:p>
        </w:tc>
        <w:tc>
          <w:tcPr>
            <w:tcW w:w="709" w:type="dxa"/>
            <w:tcBorders>
              <w:top w:val="single" w:sz="4" w:space="0" w:color="auto"/>
              <w:left w:val="single" w:sz="4" w:space="0" w:color="auto"/>
              <w:bottom w:val="single" w:sz="4" w:space="0" w:color="auto"/>
              <w:right w:val="single" w:sz="4" w:space="0" w:color="auto"/>
            </w:tcBorders>
            <w:shd w:val="clear" w:color="auto" w:fill="C6EFCE"/>
            <w:noWrap/>
          </w:tcPr>
          <w:p w14:paraId="5B0207A9" w14:textId="77777777" w:rsidR="008B0F39" w:rsidRPr="00491076" w:rsidRDefault="008B0F39" w:rsidP="0066695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2026</w:t>
            </w:r>
          </w:p>
        </w:tc>
        <w:tc>
          <w:tcPr>
            <w:tcW w:w="3772" w:type="dxa"/>
            <w:tcBorders>
              <w:top w:val="single" w:sz="4" w:space="0" w:color="auto"/>
              <w:left w:val="single" w:sz="4" w:space="0" w:color="auto"/>
              <w:bottom w:val="single" w:sz="4" w:space="0" w:color="auto"/>
              <w:right w:val="single" w:sz="4" w:space="0" w:color="auto"/>
            </w:tcBorders>
            <w:shd w:val="clear" w:color="auto" w:fill="C6EFCE"/>
            <w:noWrap/>
          </w:tcPr>
          <w:p w14:paraId="77ECC8F1" w14:textId="77777777" w:rsidR="008B0F39" w:rsidRPr="00491076" w:rsidRDefault="008B0F39" w:rsidP="0066695B">
            <w:pPr>
              <w:rPr>
                <w:rFonts w:ascii="Times New Roman" w:hAnsi="Times New Roman" w:cs="Times New Roman"/>
                <w:noProof/>
                <w:color w:val="006100"/>
                <w:sz w:val="20"/>
                <w:szCs w:val="20"/>
              </w:rPr>
            </w:pPr>
            <w:r>
              <w:rPr>
                <w:rFonts w:ascii="Times New Roman" w:hAnsi="Times New Roman"/>
                <w:noProof/>
                <w:color w:val="006100"/>
                <w:sz w:val="20"/>
              </w:rPr>
              <w:t xml:space="preserve">Емисиите на въглероден диоксид през 2025 г. от всички електроцентрали, работещи на въглища, трябва да намалеят с най-малко 8 455 000 тона в сравнение с нивата от 2019 г. </w:t>
            </w:r>
          </w:p>
          <w:p w14:paraId="51E5AAA1" w14:textId="6C88BBC5" w:rsidR="008B0F39" w:rsidRPr="00491076" w:rsidRDefault="008B0F39" w:rsidP="0066695B">
            <w:pPr>
              <w:rPr>
                <w:rFonts w:ascii="Times New Roman" w:hAnsi="Times New Roman" w:cs="Times New Roman"/>
                <w:noProof/>
                <w:color w:val="006100"/>
                <w:sz w:val="20"/>
                <w:szCs w:val="20"/>
              </w:rPr>
            </w:pPr>
            <w:r>
              <w:rPr>
                <w:rFonts w:ascii="Times New Roman" w:hAnsi="Times New Roman"/>
                <w:noProof/>
                <w:color w:val="006100"/>
                <w:sz w:val="20"/>
              </w:rPr>
              <w:t xml:space="preserve">Намалението се изчислява, като се използват годишните верифицирани емисии на въглероден диоксид от производството на електроенергия с въглища, както са записани в Регистъра на емисиите на ЕС (СТЕ на ЕС), управляван от Европейската комисия. </w:t>
            </w:r>
          </w:p>
          <w:p w14:paraId="72CFBDAC" w14:textId="77777777" w:rsidR="008B0F39" w:rsidRPr="00491076" w:rsidRDefault="008B0F39" w:rsidP="0066695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Намалението се измерва чрез разликата между сумата на всички верифицирани емисии на въглероден диоксид за 2025 г. от енергийните източници, работещи на въглища, и сумата от всички верифицирани емисии на въглероден диоксид за 2019 г. от производството на електроенергия с въглища.</w:t>
            </w:r>
          </w:p>
        </w:tc>
      </w:tr>
      <w:tr w:rsidR="008E16C0" w:rsidRPr="005241FC" w14:paraId="6F2147C8" w14:textId="77777777" w:rsidTr="008E16C0">
        <w:trPr>
          <w:trHeight w:val="309"/>
        </w:trPr>
        <w:tc>
          <w:tcPr>
            <w:tcW w:w="681" w:type="dxa"/>
            <w:tcBorders>
              <w:top w:val="single" w:sz="4" w:space="0" w:color="auto"/>
              <w:left w:val="single" w:sz="4" w:space="0" w:color="auto"/>
              <w:bottom w:val="single" w:sz="4" w:space="0" w:color="auto"/>
              <w:right w:val="single" w:sz="4" w:space="0" w:color="auto"/>
            </w:tcBorders>
            <w:shd w:val="clear" w:color="auto" w:fill="C6EFCE"/>
            <w:noWrap/>
          </w:tcPr>
          <w:p w14:paraId="4098E0DC" w14:textId="3697BE8F" w:rsidR="008B0F39" w:rsidRPr="00491076" w:rsidRDefault="00042E61"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121</w:t>
            </w:r>
          </w:p>
        </w:tc>
        <w:tc>
          <w:tcPr>
            <w:tcW w:w="1837" w:type="dxa"/>
            <w:tcBorders>
              <w:top w:val="single" w:sz="4" w:space="0" w:color="auto"/>
              <w:left w:val="nil"/>
              <w:bottom w:val="single" w:sz="4" w:space="0" w:color="auto"/>
              <w:right w:val="single" w:sz="4" w:space="0" w:color="auto"/>
            </w:tcBorders>
            <w:shd w:val="clear" w:color="auto" w:fill="C6EFCE"/>
            <w:noWrap/>
          </w:tcPr>
          <w:p w14:paraId="43F72CE4" w14:textId="4702496F" w:rsidR="008B0F39" w:rsidRPr="00491076" w:rsidRDefault="0073609B" w:rsidP="0066695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C4.R10: Декарбонизация на енергийния сектор</w:t>
            </w:r>
          </w:p>
        </w:tc>
        <w:tc>
          <w:tcPr>
            <w:tcW w:w="1131" w:type="dxa"/>
            <w:tcBorders>
              <w:top w:val="single" w:sz="4" w:space="0" w:color="auto"/>
              <w:left w:val="nil"/>
              <w:bottom w:val="single" w:sz="4" w:space="0" w:color="auto"/>
              <w:right w:val="single" w:sz="4" w:space="0" w:color="auto"/>
            </w:tcBorders>
            <w:shd w:val="clear" w:color="auto" w:fill="C6EFCE"/>
            <w:noWrap/>
          </w:tcPr>
          <w:p w14:paraId="7C81FFEA" w14:textId="77777777" w:rsidR="008B0F39" w:rsidRPr="00491076" w:rsidRDefault="008B0F39" w:rsidP="0066695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Ключов етап</w:t>
            </w:r>
          </w:p>
        </w:tc>
        <w:tc>
          <w:tcPr>
            <w:tcW w:w="1696" w:type="dxa"/>
            <w:tcBorders>
              <w:top w:val="single" w:sz="4" w:space="0" w:color="auto"/>
              <w:left w:val="nil"/>
              <w:bottom w:val="single" w:sz="4" w:space="0" w:color="auto"/>
              <w:right w:val="single" w:sz="4" w:space="0" w:color="auto"/>
            </w:tcBorders>
            <w:shd w:val="clear" w:color="auto" w:fill="C6EFCE"/>
            <w:noWrap/>
          </w:tcPr>
          <w:p w14:paraId="2243B317" w14:textId="77777777" w:rsidR="008B0F39" w:rsidRPr="00491076" w:rsidRDefault="008B0F39" w:rsidP="0066695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Влизане в сила на решението на регулатора, което налага годишни пределни стойности на въглеродните емисии за отделните инсталации</w:t>
            </w:r>
          </w:p>
        </w:tc>
        <w:tc>
          <w:tcPr>
            <w:tcW w:w="1414" w:type="dxa"/>
            <w:tcBorders>
              <w:top w:val="single" w:sz="4" w:space="0" w:color="auto"/>
              <w:left w:val="nil"/>
              <w:bottom w:val="single" w:sz="4" w:space="0" w:color="auto"/>
              <w:right w:val="single" w:sz="4" w:space="0" w:color="auto"/>
            </w:tcBorders>
            <w:shd w:val="clear" w:color="auto" w:fill="C6EFCE"/>
            <w:noWrap/>
          </w:tcPr>
          <w:p w14:paraId="1A3A2F3B" w14:textId="77777777" w:rsidR="008B0F39" w:rsidRPr="00491076" w:rsidRDefault="008B0F39" w:rsidP="0066695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Разпоредба в решението, указваща влизането в сила</w:t>
            </w:r>
          </w:p>
        </w:tc>
        <w:tc>
          <w:tcPr>
            <w:tcW w:w="1151" w:type="dxa"/>
            <w:tcBorders>
              <w:top w:val="single" w:sz="4" w:space="0" w:color="auto"/>
              <w:left w:val="nil"/>
              <w:bottom w:val="single" w:sz="4" w:space="0" w:color="auto"/>
              <w:right w:val="single" w:sz="4" w:space="0" w:color="auto"/>
            </w:tcBorders>
            <w:shd w:val="clear" w:color="auto" w:fill="C6EFCE"/>
            <w:noWrap/>
          </w:tcPr>
          <w:p w14:paraId="4532B4EA" w14:textId="77777777" w:rsidR="008B0F39" w:rsidRPr="008A0F8A" w:rsidRDefault="008B0F39" w:rsidP="0066695B">
            <w:pPr>
              <w:spacing w:after="0" w:line="240" w:lineRule="auto"/>
              <w:rPr>
                <w:rFonts w:ascii="Times New Roman" w:hAnsi="Times New Roman" w:cs="Times New Roman"/>
                <w:noProof/>
                <w:color w:val="006100"/>
                <w:sz w:val="20"/>
                <w:szCs w:val="20"/>
                <w:lang w:val="ru-RU"/>
              </w:rPr>
            </w:pPr>
          </w:p>
        </w:tc>
        <w:tc>
          <w:tcPr>
            <w:tcW w:w="1275" w:type="dxa"/>
            <w:tcBorders>
              <w:top w:val="single" w:sz="4" w:space="0" w:color="auto"/>
              <w:left w:val="single" w:sz="4" w:space="0" w:color="auto"/>
              <w:bottom w:val="single" w:sz="4" w:space="0" w:color="auto"/>
              <w:right w:val="single" w:sz="4" w:space="0" w:color="auto"/>
            </w:tcBorders>
            <w:shd w:val="clear" w:color="auto" w:fill="C6EFCE"/>
            <w:noWrap/>
          </w:tcPr>
          <w:p w14:paraId="45533D9D" w14:textId="77777777" w:rsidR="008B0F39" w:rsidRPr="008A0F8A" w:rsidRDefault="008B0F39" w:rsidP="0066695B">
            <w:pPr>
              <w:spacing w:after="0" w:line="240" w:lineRule="auto"/>
              <w:rPr>
                <w:rFonts w:ascii="Times New Roman" w:hAnsi="Times New Roman" w:cs="Times New Roman"/>
                <w:noProof/>
                <w:color w:val="006100"/>
                <w:sz w:val="20"/>
                <w:szCs w:val="20"/>
                <w:lang w:val="ru-RU"/>
              </w:rPr>
            </w:pPr>
          </w:p>
        </w:tc>
        <w:tc>
          <w:tcPr>
            <w:tcW w:w="1134" w:type="dxa"/>
            <w:tcBorders>
              <w:top w:val="single" w:sz="4" w:space="0" w:color="auto"/>
              <w:left w:val="single" w:sz="4" w:space="0" w:color="auto"/>
              <w:bottom w:val="single" w:sz="4" w:space="0" w:color="auto"/>
              <w:right w:val="single" w:sz="4" w:space="0" w:color="auto"/>
            </w:tcBorders>
            <w:shd w:val="clear" w:color="auto" w:fill="C6EFCE"/>
            <w:noWrap/>
          </w:tcPr>
          <w:p w14:paraId="256F8A40" w14:textId="77777777" w:rsidR="008B0F39" w:rsidRPr="008A0F8A" w:rsidRDefault="008B0F39" w:rsidP="0066695B">
            <w:pPr>
              <w:spacing w:after="0" w:line="240" w:lineRule="auto"/>
              <w:rPr>
                <w:rFonts w:ascii="Times New Roman" w:hAnsi="Times New Roman" w:cs="Times New Roman"/>
                <w:noProof/>
                <w:color w:val="006100"/>
                <w:sz w:val="20"/>
                <w:szCs w:val="20"/>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14:paraId="43178766" w14:textId="77777777" w:rsidR="008B0F39" w:rsidRPr="00491076" w:rsidRDefault="008B0F39" w:rsidP="0066695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T2</w:t>
            </w:r>
          </w:p>
        </w:tc>
        <w:tc>
          <w:tcPr>
            <w:tcW w:w="709" w:type="dxa"/>
            <w:tcBorders>
              <w:top w:val="single" w:sz="4" w:space="0" w:color="auto"/>
              <w:left w:val="single" w:sz="4" w:space="0" w:color="auto"/>
              <w:bottom w:val="single" w:sz="4" w:space="0" w:color="auto"/>
              <w:right w:val="single" w:sz="4" w:space="0" w:color="auto"/>
            </w:tcBorders>
            <w:shd w:val="clear" w:color="auto" w:fill="C6EFCE"/>
            <w:noWrap/>
          </w:tcPr>
          <w:p w14:paraId="78B23F33" w14:textId="77777777" w:rsidR="008B0F39" w:rsidRPr="00491076" w:rsidRDefault="008B0F39" w:rsidP="0066695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2025</w:t>
            </w:r>
          </w:p>
        </w:tc>
        <w:tc>
          <w:tcPr>
            <w:tcW w:w="3772" w:type="dxa"/>
            <w:tcBorders>
              <w:top w:val="single" w:sz="4" w:space="0" w:color="auto"/>
              <w:left w:val="single" w:sz="4" w:space="0" w:color="auto"/>
              <w:bottom w:val="single" w:sz="4" w:space="0" w:color="auto"/>
              <w:right w:val="single" w:sz="4" w:space="0" w:color="auto"/>
            </w:tcBorders>
            <w:shd w:val="clear" w:color="auto" w:fill="C6EFCE"/>
            <w:noWrap/>
          </w:tcPr>
          <w:p w14:paraId="692F7DFD" w14:textId="77777777" w:rsidR="008B0F39" w:rsidRPr="00491076" w:rsidRDefault="008B0F39" w:rsidP="0066695B">
            <w:pPr>
              <w:rPr>
                <w:rFonts w:ascii="Times New Roman" w:hAnsi="Times New Roman" w:cs="Times New Roman"/>
                <w:noProof/>
                <w:color w:val="006100"/>
                <w:sz w:val="20"/>
                <w:szCs w:val="20"/>
              </w:rPr>
            </w:pPr>
            <w:r>
              <w:rPr>
                <w:rFonts w:ascii="Times New Roman" w:hAnsi="Times New Roman"/>
                <w:noProof/>
                <w:color w:val="006100"/>
                <w:sz w:val="20"/>
              </w:rPr>
              <w:t xml:space="preserve">Регулаторът изчислява годишната горна граница на емисиите за електроцентралите, работещи на въглища, които продължават да са в експлоатация, и уведомява операторите. </w:t>
            </w:r>
          </w:p>
          <w:p w14:paraId="5E01337E" w14:textId="54986B07" w:rsidR="008B0F39" w:rsidRPr="00491076" w:rsidRDefault="00392366" w:rsidP="0066695B">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 </w:t>
            </w:r>
          </w:p>
        </w:tc>
      </w:tr>
      <w:tr w:rsidR="008E16C0" w:rsidRPr="005241FC" w14:paraId="3DB02897" w14:textId="77777777" w:rsidTr="008E16C0">
        <w:trPr>
          <w:trHeight w:val="309"/>
        </w:trPr>
        <w:tc>
          <w:tcPr>
            <w:tcW w:w="681" w:type="dxa"/>
            <w:tcBorders>
              <w:top w:val="single" w:sz="4" w:space="0" w:color="auto"/>
              <w:left w:val="single" w:sz="4" w:space="0" w:color="auto"/>
              <w:bottom w:val="single" w:sz="4" w:space="0" w:color="auto"/>
              <w:right w:val="single" w:sz="4" w:space="0" w:color="auto"/>
            </w:tcBorders>
            <w:shd w:val="clear" w:color="auto" w:fill="C6EFCE"/>
            <w:noWrap/>
          </w:tcPr>
          <w:p w14:paraId="6ACBA9C8" w14:textId="4F0C66A8" w:rsidR="008B0F39" w:rsidRPr="00A11B9B" w:rsidRDefault="00042E61" w:rsidP="0066695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122</w:t>
            </w:r>
          </w:p>
        </w:tc>
        <w:tc>
          <w:tcPr>
            <w:tcW w:w="1837" w:type="dxa"/>
            <w:tcBorders>
              <w:top w:val="single" w:sz="4" w:space="0" w:color="auto"/>
              <w:left w:val="nil"/>
              <w:bottom w:val="single" w:sz="4" w:space="0" w:color="auto"/>
              <w:right w:val="single" w:sz="4" w:space="0" w:color="auto"/>
            </w:tcBorders>
            <w:shd w:val="clear" w:color="auto" w:fill="C6EFCE"/>
            <w:noWrap/>
          </w:tcPr>
          <w:p w14:paraId="59645819" w14:textId="77777777" w:rsidR="003B02A1" w:rsidRPr="00660257" w:rsidRDefault="2E9FA6DF" w:rsidP="6453093D">
            <w:pPr>
              <w:spacing w:after="0" w:line="240" w:lineRule="auto"/>
              <w:rPr>
                <w:rFonts w:ascii="Times New Roman" w:hAnsi="Times New Roman" w:cs="Times New Roman"/>
                <w:noProof/>
                <w:color w:val="006100"/>
                <w:sz w:val="20"/>
                <w:szCs w:val="20"/>
                <w:highlight w:val="yellow"/>
              </w:rPr>
            </w:pPr>
            <w:r>
              <w:rPr>
                <w:rFonts w:ascii="Times New Roman" w:hAnsi="Times New Roman"/>
                <w:noProof/>
                <w:color w:val="006100"/>
                <w:sz w:val="20"/>
              </w:rPr>
              <w:t xml:space="preserve">C4.I8: </w:t>
            </w:r>
          </w:p>
          <w:p w14:paraId="223D4DAD" w14:textId="39C51932" w:rsidR="008B0F39" w:rsidRPr="00660257" w:rsidRDefault="2E9FA6DF" w:rsidP="6453093D">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Национална инфраструктура за съхранение на електроенергия от възобновяеми източници (RESTORE)</w:t>
            </w:r>
          </w:p>
        </w:tc>
        <w:tc>
          <w:tcPr>
            <w:tcW w:w="1131" w:type="dxa"/>
            <w:tcBorders>
              <w:top w:val="single" w:sz="4" w:space="0" w:color="auto"/>
              <w:left w:val="nil"/>
              <w:bottom w:val="single" w:sz="4" w:space="0" w:color="auto"/>
              <w:right w:val="single" w:sz="4" w:space="0" w:color="auto"/>
            </w:tcBorders>
            <w:shd w:val="clear" w:color="auto" w:fill="C6EFCE"/>
            <w:noWrap/>
          </w:tcPr>
          <w:p w14:paraId="24D9AE9B" w14:textId="77777777" w:rsidR="008B0F39" w:rsidRPr="00660257" w:rsidRDefault="008B0F39" w:rsidP="6453093D">
            <w:pPr>
              <w:spacing w:after="0" w:line="240" w:lineRule="auto"/>
              <w:rPr>
                <w:rFonts w:ascii="Times New Roman" w:hAnsi="Times New Roman" w:cs="Times New Roman"/>
                <w:noProof/>
                <w:color w:val="006100"/>
                <w:sz w:val="20"/>
                <w:szCs w:val="20"/>
                <w:highlight w:val="yellow"/>
              </w:rPr>
            </w:pPr>
            <w:r>
              <w:rPr>
                <w:rFonts w:ascii="Times New Roman" w:hAnsi="Times New Roman"/>
                <w:noProof/>
                <w:color w:val="006100"/>
                <w:sz w:val="20"/>
              </w:rPr>
              <w:t>Ключов етап</w:t>
            </w:r>
          </w:p>
        </w:tc>
        <w:tc>
          <w:tcPr>
            <w:tcW w:w="1696" w:type="dxa"/>
            <w:tcBorders>
              <w:top w:val="single" w:sz="4" w:space="0" w:color="auto"/>
              <w:left w:val="nil"/>
              <w:bottom w:val="single" w:sz="4" w:space="0" w:color="auto"/>
              <w:right w:val="single" w:sz="4" w:space="0" w:color="auto"/>
            </w:tcBorders>
            <w:shd w:val="clear" w:color="auto" w:fill="C6EFCE"/>
            <w:noWrap/>
          </w:tcPr>
          <w:p w14:paraId="4E0C3218" w14:textId="0C776C38" w:rsidR="008B0F39" w:rsidRPr="00660257" w:rsidRDefault="47BDAFE8" w:rsidP="6453093D">
            <w:pPr>
              <w:spacing w:after="0" w:line="240" w:lineRule="auto"/>
              <w:rPr>
                <w:rFonts w:ascii="Times New Roman" w:hAnsi="Times New Roman" w:cs="Times New Roman"/>
                <w:noProof/>
                <w:color w:val="006100"/>
                <w:sz w:val="20"/>
                <w:szCs w:val="20"/>
                <w:highlight w:val="yellow"/>
              </w:rPr>
            </w:pPr>
            <w:r>
              <w:rPr>
                <w:rFonts w:ascii="Times New Roman" w:hAnsi="Times New Roman"/>
                <w:noProof/>
                <w:color w:val="006100"/>
                <w:sz w:val="20"/>
              </w:rPr>
              <w:t>Подписване на договор(и) за доставка, инсталиране, свързване и въвеждане в експлоатация на съоръжения за акумулаторно съхранение на ниво мрежа с енергиен капацитет най-малко 3000 MWh).</w:t>
            </w:r>
          </w:p>
        </w:tc>
        <w:tc>
          <w:tcPr>
            <w:tcW w:w="1414" w:type="dxa"/>
            <w:tcBorders>
              <w:top w:val="single" w:sz="4" w:space="0" w:color="auto"/>
              <w:left w:val="nil"/>
              <w:bottom w:val="single" w:sz="4" w:space="0" w:color="auto"/>
              <w:right w:val="single" w:sz="4" w:space="0" w:color="auto"/>
            </w:tcBorders>
            <w:shd w:val="clear" w:color="auto" w:fill="C6EFCE"/>
            <w:noWrap/>
          </w:tcPr>
          <w:p w14:paraId="44EAAEFD" w14:textId="77777777" w:rsidR="008B0F39" w:rsidRPr="00660257" w:rsidRDefault="008B0F39" w:rsidP="6453093D">
            <w:pPr>
              <w:spacing w:after="0" w:line="240" w:lineRule="auto"/>
              <w:rPr>
                <w:rFonts w:ascii="Times New Roman" w:hAnsi="Times New Roman" w:cs="Times New Roman"/>
                <w:noProof/>
                <w:color w:val="006100"/>
                <w:sz w:val="20"/>
                <w:szCs w:val="20"/>
                <w:highlight w:val="yellow"/>
              </w:rPr>
            </w:pPr>
            <w:r>
              <w:rPr>
                <w:rFonts w:ascii="Times New Roman" w:hAnsi="Times New Roman"/>
                <w:noProof/>
                <w:color w:val="006100"/>
                <w:sz w:val="20"/>
              </w:rPr>
              <w:t>Подписване на договори</w:t>
            </w:r>
          </w:p>
        </w:tc>
        <w:tc>
          <w:tcPr>
            <w:tcW w:w="1151" w:type="dxa"/>
            <w:tcBorders>
              <w:top w:val="single" w:sz="4" w:space="0" w:color="auto"/>
              <w:left w:val="nil"/>
              <w:bottom w:val="single" w:sz="4" w:space="0" w:color="auto"/>
              <w:right w:val="single" w:sz="4" w:space="0" w:color="auto"/>
            </w:tcBorders>
            <w:shd w:val="clear" w:color="auto" w:fill="C6EFCE"/>
            <w:noWrap/>
          </w:tcPr>
          <w:p w14:paraId="7A480BCE" w14:textId="77777777" w:rsidR="008B0F39" w:rsidRPr="00660257" w:rsidRDefault="008B0F39" w:rsidP="6453093D">
            <w:pPr>
              <w:spacing w:after="0" w:line="240" w:lineRule="auto"/>
              <w:rPr>
                <w:rFonts w:ascii="Times New Roman" w:hAnsi="Times New Roman" w:cs="Times New Roman"/>
                <w:noProof/>
                <w:color w:val="006100"/>
                <w:sz w:val="20"/>
                <w:szCs w:val="20"/>
                <w:highlight w:val="yellow"/>
                <w:lang w:val="en-GB"/>
              </w:rPr>
            </w:pPr>
          </w:p>
        </w:tc>
        <w:tc>
          <w:tcPr>
            <w:tcW w:w="1275" w:type="dxa"/>
            <w:tcBorders>
              <w:top w:val="single" w:sz="4" w:space="0" w:color="auto"/>
              <w:left w:val="single" w:sz="4" w:space="0" w:color="auto"/>
              <w:bottom w:val="single" w:sz="4" w:space="0" w:color="auto"/>
              <w:right w:val="single" w:sz="4" w:space="0" w:color="auto"/>
            </w:tcBorders>
            <w:shd w:val="clear" w:color="auto" w:fill="C6EFCE"/>
            <w:noWrap/>
          </w:tcPr>
          <w:p w14:paraId="38F9CD41" w14:textId="77777777" w:rsidR="008B0F39" w:rsidRPr="00660257" w:rsidRDefault="008B0F39" w:rsidP="6453093D">
            <w:pPr>
              <w:spacing w:after="0" w:line="240" w:lineRule="auto"/>
              <w:rPr>
                <w:rFonts w:ascii="Times New Roman" w:hAnsi="Times New Roman" w:cs="Times New Roman"/>
                <w:noProof/>
                <w:color w:val="006100"/>
                <w:sz w:val="20"/>
                <w:szCs w:val="20"/>
                <w:highlight w:val="yellow"/>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C6EFCE"/>
            <w:noWrap/>
          </w:tcPr>
          <w:p w14:paraId="62441459" w14:textId="77777777" w:rsidR="008B0F39" w:rsidRPr="00660257" w:rsidRDefault="008B0F39" w:rsidP="6453093D">
            <w:pPr>
              <w:spacing w:after="0" w:line="240" w:lineRule="auto"/>
              <w:rPr>
                <w:rFonts w:ascii="Times New Roman" w:hAnsi="Times New Roman" w:cs="Times New Roman"/>
                <w:noProof/>
                <w:color w:val="006100"/>
                <w:sz w:val="20"/>
                <w:szCs w:val="20"/>
                <w:highlight w:val="yellow"/>
                <w:lang w:val="en-GB"/>
              </w:rPr>
            </w:pP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14:paraId="68CD7D16" w14:textId="43870762" w:rsidR="008B0F39" w:rsidRPr="00660257" w:rsidRDefault="005E5883" w:rsidP="6453093D">
            <w:pPr>
              <w:spacing w:after="0" w:line="240" w:lineRule="auto"/>
              <w:rPr>
                <w:rFonts w:ascii="Times New Roman" w:hAnsi="Times New Roman" w:cs="Times New Roman"/>
                <w:noProof/>
                <w:color w:val="006100"/>
                <w:sz w:val="20"/>
                <w:szCs w:val="20"/>
                <w:highlight w:val="yellow"/>
              </w:rPr>
            </w:pPr>
            <w:r>
              <w:rPr>
                <w:rFonts w:ascii="Times New Roman" w:hAnsi="Times New Roman"/>
                <w:noProof/>
                <w:color w:val="006100"/>
                <w:sz w:val="20"/>
              </w:rPr>
              <w:t>T2</w:t>
            </w:r>
          </w:p>
        </w:tc>
        <w:tc>
          <w:tcPr>
            <w:tcW w:w="709" w:type="dxa"/>
            <w:tcBorders>
              <w:top w:val="single" w:sz="4" w:space="0" w:color="auto"/>
              <w:left w:val="single" w:sz="4" w:space="0" w:color="auto"/>
              <w:bottom w:val="single" w:sz="4" w:space="0" w:color="auto"/>
              <w:right w:val="single" w:sz="4" w:space="0" w:color="auto"/>
            </w:tcBorders>
            <w:shd w:val="clear" w:color="auto" w:fill="C6EFCE"/>
            <w:noWrap/>
          </w:tcPr>
          <w:p w14:paraId="2E449E45" w14:textId="7E78FF8B" w:rsidR="008B0F39" w:rsidRPr="00660257" w:rsidRDefault="005E5883" w:rsidP="6453093D">
            <w:pPr>
              <w:spacing w:after="0" w:line="240" w:lineRule="auto"/>
              <w:rPr>
                <w:rFonts w:ascii="Times New Roman" w:hAnsi="Times New Roman" w:cs="Times New Roman"/>
                <w:noProof/>
                <w:color w:val="006100"/>
                <w:sz w:val="20"/>
                <w:szCs w:val="20"/>
                <w:highlight w:val="yellow"/>
              </w:rPr>
            </w:pPr>
            <w:r>
              <w:rPr>
                <w:rFonts w:ascii="Times New Roman" w:hAnsi="Times New Roman"/>
                <w:noProof/>
                <w:color w:val="006100"/>
                <w:sz w:val="20"/>
              </w:rPr>
              <w:t>2023</w:t>
            </w:r>
          </w:p>
        </w:tc>
        <w:tc>
          <w:tcPr>
            <w:tcW w:w="3772" w:type="dxa"/>
            <w:tcBorders>
              <w:top w:val="single" w:sz="4" w:space="0" w:color="auto"/>
              <w:left w:val="single" w:sz="4" w:space="0" w:color="auto"/>
              <w:bottom w:val="single" w:sz="4" w:space="0" w:color="auto"/>
              <w:right w:val="single" w:sz="4" w:space="0" w:color="auto"/>
            </w:tcBorders>
            <w:shd w:val="clear" w:color="auto" w:fill="C6EFCE"/>
            <w:noWrap/>
          </w:tcPr>
          <w:p w14:paraId="1960AF2E" w14:textId="34FA6104" w:rsidR="00F36EFC" w:rsidRPr="00660257" w:rsidRDefault="47BDAFE8" w:rsidP="6453093D">
            <w:pPr>
              <w:spacing w:after="0" w:line="240" w:lineRule="auto"/>
              <w:rPr>
                <w:rFonts w:ascii="Times New Roman" w:hAnsi="Times New Roman" w:cs="Times New Roman"/>
                <w:noProof/>
                <w:color w:val="006100"/>
                <w:sz w:val="20"/>
                <w:szCs w:val="20"/>
                <w:highlight w:val="yellow"/>
              </w:rPr>
            </w:pPr>
            <w:r>
              <w:rPr>
                <w:rFonts w:ascii="Times New Roman" w:hAnsi="Times New Roman"/>
                <w:noProof/>
                <w:color w:val="006100"/>
                <w:sz w:val="20"/>
              </w:rPr>
              <w:t xml:space="preserve">Подписване на договори за разработване на системи за акумулаторно съхранение на ниво мрежа с поне 3000 MWh енергиен капацитет след конкурентна тръжна процедура. </w:t>
            </w:r>
          </w:p>
          <w:p w14:paraId="539935EE" w14:textId="3A9B4050" w:rsidR="0089202C" w:rsidRPr="008A0F8A" w:rsidRDefault="0089202C" w:rsidP="6453093D">
            <w:pPr>
              <w:spacing w:after="0" w:line="240" w:lineRule="auto"/>
              <w:rPr>
                <w:rFonts w:ascii="Times New Roman" w:hAnsi="Times New Roman" w:cs="Times New Roman"/>
                <w:noProof/>
                <w:color w:val="006100"/>
                <w:sz w:val="20"/>
                <w:szCs w:val="20"/>
                <w:highlight w:val="yellow"/>
                <w:lang w:val="ru-RU"/>
              </w:rPr>
            </w:pPr>
          </w:p>
          <w:p w14:paraId="70FF02F8" w14:textId="5CBCDFAA" w:rsidR="0089202C" w:rsidRPr="00660257" w:rsidRDefault="0089202C" w:rsidP="6453093D">
            <w:pPr>
              <w:spacing w:after="0" w:line="240" w:lineRule="auto"/>
              <w:rPr>
                <w:rFonts w:ascii="Times New Roman" w:hAnsi="Times New Roman" w:cs="Times New Roman"/>
                <w:noProof/>
                <w:color w:val="006100"/>
                <w:sz w:val="20"/>
                <w:szCs w:val="20"/>
                <w:highlight w:val="yellow"/>
              </w:rPr>
            </w:pPr>
            <w:r>
              <w:rPr>
                <w:rFonts w:ascii="Times New Roman" w:hAnsi="Times New Roman"/>
                <w:noProof/>
                <w:color w:val="006100"/>
                <w:sz w:val="20"/>
              </w:rPr>
              <w:t>Тази тръжна процедура трябва да бъде открита, недискриминационна и да предвижда участието на всички заинтересовани предприятия.</w:t>
            </w:r>
          </w:p>
          <w:p w14:paraId="334AAC57" w14:textId="77777777" w:rsidR="00F36EFC" w:rsidRPr="008A0F8A" w:rsidRDefault="00F36EFC" w:rsidP="6453093D">
            <w:pPr>
              <w:spacing w:after="0" w:line="240" w:lineRule="auto"/>
              <w:rPr>
                <w:rFonts w:ascii="Times New Roman" w:hAnsi="Times New Roman" w:cs="Times New Roman"/>
                <w:noProof/>
                <w:color w:val="006100"/>
                <w:sz w:val="20"/>
                <w:szCs w:val="20"/>
                <w:highlight w:val="yellow"/>
                <w:lang w:val="ru-RU"/>
              </w:rPr>
            </w:pPr>
          </w:p>
          <w:p w14:paraId="1978786A" w14:textId="568726FA" w:rsidR="008B0F39" w:rsidRPr="00660257" w:rsidRDefault="008B0F39" w:rsidP="6453093D">
            <w:pPr>
              <w:spacing w:after="0" w:line="240" w:lineRule="auto"/>
              <w:rPr>
                <w:rFonts w:ascii="Times New Roman" w:hAnsi="Times New Roman" w:cs="Times New Roman"/>
                <w:noProof/>
                <w:color w:val="006100"/>
                <w:sz w:val="20"/>
                <w:szCs w:val="20"/>
                <w:highlight w:val="yellow"/>
              </w:rPr>
            </w:pPr>
            <w:r>
              <w:rPr>
                <w:rFonts w:ascii="Times New Roman" w:hAnsi="Times New Roman"/>
                <w:noProof/>
                <w:color w:val="006100"/>
                <w:sz w:val="20"/>
              </w:rPr>
              <w:t>Критериите за подбор осигуряват съответствие с техническите насоки за прилагането на принципа за „ненанасяне на значителни вреди“ (2021/C58/01).</w:t>
            </w:r>
          </w:p>
        </w:tc>
      </w:tr>
      <w:tr w:rsidR="008E16C0" w:rsidRPr="005241FC" w14:paraId="6BC2C70F" w14:textId="77777777" w:rsidTr="008E16C0">
        <w:trPr>
          <w:trHeight w:val="309"/>
        </w:trPr>
        <w:tc>
          <w:tcPr>
            <w:tcW w:w="681" w:type="dxa"/>
            <w:tcBorders>
              <w:top w:val="single" w:sz="4" w:space="0" w:color="auto"/>
              <w:left w:val="single" w:sz="4" w:space="0" w:color="auto"/>
              <w:bottom w:val="single" w:sz="4" w:space="0" w:color="auto"/>
              <w:right w:val="single" w:sz="4" w:space="0" w:color="auto"/>
            </w:tcBorders>
            <w:shd w:val="clear" w:color="auto" w:fill="C6EFCE"/>
            <w:noWrap/>
          </w:tcPr>
          <w:p w14:paraId="31ADFC76" w14:textId="4DF39375" w:rsidR="008B0F39" w:rsidRPr="00660257" w:rsidRDefault="00042E61" w:rsidP="6453093D">
            <w:pPr>
              <w:spacing w:after="0" w:line="240" w:lineRule="auto"/>
              <w:rPr>
                <w:rFonts w:ascii="Times New Roman" w:eastAsia="Times New Roman" w:hAnsi="Times New Roman" w:cs="Times New Roman"/>
                <w:noProof/>
                <w:color w:val="006100"/>
                <w:sz w:val="20"/>
                <w:szCs w:val="20"/>
                <w:highlight w:val="yellow"/>
              </w:rPr>
            </w:pPr>
            <w:r>
              <w:rPr>
                <w:rFonts w:ascii="Times New Roman" w:hAnsi="Times New Roman"/>
                <w:noProof/>
                <w:color w:val="006100"/>
                <w:sz w:val="20"/>
              </w:rPr>
              <w:t>125</w:t>
            </w:r>
          </w:p>
        </w:tc>
        <w:tc>
          <w:tcPr>
            <w:tcW w:w="1837" w:type="dxa"/>
            <w:tcBorders>
              <w:top w:val="single" w:sz="4" w:space="0" w:color="auto"/>
              <w:left w:val="nil"/>
              <w:bottom w:val="single" w:sz="4" w:space="0" w:color="auto"/>
              <w:right w:val="single" w:sz="4" w:space="0" w:color="auto"/>
            </w:tcBorders>
            <w:shd w:val="clear" w:color="auto" w:fill="C6EFCE"/>
            <w:noWrap/>
          </w:tcPr>
          <w:p w14:paraId="5A19F0F5" w14:textId="75FE5B62" w:rsidR="003B02A1" w:rsidRPr="00660257" w:rsidRDefault="008B0F39" w:rsidP="6453093D">
            <w:pPr>
              <w:spacing w:after="0" w:line="240" w:lineRule="auto"/>
              <w:rPr>
                <w:rFonts w:ascii="Times New Roman" w:hAnsi="Times New Roman" w:cs="Times New Roman"/>
                <w:noProof/>
                <w:color w:val="006100"/>
                <w:sz w:val="20"/>
                <w:szCs w:val="20"/>
                <w:highlight w:val="yellow"/>
              </w:rPr>
            </w:pPr>
            <w:r>
              <w:rPr>
                <w:rFonts w:ascii="Times New Roman" w:hAnsi="Times New Roman"/>
                <w:noProof/>
                <w:color w:val="006100"/>
                <w:sz w:val="20"/>
              </w:rPr>
              <w:t xml:space="preserve">C4.I8: </w:t>
            </w:r>
          </w:p>
          <w:p w14:paraId="7ABB147A" w14:textId="55716CAF" w:rsidR="008B0F39" w:rsidRPr="00660257" w:rsidRDefault="008B0F39" w:rsidP="6453093D">
            <w:pPr>
              <w:spacing w:after="0" w:line="240" w:lineRule="auto"/>
              <w:rPr>
                <w:rFonts w:ascii="Times New Roman" w:hAnsi="Times New Roman" w:cs="Times New Roman"/>
                <w:noProof/>
                <w:color w:val="006100"/>
                <w:sz w:val="20"/>
                <w:szCs w:val="20"/>
                <w:highlight w:val="yellow"/>
              </w:rPr>
            </w:pPr>
            <w:r>
              <w:rPr>
                <w:rFonts w:ascii="Times New Roman" w:hAnsi="Times New Roman"/>
                <w:noProof/>
                <w:color w:val="006100"/>
                <w:sz w:val="20"/>
              </w:rPr>
              <w:t>Национална инфраструктура за съхранение на електроенергия от възобновяеми източници (RESTORE)</w:t>
            </w:r>
          </w:p>
        </w:tc>
        <w:tc>
          <w:tcPr>
            <w:tcW w:w="1131" w:type="dxa"/>
            <w:tcBorders>
              <w:top w:val="single" w:sz="4" w:space="0" w:color="auto"/>
              <w:left w:val="nil"/>
              <w:bottom w:val="single" w:sz="4" w:space="0" w:color="auto"/>
              <w:right w:val="single" w:sz="4" w:space="0" w:color="auto"/>
            </w:tcBorders>
            <w:shd w:val="clear" w:color="auto" w:fill="C6EFCE"/>
            <w:noWrap/>
          </w:tcPr>
          <w:p w14:paraId="760D95D0" w14:textId="4402CD25" w:rsidR="008B0F39" w:rsidRPr="00660257" w:rsidRDefault="008B0F39" w:rsidP="6453093D">
            <w:pPr>
              <w:spacing w:after="0" w:line="240" w:lineRule="auto"/>
              <w:rPr>
                <w:rFonts w:ascii="Times New Roman" w:hAnsi="Times New Roman" w:cs="Times New Roman"/>
                <w:noProof/>
                <w:color w:val="006100"/>
                <w:sz w:val="20"/>
                <w:szCs w:val="20"/>
                <w:highlight w:val="yellow"/>
              </w:rPr>
            </w:pPr>
            <w:r>
              <w:rPr>
                <w:rFonts w:ascii="Times New Roman" w:hAnsi="Times New Roman"/>
                <w:noProof/>
                <w:color w:val="006100"/>
                <w:sz w:val="20"/>
              </w:rPr>
              <w:t>Цел</w:t>
            </w:r>
          </w:p>
        </w:tc>
        <w:tc>
          <w:tcPr>
            <w:tcW w:w="1696" w:type="dxa"/>
            <w:tcBorders>
              <w:top w:val="single" w:sz="4" w:space="0" w:color="auto"/>
              <w:left w:val="nil"/>
              <w:bottom w:val="single" w:sz="4" w:space="0" w:color="auto"/>
              <w:right w:val="single" w:sz="4" w:space="0" w:color="auto"/>
            </w:tcBorders>
            <w:shd w:val="clear" w:color="auto" w:fill="C6EFCE"/>
            <w:noWrap/>
          </w:tcPr>
          <w:p w14:paraId="02393265" w14:textId="61652794" w:rsidR="008B0F39" w:rsidRPr="00660257" w:rsidRDefault="47BDAFE8" w:rsidP="6453093D">
            <w:pPr>
              <w:spacing w:after="0" w:line="240" w:lineRule="auto"/>
              <w:rPr>
                <w:rFonts w:ascii="Times New Roman" w:hAnsi="Times New Roman" w:cs="Times New Roman"/>
                <w:noProof/>
                <w:color w:val="006100"/>
                <w:sz w:val="20"/>
                <w:szCs w:val="20"/>
                <w:highlight w:val="yellow"/>
              </w:rPr>
            </w:pPr>
            <w:r>
              <w:rPr>
                <w:rFonts w:ascii="Times New Roman" w:hAnsi="Times New Roman"/>
                <w:noProof/>
                <w:color w:val="006100"/>
                <w:sz w:val="20"/>
              </w:rPr>
              <w:t>Съхранение на електроенергия (III)</w:t>
            </w:r>
          </w:p>
        </w:tc>
        <w:tc>
          <w:tcPr>
            <w:tcW w:w="1414" w:type="dxa"/>
            <w:tcBorders>
              <w:top w:val="single" w:sz="4" w:space="0" w:color="auto"/>
              <w:left w:val="nil"/>
              <w:bottom w:val="single" w:sz="4" w:space="0" w:color="auto"/>
              <w:right w:val="single" w:sz="4" w:space="0" w:color="auto"/>
            </w:tcBorders>
            <w:shd w:val="clear" w:color="auto" w:fill="C6EFCE"/>
            <w:noWrap/>
          </w:tcPr>
          <w:p w14:paraId="674EFA78" w14:textId="7CA1904D" w:rsidR="008B0F39" w:rsidRPr="00660257" w:rsidRDefault="008B0F39" w:rsidP="6453093D">
            <w:pPr>
              <w:spacing w:after="0" w:line="240" w:lineRule="auto"/>
              <w:rPr>
                <w:rFonts w:ascii="Times New Roman" w:hAnsi="Times New Roman" w:cs="Times New Roman"/>
                <w:noProof/>
                <w:color w:val="006100"/>
                <w:sz w:val="20"/>
                <w:szCs w:val="20"/>
                <w:highlight w:val="yellow"/>
                <w:lang w:val="en-GB"/>
              </w:rPr>
            </w:pPr>
          </w:p>
        </w:tc>
        <w:tc>
          <w:tcPr>
            <w:tcW w:w="1151" w:type="dxa"/>
            <w:tcBorders>
              <w:top w:val="single" w:sz="4" w:space="0" w:color="auto"/>
              <w:left w:val="nil"/>
              <w:bottom w:val="single" w:sz="4" w:space="0" w:color="auto"/>
              <w:right w:val="single" w:sz="4" w:space="0" w:color="auto"/>
            </w:tcBorders>
            <w:shd w:val="clear" w:color="auto" w:fill="C6EFCE"/>
            <w:noWrap/>
          </w:tcPr>
          <w:p w14:paraId="5BEBCD1F" w14:textId="5B30BB4A" w:rsidR="008B0F39" w:rsidRPr="00660257" w:rsidRDefault="3A7AB128" w:rsidP="6453093D">
            <w:pPr>
              <w:spacing w:after="0" w:line="240" w:lineRule="auto"/>
              <w:rPr>
                <w:rFonts w:ascii="Times New Roman" w:hAnsi="Times New Roman" w:cs="Times New Roman"/>
                <w:noProof/>
                <w:color w:val="006100"/>
                <w:sz w:val="20"/>
                <w:szCs w:val="20"/>
                <w:highlight w:val="yellow"/>
              </w:rPr>
            </w:pPr>
            <w:r>
              <w:rPr>
                <w:rFonts w:ascii="Times New Roman" w:hAnsi="Times New Roman"/>
                <w:noProof/>
                <w:color w:val="006100"/>
                <w:sz w:val="20"/>
              </w:rPr>
              <w:t xml:space="preserve">Мегаватчаса (MWh) </w:t>
            </w:r>
          </w:p>
        </w:tc>
        <w:tc>
          <w:tcPr>
            <w:tcW w:w="1275" w:type="dxa"/>
            <w:tcBorders>
              <w:top w:val="nil"/>
              <w:left w:val="single" w:sz="4" w:space="0" w:color="auto"/>
              <w:bottom w:val="single" w:sz="4" w:space="0" w:color="auto"/>
              <w:right w:val="single" w:sz="4" w:space="0" w:color="auto"/>
            </w:tcBorders>
            <w:shd w:val="clear" w:color="auto" w:fill="C6EFCE"/>
            <w:noWrap/>
          </w:tcPr>
          <w:p w14:paraId="002914F4" w14:textId="01272FD3" w:rsidR="008B0F39" w:rsidRPr="00660257" w:rsidRDefault="339640B3" w:rsidP="6453093D">
            <w:pPr>
              <w:spacing w:after="0" w:line="240" w:lineRule="auto"/>
              <w:rPr>
                <w:rFonts w:ascii="Times New Roman" w:hAnsi="Times New Roman" w:cs="Times New Roman"/>
                <w:noProof/>
                <w:color w:val="006100"/>
                <w:sz w:val="20"/>
                <w:szCs w:val="20"/>
                <w:highlight w:val="yellow"/>
              </w:rPr>
            </w:pPr>
            <w:r>
              <w:rPr>
                <w:rFonts w:ascii="Times New Roman" w:hAnsi="Times New Roman"/>
                <w:noProof/>
                <w:color w:val="006100"/>
                <w:sz w:val="20"/>
              </w:rPr>
              <w:t>0</w:t>
            </w:r>
          </w:p>
        </w:tc>
        <w:tc>
          <w:tcPr>
            <w:tcW w:w="1134" w:type="dxa"/>
            <w:tcBorders>
              <w:top w:val="nil"/>
              <w:left w:val="nil"/>
              <w:bottom w:val="single" w:sz="4" w:space="0" w:color="auto"/>
              <w:right w:val="single" w:sz="4" w:space="0" w:color="auto"/>
            </w:tcBorders>
            <w:shd w:val="clear" w:color="auto" w:fill="C6EFCE"/>
            <w:noWrap/>
          </w:tcPr>
          <w:p w14:paraId="43157D54" w14:textId="2BAC94B2" w:rsidR="008B0F39" w:rsidRPr="00660257" w:rsidRDefault="7999683B" w:rsidP="6453093D">
            <w:pPr>
              <w:spacing w:after="0" w:line="240" w:lineRule="auto"/>
              <w:rPr>
                <w:rFonts w:ascii="Times New Roman" w:hAnsi="Times New Roman" w:cs="Times New Roman"/>
                <w:noProof/>
                <w:color w:val="006100"/>
                <w:sz w:val="20"/>
                <w:szCs w:val="20"/>
                <w:highlight w:val="yellow"/>
              </w:rPr>
            </w:pPr>
            <w:r>
              <w:rPr>
                <w:rFonts w:ascii="Times New Roman" w:hAnsi="Times New Roman"/>
                <w:noProof/>
                <w:color w:val="006100"/>
                <w:sz w:val="20"/>
              </w:rPr>
              <w:t>3000</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14:paraId="2A75CB32" w14:textId="395E2E7B" w:rsidR="008B0F39" w:rsidRPr="00660257" w:rsidRDefault="008B0F39" w:rsidP="6453093D">
            <w:pPr>
              <w:spacing w:after="0" w:line="240" w:lineRule="auto"/>
              <w:rPr>
                <w:rFonts w:ascii="Times New Roman" w:hAnsi="Times New Roman" w:cs="Times New Roman"/>
                <w:noProof/>
                <w:color w:val="006100"/>
                <w:sz w:val="20"/>
                <w:szCs w:val="20"/>
                <w:highlight w:val="yellow"/>
              </w:rPr>
            </w:pPr>
            <w:r>
              <w:rPr>
                <w:rFonts w:ascii="Times New Roman" w:hAnsi="Times New Roman"/>
                <w:noProof/>
                <w:color w:val="006100"/>
                <w:sz w:val="20"/>
              </w:rPr>
              <w:t>T1</w:t>
            </w:r>
          </w:p>
        </w:tc>
        <w:tc>
          <w:tcPr>
            <w:tcW w:w="709" w:type="dxa"/>
            <w:tcBorders>
              <w:top w:val="single" w:sz="4" w:space="0" w:color="auto"/>
              <w:left w:val="single" w:sz="4" w:space="0" w:color="auto"/>
              <w:bottom w:val="single" w:sz="4" w:space="0" w:color="auto"/>
              <w:right w:val="single" w:sz="4" w:space="0" w:color="auto"/>
            </w:tcBorders>
            <w:shd w:val="clear" w:color="auto" w:fill="C6EFCE"/>
            <w:noWrap/>
          </w:tcPr>
          <w:p w14:paraId="04011090" w14:textId="3C6615FA" w:rsidR="008B0F39" w:rsidRPr="00660257" w:rsidRDefault="008B0F39" w:rsidP="6453093D">
            <w:pPr>
              <w:spacing w:after="0" w:line="240" w:lineRule="auto"/>
              <w:rPr>
                <w:rFonts w:ascii="Times New Roman" w:hAnsi="Times New Roman" w:cs="Times New Roman"/>
                <w:noProof/>
                <w:color w:val="006100"/>
                <w:sz w:val="20"/>
                <w:szCs w:val="20"/>
                <w:highlight w:val="yellow"/>
              </w:rPr>
            </w:pPr>
            <w:r>
              <w:rPr>
                <w:rFonts w:ascii="Times New Roman" w:hAnsi="Times New Roman"/>
                <w:noProof/>
                <w:color w:val="006100"/>
                <w:sz w:val="20"/>
              </w:rPr>
              <w:t>2026</w:t>
            </w:r>
          </w:p>
        </w:tc>
        <w:tc>
          <w:tcPr>
            <w:tcW w:w="3772" w:type="dxa"/>
            <w:tcBorders>
              <w:top w:val="single" w:sz="4" w:space="0" w:color="auto"/>
              <w:left w:val="single" w:sz="4" w:space="0" w:color="auto"/>
              <w:bottom w:val="single" w:sz="4" w:space="0" w:color="auto"/>
              <w:right w:val="single" w:sz="4" w:space="0" w:color="auto"/>
            </w:tcBorders>
            <w:shd w:val="clear" w:color="auto" w:fill="C6EFCE"/>
            <w:noWrap/>
          </w:tcPr>
          <w:p w14:paraId="37E51E28" w14:textId="275D4F01" w:rsidR="008B0F39" w:rsidRPr="00660257" w:rsidRDefault="47BDAFE8" w:rsidP="6453093D">
            <w:pPr>
              <w:rPr>
                <w:rFonts w:ascii="Times New Roman" w:hAnsi="Times New Roman" w:cs="Times New Roman"/>
                <w:noProof/>
                <w:color w:val="006100"/>
                <w:sz w:val="20"/>
                <w:szCs w:val="20"/>
                <w:highlight w:val="yellow"/>
              </w:rPr>
            </w:pPr>
            <w:r>
              <w:rPr>
                <w:rFonts w:ascii="Times New Roman" w:hAnsi="Times New Roman"/>
                <w:noProof/>
                <w:color w:val="006100"/>
                <w:sz w:val="20"/>
              </w:rPr>
              <w:t>Въвеждане в експлоатация на системи за съхранение на електроенергия с 3000 MWh използваем енергиен капацитет в съответствие с техническите насоки за прилагането на принципа за „ненанасяне на значителни вреди“ (2021/C58/01).</w:t>
            </w:r>
          </w:p>
        </w:tc>
      </w:tr>
    </w:tbl>
    <w:p w14:paraId="614A2A14" w14:textId="77777777" w:rsidR="008B0F39" w:rsidRPr="008A0F8A" w:rsidRDefault="008B0F39" w:rsidP="00B073DD">
      <w:pPr>
        <w:spacing w:before="120" w:after="120" w:line="240" w:lineRule="auto"/>
        <w:jc w:val="both"/>
        <w:rPr>
          <w:rFonts w:ascii="Times New Roman" w:eastAsia="Calibri" w:hAnsi="Times New Roman" w:cs="Times New Roman"/>
          <w:b/>
          <w:noProof/>
          <w:sz w:val="24"/>
          <w:szCs w:val="24"/>
          <w:lang w:val="ru-RU"/>
        </w:rPr>
        <w:sectPr w:rsidR="008B0F39" w:rsidRPr="008A0F8A" w:rsidSect="00B60432">
          <w:headerReference w:type="even" r:id="rId60"/>
          <w:headerReference w:type="default" r:id="rId61"/>
          <w:footerReference w:type="even" r:id="rId62"/>
          <w:footerReference w:type="default" r:id="rId63"/>
          <w:headerReference w:type="first" r:id="rId64"/>
          <w:footerReference w:type="first" r:id="rId65"/>
          <w:pgSz w:w="16839" w:h="11907" w:orient="landscape"/>
          <w:pgMar w:top="1134" w:right="1134" w:bottom="1134" w:left="1134" w:header="567" w:footer="567" w:gutter="0"/>
          <w:cols w:space="720"/>
          <w:docGrid w:linePitch="360"/>
        </w:sectPr>
      </w:pPr>
    </w:p>
    <w:p w14:paraId="61571922" w14:textId="7A7BAC37" w:rsidR="008B51E4" w:rsidRPr="00562D16" w:rsidRDefault="008B51E4" w:rsidP="008B51E4">
      <w:pPr>
        <w:keepNext/>
        <w:tabs>
          <w:tab w:val="left" w:pos="850"/>
        </w:tabs>
        <w:spacing w:before="360" w:after="120" w:line="240" w:lineRule="auto"/>
        <w:ind w:left="850" w:hanging="850"/>
        <w:jc w:val="both"/>
        <w:outlineLvl w:val="0"/>
        <w:rPr>
          <w:rFonts w:ascii="Times New Roman" w:eastAsia="Calibri" w:hAnsi="Times New Roman" w:cs="Times New Roman"/>
          <w:b/>
          <w:smallCaps/>
          <w:noProof/>
          <w:sz w:val="24"/>
        </w:rPr>
      </w:pPr>
      <w:r>
        <w:rPr>
          <w:rFonts w:ascii="Times New Roman" w:hAnsi="Times New Roman"/>
          <w:b/>
          <w:smallCaps/>
          <w:noProof/>
          <w:sz w:val="24"/>
        </w:rPr>
        <w:tab/>
        <w:t>Д. КОМПОНЕНТ 5: Биологично разнообразие</w:t>
      </w:r>
    </w:p>
    <w:p w14:paraId="656C1B7F" w14:textId="77777777" w:rsidR="008B51E4" w:rsidRPr="00562D16" w:rsidRDefault="008B51E4" w:rsidP="008B51E4">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Този компонент на българския план за възстановяване и устойчивост има за цел да гарантира ефективно управление на Националната екологична мрежа с оглед на опазването и възстановяването на екосистемите и естествените местообитания и видовете от европейско и национално значение.</w:t>
      </w:r>
    </w:p>
    <w:p w14:paraId="7F67C86D" w14:textId="77777777" w:rsidR="008B51E4" w:rsidRPr="00562D16" w:rsidRDefault="008B51E4" w:rsidP="008B51E4">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Компонентът допринася за изпълнението на специфичната за всяка държава препоръка за съсредоточаване на инвестициите върху екологичния преход, по-специално върху екологичната инфраструктура (специфична за държавата препоръка 3 от 2020 г.).</w:t>
      </w:r>
    </w:p>
    <w:p w14:paraId="4B80F003" w14:textId="23197CB8" w:rsidR="008B51E4" w:rsidRPr="00562D16" w:rsidRDefault="008B51E4" w:rsidP="008B51E4">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 xml:space="preserve">Очаква се, че нито една мярка в този компонент не вреди в значителна степен на екологичните цели по смисъла на член 17 от Регламент (ЕС) 2020/852, като се вземат предвид описанието на мерките и стъпките за смекчаване на последиците, определени в плана за възстановяване и устойчивост в съответствие с Техническите насоки на принципа за ненанасяне на значителни вреди (ПНЗВ) (2021/C58/01). </w:t>
      </w:r>
    </w:p>
    <w:p w14:paraId="2C848B04" w14:textId="77777777" w:rsidR="008B51E4" w:rsidRPr="008A0F8A" w:rsidRDefault="008B51E4" w:rsidP="008B51E4">
      <w:pPr>
        <w:spacing w:before="120" w:after="120" w:line="240" w:lineRule="auto"/>
        <w:ind w:left="850"/>
        <w:jc w:val="both"/>
        <w:rPr>
          <w:rFonts w:ascii="Times New Roman" w:eastAsia="Calibri" w:hAnsi="Times New Roman" w:cs="Times New Roman"/>
          <w:noProof/>
          <w:sz w:val="24"/>
          <w:lang w:val="ru-RU"/>
        </w:rPr>
      </w:pPr>
    </w:p>
    <w:p w14:paraId="73D5EFD1" w14:textId="2F320DCE" w:rsidR="008B51E4" w:rsidRPr="00562D16" w:rsidRDefault="00790C3D" w:rsidP="008B51E4">
      <w:pPr>
        <w:spacing w:before="120" w:after="120" w:line="240" w:lineRule="auto"/>
        <w:ind w:left="850"/>
        <w:jc w:val="both"/>
        <w:rPr>
          <w:rFonts w:ascii="Times New Roman" w:eastAsia="Calibri" w:hAnsi="Times New Roman" w:cs="Times New Roman"/>
          <w:b/>
          <w:bCs/>
          <w:i/>
          <w:iCs/>
          <w:noProof/>
          <w:color w:val="4F81BD"/>
          <w:sz w:val="24"/>
          <w:szCs w:val="24"/>
        </w:rPr>
      </w:pPr>
      <w:r>
        <w:rPr>
          <w:rFonts w:ascii="Times New Roman" w:hAnsi="Times New Roman"/>
          <w:b/>
          <w:noProof/>
          <w:sz w:val="24"/>
          <w:u w:val="single"/>
        </w:rPr>
        <w:t>Д</w:t>
      </w:r>
      <w:r w:rsidR="008B51E4">
        <w:rPr>
          <w:rFonts w:ascii="Times New Roman" w:hAnsi="Times New Roman"/>
          <w:b/>
          <w:noProof/>
          <w:sz w:val="24"/>
          <w:u w:val="single"/>
        </w:rPr>
        <w:t xml:space="preserve">.1 </w:t>
      </w:r>
      <w:r w:rsidR="008B51E4">
        <w:rPr>
          <w:rFonts w:ascii="Times New Roman" w:hAnsi="Times New Roman"/>
          <w:b/>
          <w:noProof/>
          <w:sz w:val="24"/>
          <w:u w:val="single"/>
        </w:rPr>
        <w:tab/>
        <w:t>Описание на реформите и инвестициите за безвъзмездна финансова подкрепа</w:t>
      </w:r>
    </w:p>
    <w:p w14:paraId="715E1D2F" w14:textId="3FD91C27" w:rsidR="008B51E4" w:rsidRPr="00562D16" w:rsidRDefault="008B51E4" w:rsidP="008B51E4">
      <w:pPr>
        <w:spacing w:before="120" w:after="120" w:line="240" w:lineRule="auto"/>
        <w:ind w:left="850"/>
        <w:jc w:val="both"/>
        <w:rPr>
          <w:rFonts w:ascii="Times New Roman" w:hAnsi="Times New Roman" w:cs="Times New Roman"/>
          <w:noProof/>
          <w:sz w:val="24"/>
          <w:szCs w:val="24"/>
          <w:u w:val="single"/>
        </w:rPr>
      </w:pPr>
      <w:r>
        <w:rPr>
          <w:rFonts w:ascii="Times New Roman" w:hAnsi="Times New Roman"/>
          <w:noProof/>
          <w:sz w:val="24"/>
          <w:u w:val="single"/>
        </w:rPr>
        <w:t>Реформа 1 (C5.R1): Създаване на управленската структура на мрежата „Натура 2000“</w:t>
      </w:r>
    </w:p>
    <w:p w14:paraId="42928272" w14:textId="77777777" w:rsidR="008B51E4" w:rsidRPr="00562D16" w:rsidRDefault="008B51E4" w:rsidP="008B51E4">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Целта на мярката е да се изградят ефективни структури за управление за „Натура 2000“.</w:t>
      </w:r>
      <w:r>
        <w:rPr>
          <w:rFonts w:ascii="Times New Roman" w:hAnsi="Times New Roman"/>
          <w:noProof/>
        </w:rPr>
        <w:t xml:space="preserve"> </w:t>
      </w:r>
    </w:p>
    <w:p w14:paraId="09A31853" w14:textId="06FC6314" w:rsidR="008B51E4" w:rsidRPr="00562D16" w:rsidRDefault="008B51E4" w:rsidP="008B51E4">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Мярката се състои от законодателни промени, с които се създават структури за управление на мрежата „Натура 2000“ на национално и регионално равнище и се въвеждат изисквания за разработване на планове за управление на мрежата. Със законодателните промени се въвежда също така изискването всички защитени зони да се управляват въз основа на документи за планиране, в които се определят специфични за зоната природозащитни цели и мерки.</w:t>
      </w:r>
    </w:p>
    <w:p w14:paraId="50E8D183" w14:textId="77777777" w:rsidR="008B51E4" w:rsidRPr="00562D16" w:rsidRDefault="008B51E4" w:rsidP="008B51E4">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Изпълнението на реформата ще приключи до 30 септември 2022 г.</w:t>
      </w:r>
    </w:p>
    <w:p w14:paraId="0EBA729F" w14:textId="31ED2652" w:rsidR="008B51E4" w:rsidRPr="00562D16" w:rsidRDefault="008B51E4" w:rsidP="008B51E4">
      <w:pPr>
        <w:spacing w:before="120" w:after="120" w:line="240" w:lineRule="auto"/>
        <w:ind w:left="850"/>
        <w:jc w:val="both"/>
        <w:rPr>
          <w:rFonts w:ascii="Times New Roman" w:hAnsi="Times New Roman" w:cs="Times New Roman"/>
          <w:noProof/>
          <w:sz w:val="24"/>
          <w:szCs w:val="24"/>
          <w:u w:val="single"/>
        </w:rPr>
      </w:pPr>
      <w:r>
        <w:rPr>
          <w:rFonts w:ascii="Times New Roman" w:hAnsi="Times New Roman"/>
          <w:noProof/>
          <w:sz w:val="24"/>
          <w:u w:val="single"/>
        </w:rPr>
        <w:t>Инвестиция 1 (C5.I1): Интегриране на екосистемния подход и прилагане на решения, базирани на природата, при опазването на защитените зони от мрежата „Натура 2000“</w:t>
      </w:r>
    </w:p>
    <w:p w14:paraId="21CC040C" w14:textId="77777777" w:rsidR="008B51E4" w:rsidRPr="00562D16" w:rsidRDefault="008B51E4" w:rsidP="008B51E4">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Целта на мярката е да се осигури висококачествено управление на биологичното разнообразие и мрежата „Натура 2000“ в България.</w:t>
      </w:r>
    </w:p>
    <w:p w14:paraId="2AC4025F" w14:textId="77777777" w:rsidR="008B51E4" w:rsidRPr="00562D16" w:rsidRDefault="008B51E4" w:rsidP="008B51E4">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 xml:space="preserve">Мярката се състои от поредица от действия, които включват, наред с другото, разработването на специфични за териториите природозащитни цели и мерки за защитените зони от мрежата „Натура 2000“ и възстановяването на свързаните с климата екосистеми чрез природосъобразни решения като част от управлението на „Натура 2000“. </w:t>
      </w:r>
    </w:p>
    <w:p w14:paraId="3C9BD153" w14:textId="77777777" w:rsidR="008B51E4" w:rsidRPr="00562D16" w:rsidRDefault="008B51E4" w:rsidP="008B51E4">
      <w:pPr>
        <w:spacing w:before="120" w:after="120" w:line="240" w:lineRule="auto"/>
        <w:ind w:left="850"/>
        <w:jc w:val="both"/>
        <w:rPr>
          <w:rFonts w:ascii="Times New Roman" w:hAnsi="Times New Roman" w:cs="Times New Roman"/>
          <w:noProof/>
          <w:sz w:val="24"/>
          <w:szCs w:val="24"/>
          <w:u w:val="single"/>
        </w:rPr>
      </w:pPr>
      <w:r>
        <w:rPr>
          <w:rFonts w:ascii="Times New Roman" w:hAnsi="Times New Roman"/>
          <w:noProof/>
          <w:sz w:val="24"/>
        </w:rPr>
        <w:t xml:space="preserve">Изпълнението на инвестицията ще приключи до 30 юни 2025 г. </w:t>
      </w:r>
    </w:p>
    <w:p w14:paraId="4AC88DF9" w14:textId="448AF9CA" w:rsidR="008B51E4" w:rsidRPr="00562D16" w:rsidRDefault="008B51E4" w:rsidP="6CF72A21">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 xml:space="preserve"> </w:t>
      </w:r>
    </w:p>
    <w:p w14:paraId="0AFB561D" w14:textId="77777777" w:rsidR="008B51E4" w:rsidRPr="008A0F8A" w:rsidRDefault="008B51E4" w:rsidP="008B51E4">
      <w:pPr>
        <w:spacing w:before="120" w:after="120" w:line="240" w:lineRule="auto"/>
        <w:ind w:left="850"/>
        <w:jc w:val="both"/>
        <w:rPr>
          <w:rFonts w:ascii="Times New Roman" w:eastAsia="Calibri" w:hAnsi="Times New Roman" w:cs="Times New Roman"/>
          <w:i/>
          <w:iCs/>
          <w:noProof/>
          <w:color w:val="4F81BD"/>
          <w:sz w:val="24"/>
          <w:lang w:val="ru-RU"/>
        </w:rPr>
      </w:pPr>
    </w:p>
    <w:p w14:paraId="6723430A" w14:textId="77777777" w:rsidR="008B51E4" w:rsidRPr="00562D16" w:rsidRDefault="008B51E4" w:rsidP="008B51E4">
      <w:pPr>
        <w:spacing w:before="120" w:after="120" w:line="240" w:lineRule="auto"/>
        <w:ind w:left="850"/>
        <w:jc w:val="both"/>
        <w:rPr>
          <w:rFonts w:ascii="Times New Roman" w:eastAsia="Calibri" w:hAnsi="Times New Roman" w:cs="Times New Roman"/>
          <w:b/>
          <w:bCs/>
          <w:noProof/>
          <w:sz w:val="24"/>
          <w:szCs w:val="24"/>
          <w:u w:val="single"/>
        </w:rPr>
      </w:pPr>
      <w:r>
        <w:rPr>
          <w:rFonts w:ascii="Times New Roman" w:hAnsi="Times New Roman"/>
          <w:b/>
          <w:noProof/>
          <w:sz w:val="24"/>
          <w:u w:val="single"/>
        </w:rPr>
        <w:t xml:space="preserve">Д.2. </w:t>
      </w:r>
      <w:r>
        <w:rPr>
          <w:rFonts w:ascii="Times New Roman" w:hAnsi="Times New Roman"/>
          <w:b/>
          <w:noProof/>
          <w:sz w:val="24"/>
          <w:u w:val="single"/>
        </w:rPr>
        <w:tab/>
        <w:t>Ключови етапи, цели, показатели и график за мониторинг и изпълнение на безвъзмездната финансова подкрепа</w:t>
      </w:r>
    </w:p>
    <w:p w14:paraId="4ECFD2CA" w14:textId="77777777" w:rsidR="008B51E4" w:rsidRPr="008A0F8A" w:rsidRDefault="008B51E4" w:rsidP="008B51E4">
      <w:pPr>
        <w:spacing w:before="120" w:after="120" w:line="240" w:lineRule="auto"/>
        <w:ind w:left="709"/>
        <w:jc w:val="both"/>
        <w:rPr>
          <w:rFonts w:ascii="Times New Roman" w:eastAsia="Calibri" w:hAnsi="Times New Roman" w:cs="Times New Roman"/>
          <w:noProof/>
          <w:sz w:val="24"/>
          <w:lang w:val="ru-RU"/>
        </w:rPr>
        <w:sectPr w:rsidR="008B51E4" w:rsidRPr="008A0F8A" w:rsidSect="00B60432">
          <w:headerReference w:type="even" r:id="rId66"/>
          <w:headerReference w:type="default" r:id="rId67"/>
          <w:footerReference w:type="even" r:id="rId68"/>
          <w:footerReference w:type="default" r:id="rId69"/>
          <w:headerReference w:type="first" r:id="rId70"/>
          <w:footerReference w:type="first" r:id="rId71"/>
          <w:pgSz w:w="11907" w:h="16839"/>
          <w:pgMar w:top="1134" w:right="1134" w:bottom="1134" w:left="1134" w:header="567" w:footer="567" w:gutter="0"/>
          <w:cols w:space="720"/>
          <w:docGrid w:linePitch="360"/>
        </w:sectPr>
      </w:pPr>
    </w:p>
    <w:tbl>
      <w:tblPr>
        <w:tblW w:w="15871" w:type="dxa"/>
        <w:jc w:val="center"/>
        <w:tblLook w:val="04A0" w:firstRow="1" w:lastRow="0" w:firstColumn="1" w:lastColumn="0" w:noHBand="0" w:noVBand="1"/>
      </w:tblPr>
      <w:tblGrid>
        <w:gridCol w:w="977"/>
        <w:gridCol w:w="2013"/>
        <w:gridCol w:w="1150"/>
        <w:gridCol w:w="1897"/>
        <w:gridCol w:w="1531"/>
        <w:gridCol w:w="1120"/>
        <w:gridCol w:w="1134"/>
        <w:gridCol w:w="851"/>
        <w:gridCol w:w="1296"/>
        <w:gridCol w:w="875"/>
        <w:gridCol w:w="3543"/>
      </w:tblGrid>
      <w:tr w:rsidR="008B51E4" w:rsidRPr="005241FC" w14:paraId="0283E93E" w14:textId="77777777" w:rsidTr="00054287">
        <w:trPr>
          <w:trHeight w:val="927"/>
          <w:tblHeader/>
          <w:jc w:val="center"/>
        </w:trPr>
        <w:tc>
          <w:tcPr>
            <w:tcW w:w="78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5D66867" w14:textId="4BB8C4CE" w:rsidR="008B51E4" w:rsidRPr="00660257" w:rsidRDefault="008B51E4" w:rsidP="00A551EA">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Пореден номер</w:t>
            </w:r>
          </w:p>
        </w:tc>
        <w:tc>
          <w:tcPr>
            <w:tcW w:w="201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D6FE2CD" w14:textId="77777777" w:rsidR="008B51E4" w:rsidRPr="00660257" w:rsidRDefault="008B51E4" w:rsidP="00C937A7">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Свързана мярка (реформа или инвестиция)</w:t>
            </w:r>
          </w:p>
        </w:tc>
        <w:tc>
          <w:tcPr>
            <w:tcW w:w="115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85CB2D5" w14:textId="77777777" w:rsidR="008B51E4" w:rsidRPr="00660257" w:rsidRDefault="008B51E4" w:rsidP="00C937A7">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Ключов етап / Цел</w:t>
            </w:r>
          </w:p>
        </w:tc>
        <w:tc>
          <w:tcPr>
            <w:tcW w:w="189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7455F7D" w14:textId="77777777" w:rsidR="008B51E4" w:rsidRPr="00660257" w:rsidRDefault="008B51E4" w:rsidP="00C937A7">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Наименование</w:t>
            </w:r>
          </w:p>
        </w:tc>
        <w:tc>
          <w:tcPr>
            <w:tcW w:w="153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B6CE42D" w14:textId="77777777" w:rsidR="008B51E4" w:rsidRPr="00660257" w:rsidRDefault="008B51E4" w:rsidP="00C937A7">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 xml:space="preserve">Качествени показатели </w:t>
            </w:r>
            <w:r>
              <w:rPr>
                <w:rFonts w:ascii="Times New Roman" w:hAnsi="Times New Roman"/>
                <w:noProof/>
                <w:sz w:val="20"/>
              </w:rPr>
              <w:br/>
            </w:r>
            <w:r>
              <w:rPr>
                <w:rFonts w:ascii="Times New Roman" w:hAnsi="Times New Roman"/>
                <w:b/>
                <w:noProof/>
                <w:sz w:val="20"/>
              </w:rPr>
              <w:t>(за ключовите етапи)</w:t>
            </w:r>
          </w:p>
        </w:tc>
        <w:tc>
          <w:tcPr>
            <w:tcW w:w="3105"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6B7A5ACD" w14:textId="77777777" w:rsidR="008B51E4" w:rsidRPr="00660257" w:rsidRDefault="008B51E4" w:rsidP="00C937A7">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 xml:space="preserve">Количествени показатели </w:t>
            </w:r>
            <w:r>
              <w:rPr>
                <w:rFonts w:ascii="Times New Roman" w:hAnsi="Times New Roman"/>
                <w:noProof/>
                <w:sz w:val="20"/>
              </w:rPr>
              <w:br/>
            </w:r>
            <w:r>
              <w:rPr>
                <w:rFonts w:ascii="Times New Roman" w:hAnsi="Times New Roman"/>
                <w:b/>
                <w:noProof/>
                <w:sz w:val="20"/>
              </w:rPr>
              <w:t>(за целите)</w:t>
            </w:r>
          </w:p>
        </w:tc>
        <w:tc>
          <w:tcPr>
            <w:tcW w:w="1843" w:type="dxa"/>
            <w:gridSpan w:val="2"/>
            <w:tcBorders>
              <w:top w:val="single" w:sz="4" w:space="0" w:color="auto"/>
              <w:left w:val="nil"/>
              <w:bottom w:val="single" w:sz="4" w:space="0" w:color="auto"/>
              <w:right w:val="single" w:sz="4" w:space="0" w:color="auto"/>
            </w:tcBorders>
            <w:shd w:val="clear" w:color="auto" w:fill="BDD7EE"/>
            <w:vAlign w:val="center"/>
            <w:hideMark/>
          </w:tcPr>
          <w:p w14:paraId="4FFA5D1D" w14:textId="77777777" w:rsidR="008B51E4" w:rsidRPr="00660257" w:rsidRDefault="008B51E4" w:rsidP="00C937A7">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 xml:space="preserve">Ориентировъчен график за приключване </w:t>
            </w:r>
          </w:p>
        </w:tc>
        <w:tc>
          <w:tcPr>
            <w:tcW w:w="354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2D2F814" w14:textId="77777777" w:rsidR="008B51E4" w:rsidRPr="00660257" w:rsidRDefault="008B51E4" w:rsidP="00C937A7">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Описание на всеки ключов етап и цел</w:t>
            </w:r>
          </w:p>
        </w:tc>
      </w:tr>
      <w:tr w:rsidR="008B51E4" w:rsidRPr="00660257" w14:paraId="5987B7FB" w14:textId="77777777" w:rsidTr="00054287">
        <w:trPr>
          <w:trHeight w:val="196"/>
          <w:tblHeader/>
          <w:jc w:val="center"/>
        </w:trPr>
        <w:tc>
          <w:tcPr>
            <w:tcW w:w="789" w:type="dxa"/>
            <w:vMerge/>
            <w:tcBorders>
              <w:top w:val="single" w:sz="4" w:space="0" w:color="auto"/>
              <w:left w:val="single" w:sz="4" w:space="0" w:color="auto"/>
              <w:bottom w:val="single" w:sz="4" w:space="0" w:color="auto"/>
              <w:right w:val="single" w:sz="4" w:space="0" w:color="auto"/>
            </w:tcBorders>
            <w:vAlign w:val="center"/>
            <w:hideMark/>
          </w:tcPr>
          <w:p w14:paraId="19979810" w14:textId="77777777" w:rsidR="008B51E4" w:rsidRPr="008A0F8A" w:rsidRDefault="008B51E4" w:rsidP="00C937A7">
            <w:pPr>
              <w:spacing w:after="0" w:line="240" w:lineRule="auto"/>
              <w:rPr>
                <w:rFonts w:ascii="Times New Roman" w:eastAsia="Times New Roman" w:hAnsi="Times New Roman" w:cs="Times New Roman"/>
                <w:b/>
                <w:bCs/>
                <w:noProof/>
                <w:sz w:val="20"/>
                <w:szCs w:val="20"/>
                <w:lang w:val="ru-RU" w:eastAsia="en-GB"/>
              </w:rPr>
            </w:pPr>
          </w:p>
        </w:tc>
        <w:tc>
          <w:tcPr>
            <w:tcW w:w="2013" w:type="dxa"/>
            <w:vMerge/>
            <w:tcBorders>
              <w:top w:val="single" w:sz="4" w:space="0" w:color="auto"/>
              <w:left w:val="single" w:sz="4" w:space="0" w:color="auto"/>
              <w:bottom w:val="single" w:sz="4" w:space="0" w:color="auto"/>
              <w:right w:val="single" w:sz="4" w:space="0" w:color="auto"/>
            </w:tcBorders>
            <w:vAlign w:val="center"/>
            <w:hideMark/>
          </w:tcPr>
          <w:p w14:paraId="67B15B8E" w14:textId="77777777" w:rsidR="008B51E4" w:rsidRPr="008A0F8A" w:rsidRDefault="008B51E4" w:rsidP="00C937A7">
            <w:pPr>
              <w:spacing w:after="0" w:line="240" w:lineRule="auto"/>
              <w:rPr>
                <w:rFonts w:ascii="Times New Roman" w:eastAsia="Times New Roman" w:hAnsi="Times New Roman" w:cs="Times New Roman"/>
                <w:b/>
                <w:bCs/>
                <w:noProof/>
                <w:sz w:val="20"/>
                <w:szCs w:val="20"/>
                <w:lang w:val="ru-RU" w:eastAsia="en-GB"/>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14:paraId="1A123AD8" w14:textId="77777777" w:rsidR="008B51E4" w:rsidRPr="008A0F8A" w:rsidRDefault="008B51E4" w:rsidP="00C937A7">
            <w:pPr>
              <w:spacing w:after="0" w:line="240" w:lineRule="auto"/>
              <w:rPr>
                <w:rFonts w:ascii="Times New Roman" w:eastAsia="Times New Roman" w:hAnsi="Times New Roman" w:cs="Times New Roman"/>
                <w:b/>
                <w:bCs/>
                <w:noProof/>
                <w:sz w:val="20"/>
                <w:szCs w:val="20"/>
                <w:lang w:val="ru-RU" w:eastAsia="en-GB"/>
              </w:rPr>
            </w:pPr>
          </w:p>
        </w:tc>
        <w:tc>
          <w:tcPr>
            <w:tcW w:w="1897" w:type="dxa"/>
            <w:vMerge/>
            <w:tcBorders>
              <w:top w:val="single" w:sz="4" w:space="0" w:color="auto"/>
              <w:left w:val="single" w:sz="4" w:space="0" w:color="auto"/>
              <w:bottom w:val="single" w:sz="4" w:space="0" w:color="auto"/>
              <w:right w:val="single" w:sz="4" w:space="0" w:color="auto"/>
            </w:tcBorders>
            <w:vAlign w:val="center"/>
            <w:hideMark/>
          </w:tcPr>
          <w:p w14:paraId="4868254B" w14:textId="77777777" w:rsidR="008B51E4" w:rsidRPr="008A0F8A" w:rsidRDefault="008B51E4" w:rsidP="00C937A7">
            <w:pPr>
              <w:spacing w:after="0" w:line="240" w:lineRule="auto"/>
              <w:rPr>
                <w:rFonts w:ascii="Times New Roman" w:eastAsia="Times New Roman" w:hAnsi="Times New Roman" w:cs="Times New Roman"/>
                <w:b/>
                <w:bCs/>
                <w:noProof/>
                <w:sz w:val="20"/>
                <w:szCs w:val="20"/>
                <w:lang w:val="ru-RU" w:eastAsia="en-GB"/>
              </w:rPr>
            </w:pP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5E6B8A42" w14:textId="77777777" w:rsidR="008B51E4" w:rsidRPr="008A0F8A" w:rsidRDefault="008B51E4" w:rsidP="00C937A7">
            <w:pPr>
              <w:spacing w:after="0" w:line="240" w:lineRule="auto"/>
              <w:rPr>
                <w:rFonts w:ascii="Times New Roman" w:eastAsia="Times New Roman" w:hAnsi="Times New Roman" w:cs="Times New Roman"/>
                <w:b/>
                <w:bCs/>
                <w:noProof/>
                <w:sz w:val="20"/>
                <w:szCs w:val="20"/>
                <w:lang w:val="ru-RU" w:eastAsia="en-GB"/>
              </w:rPr>
            </w:pPr>
          </w:p>
        </w:tc>
        <w:tc>
          <w:tcPr>
            <w:tcW w:w="1120" w:type="dxa"/>
            <w:tcBorders>
              <w:top w:val="nil"/>
              <w:left w:val="single" w:sz="4" w:space="0" w:color="auto"/>
              <w:bottom w:val="single" w:sz="4" w:space="0" w:color="auto"/>
              <w:right w:val="single" w:sz="4" w:space="0" w:color="auto"/>
            </w:tcBorders>
            <w:shd w:val="clear" w:color="auto" w:fill="BDD7EE"/>
            <w:vAlign w:val="center"/>
            <w:hideMark/>
          </w:tcPr>
          <w:p w14:paraId="5EA3E1E9" w14:textId="77777777" w:rsidR="008B51E4" w:rsidRPr="00660257" w:rsidRDefault="008B51E4" w:rsidP="00C937A7">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Мерна единица</w:t>
            </w:r>
          </w:p>
        </w:tc>
        <w:tc>
          <w:tcPr>
            <w:tcW w:w="1134" w:type="dxa"/>
            <w:tcBorders>
              <w:top w:val="nil"/>
              <w:left w:val="nil"/>
              <w:bottom w:val="single" w:sz="4" w:space="0" w:color="auto"/>
              <w:right w:val="single" w:sz="4" w:space="0" w:color="auto"/>
            </w:tcBorders>
            <w:shd w:val="clear" w:color="auto" w:fill="BDD7EE"/>
            <w:vAlign w:val="center"/>
            <w:hideMark/>
          </w:tcPr>
          <w:p w14:paraId="501EA2FA" w14:textId="77777777" w:rsidR="008B51E4" w:rsidRPr="00660257" w:rsidRDefault="008B51E4" w:rsidP="00C937A7">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 xml:space="preserve">Базова линия </w:t>
            </w:r>
          </w:p>
        </w:tc>
        <w:tc>
          <w:tcPr>
            <w:tcW w:w="851" w:type="dxa"/>
            <w:tcBorders>
              <w:top w:val="nil"/>
              <w:left w:val="nil"/>
              <w:bottom w:val="single" w:sz="4" w:space="0" w:color="auto"/>
              <w:right w:val="single" w:sz="4" w:space="0" w:color="auto"/>
            </w:tcBorders>
            <w:shd w:val="clear" w:color="auto" w:fill="BDD7EE"/>
            <w:vAlign w:val="center"/>
            <w:hideMark/>
          </w:tcPr>
          <w:p w14:paraId="425F29E9" w14:textId="77777777" w:rsidR="008B51E4" w:rsidRPr="00660257" w:rsidRDefault="008B51E4" w:rsidP="00C937A7">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 xml:space="preserve">Цел </w:t>
            </w:r>
          </w:p>
        </w:tc>
        <w:tc>
          <w:tcPr>
            <w:tcW w:w="992" w:type="dxa"/>
            <w:tcBorders>
              <w:top w:val="nil"/>
              <w:left w:val="nil"/>
              <w:bottom w:val="single" w:sz="4" w:space="0" w:color="auto"/>
              <w:right w:val="single" w:sz="4" w:space="0" w:color="auto"/>
            </w:tcBorders>
            <w:shd w:val="clear" w:color="auto" w:fill="BDD7EE"/>
            <w:vAlign w:val="center"/>
            <w:hideMark/>
          </w:tcPr>
          <w:p w14:paraId="57D7A85C" w14:textId="77777777" w:rsidR="008B51E4" w:rsidRPr="00660257" w:rsidRDefault="008B51E4" w:rsidP="00C937A7">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Тримесечие</w:t>
            </w:r>
          </w:p>
        </w:tc>
        <w:tc>
          <w:tcPr>
            <w:tcW w:w="851" w:type="dxa"/>
            <w:tcBorders>
              <w:top w:val="nil"/>
              <w:left w:val="nil"/>
              <w:bottom w:val="single" w:sz="4" w:space="0" w:color="auto"/>
              <w:right w:val="single" w:sz="4" w:space="0" w:color="auto"/>
            </w:tcBorders>
            <w:shd w:val="clear" w:color="auto" w:fill="BDD7EE"/>
            <w:vAlign w:val="center"/>
            <w:hideMark/>
          </w:tcPr>
          <w:p w14:paraId="0762ADAA" w14:textId="77777777" w:rsidR="008B51E4" w:rsidRPr="00660257" w:rsidRDefault="008B51E4" w:rsidP="00C937A7">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Година</w:t>
            </w:r>
          </w:p>
        </w:tc>
        <w:tc>
          <w:tcPr>
            <w:tcW w:w="3543" w:type="dxa"/>
            <w:vMerge/>
            <w:tcBorders>
              <w:top w:val="single" w:sz="4" w:space="0" w:color="auto"/>
              <w:bottom w:val="single" w:sz="4" w:space="0" w:color="auto"/>
              <w:right w:val="single" w:sz="4" w:space="0" w:color="auto"/>
            </w:tcBorders>
            <w:vAlign w:val="center"/>
            <w:hideMark/>
          </w:tcPr>
          <w:p w14:paraId="6FACF6DF" w14:textId="77777777" w:rsidR="008B51E4" w:rsidRPr="00660257" w:rsidRDefault="008B51E4" w:rsidP="00C937A7">
            <w:pPr>
              <w:spacing w:after="0" w:line="240" w:lineRule="auto"/>
              <w:rPr>
                <w:rFonts w:ascii="Times New Roman" w:eastAsia="Times New Roman" w:hAnsi="Times New Roman" w:cs="Times New Roman"/>
                <w:b/>
                <w:bCs/>
                <w:noProof/>
                <w:sz w:val="20"/>
                <w:szCs w:val="20"/>
                <w:lang w:val="en-GB" w:eastAsia="en-GB"/>
              </w:rPr>
            </w:pPr>
          </w:p>
        </w:tc>
      </w:tr>
      <w:tr w:rsidR="008B51E4" w:rsidRPr="005241FC" w14:paraId="3486DFB3" w14:textId="77777777" w:rsidTr="00054287">
        <w:trPr>
          <w:trHeight w:val="309"/>
          <w:jc w:val="center"/>
        </w:trPr>
        <w:tc>
          <w:tcPr>
            <w:tcW w:w="789" w:type="dxa"/>
            <w:tcBorders>
              <w:top w:val="single" w:sz="4" w:space="0" w:color="auto"/>
              <w:left w:val="single" w:sz="4" w:space="0" w:color="auto"/>
              <w:bottom w:val="single" w:sz="4" w:space="0" w:color="auto"/>
              <w:right w:val="single" w:sz="4" w:space="0" w:color="auto"/>
            </w:tcBorders>
            <w:shd w:val="clear" w:color="auto" w:fill="C6EFCE"/>
            <w:noWrap/>
            <w:hideMark/>
          </w:tcPr>
          <w:p w14:paraId="46A9F279" w14:textId="0B45CFFC" w:rsidR="008B51E4" w:rsidRPr="00660257" w:rsidRDefault="008C7D64" w:rsidP="004E3C83">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126</w:t>
            </w:r>
          </w:p>
        </w:tc>
        <w:tc>
          <w:tcPr>
            <w:tcW w:w="2013" w:type="dxa"/>
            <w:tcBorders>
              <w:top w:val="single" w:sz="4" w:space="0" w:color="auto"/>
              <w:left w:val="nil"/>
              <w:bottom w:val="single" w:sz="4" w:space="0" w:color="auto"/>
              <w:right w:val="single" w:sz="4" w:space="0" w:color="auto"/>
            </w:tcBorders>
            <w:shd w:val="clear" w:color="auto" w:fill="C6EFCE"/>
            <w:noWrap/>
            <w:hideMark/>
          </w:tcPr>
          <w:p w14:paraId="00C7E114" w14:textId="6B288FA0" w:rsidR="008B51E4" w:rsidRPr="00660257" w:rsidRDefault="008B51E4" w:rsidP="00C937A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C5.R1:</w:t>
            </w:r>
            <w:r>
              <w:rPr>
                <w:rFonts w:ascii="Times New Roman" w:hAnsi="Times New Roman"/>
                <w:noProof/>
                <w:color w:val="1F497D"/>
                <w:sz w:val="20"/>
              </w:rPr>
              <w:t xml:space="preserve"> </w:t>
            </w:r>
            <w:r>
              <w:rPr>
                <w:rFonts w:ascii="Times New Roman" w:hAnsi="Times New Roman"/>
                <w:noProof/>
                <w:color w:val="006100"/>
                <w:sz w:val="20"/>
              </w:rPr>
              <w:t>Създаване на управленската структура на мрежата „Натура 2000“</w:t>
            </w:r>
            <w:r>
              <w:rPr>
                <w:rFonts w:ascii="Times New Roman" w:hAnsi="Times New Roman"/>
                <w:noProof/>
                <w:color w:val="1F497D"/>
                <w:sz w:val="20"/>
              </w:rPr>
              <w:t xml:space="preserve"> </w:t>
            </w:r>
          </w:p>
        </w:tc>
        <w:tc>
          <w:tcPr>
            <w:tcW w:w="1150" w:type="dxa"/>
            <w:tcBorders>
              <w:top w:val="single" w:sz="4" w:space="0" w:color="auto"/>
              <w:left w:val="nil"/>
              <w:bottom w:val="single" w:sz="4" w:space="0" w:color="auto"/>
              <w:right w:val="single" w:sz="4" w:space="0" w:color="auto"/>
            </w:tcBorders>
            <w:shd w:val="clear" w:color="auto" w:fill="C6EFCE"/>
            <w:noWrap/>
            <w:hideMark/>
          </w:tcPr>
          <w:p w14:paraId="0F127CEF" w14:textId="77777777" w:rsidR="008B51E4" w:rsidRPr="00660257" w:rsidRDefault="008B51E4" w:rsidP="00C937A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897" w:type="dxa"/>
            <w:tcBorders>
              <w:top w:val="single" w:sz="4" w:space="0" w:color="auto"/>
              <w:left w:val="nil"/>
              <w:bottom w:val="single" w:sz="4" w:space="0" w:color="auto"/>
              <w:right w:val="single" w:sz="4" w:space="0" w:color="auto"/>
            </w:tcBorders>
            <w:shd w:val="clear" w:color="auto" w:fill="C6EFCE"/>
            <w:noWrap/>
            <w:hideMark/>
          </w:tcPr>
          <w:p w14:paraId="534F86EF" w14:textId="77777777" w:rsidR="008B51E4" w:rsidRPr="00660257" w:rsidRDefault="008B51E4" w:rsidP="00C937A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Изменения на Закона за биологичното разнообразие</w:t>
            </w:r>
          </w:p>
        </w:tc>
        <w:tc>
          <w:tcPr>
            <w:tcW w:w="1531" w:type="dxa"/>
            <w:tcBorders>
              <w:top w:val="single" w:sz="4" w:space="0" w:color="auto"/>
              <w:left w:val="nil"/>
              <w:bottom w:val="single" w:sz="4" w:space="0" w:color="auto"/>
              <w:right w:val="single" w:sz="4" w:space="0" w:color="auto"/>
            </w:tcBorders>
            <w:shd w:val="clear" w:color="auto" w:fill="C6EFCE"/>
            <w:noWrap/>
            <w:hideMark/>
          </w:tcPr>
          <w:p w14:paraId="2CF86750" w14:textId="77777777" w:rsidR="008B51E4" w:rsidRPr="00660257" w:rsidRDefault="008B51E4" w:rsidP="00C937A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Влизане в сила</w:t>
            </w:r>
          </w:p>
        </w:tc>
        <w:tc>
          <w:tcPr>
            <w:tcW w:w="1120" w:type="dxa"/>
            <w:tcBorders>
              <w:top w:val="nil"/>
              <w:left w:val="nil"/>
              <w:bottom w:val="single" w:sz="4" w:space="0" w:color="auto"/>
              <w:right w:val="single" w:sz="4" w:space="0" w:color="auto"/>
            </w:tcBorders>
            <w:shd w:val="clear" w:color="auto" w:fill="C6EFCE"/>
            <w:noWrap/>
          </w:tcPr>
          <w:p w14:paraId="50A03A2F" w14:textId="77777777" w:rsidR="008B51E4" w:rsidRPr="00660257" w:rsidRDefault="008B51E4" w:rsidP="00C937A7">
            <w:pPr>
              <w:spacing w:after="0" w:line="240" w:lineRule="auto"/>
              <w:rPr>
                <w:rFonts w:ascii="Times New Roman" w:eastAsia="Times New Roman" w:hAnsi="Times New Roman" w:cs="Times New Roman"/>
                <w:noProof/>
                <w:color w:val="006100"/>
                <w:sz w:val="20"/>
                <w:szCs w:val="20"/>
                <w:lang w:val="en-GB" w:eastAsia="en-GB"/>
              </w:rPr>
            </w:pPr>
          </w:p>
        </w:tc>
        <w:tc>
          <w:tcPr>
            <w:tcW w:w="1134" w:type="dxa"/>
            <w:tcBorders>
              <w:top w:val="nil"/>
              <w:left w:val="nil"/>
              <w:bottom w:val="single" w:sz="4" w:space="0" w:color="auto"/>
              <w:right w:val="single" w:sz="4" w:space="0" w:color="auto"/>
            </w:tcBorders>
            <w:shd w:val="clear" w:color="auto" w:fill="C6EFCE"/>
            <w:noWrap/>
          </w:tcPr>
          <w:p w14:paraId="2DE4F9E9" w14:textId="77777777" w:rsidR="008B51E4" w:rsidRPr="00660257" w:rsidRDefault="008B51E4" w:rsidP="00C937A7">
            <w:pPr>
              <w:spacing w:after="0" w:line="240" w:lineRule="auto"/>
              <w:jc w:val="right"/>
              <w:rPr>
                <w:rFonts w:ascii="Times New Roman" w:eastAsia="Times New Roman" w:hAnsi="Times New Roman" w:cs="Times New Roman"/>
                <w:noProof/>
                <w:color w:val="006100"/>
                <w:sz w:val="20"/>
                <w:szCs w:val="20"/>
                <w:lang w:val="en-GB" w:eastAsia="en-GB"/>
              </w:rPr>
            </w:pPr>
          </w:p>
        </w:tc>
        <w:tc>
          <w:tcPr>
            <w:tcW w:w="851" w:type="dxa"/>
            <w:tcBorders>
              <w:top w:val="nil"/>
              <w:left w:val="nil"/>
              <w:bottom w:val="single" w:sz="4" w:space="0" w:color="auto"/>
              <w:right w:val="single" w:sz="4" w:space="0" w:color="auto"/>
            </w:tcBorders>
            <w:shd w:val="clear" w:color="auto" w:fill="C6EFCE"/>
            <w:noWrap/>
          </w:tcPr>
          <w:p w14:paraId="44543B82" w14:textId="77777777" w:rsidR="008B51E4" w:rsidRPr="00660257" w:rsidRDefault="008B51E4" w:rsidP="00C937A7">
            <w:pPr>
              <w:spacing w:after="0" w:line="240" w:lineRule="auto"/>
              <w:jc w:val="right"/>
              <w:rPr>
                <w:rFonts w:ascii="Times New Roman" w:eastAsia="Times New Roman" w:hAnsi="Times New Roman" w:cs="Times New Roman"/>
                <w:noProof/>
                <w:color w:val="006100"/>
                <w:sz w:val="20"/>
                <w:szCs w:val="20"/>
                <w:lang w:val="en-GB" w:eastAsia="en-GB"/>
              </w:rPr>
            </w:pPr>
          </w:p>
        </w:tc>
        <w:tc>
          <w:tcPr>
            <w:tcW w:w="992" w:type="dxa"/>
            <w:tcBorders>
              <w:top w:val="nil"/>
              <w:left w:val="nil"/>
              <w:bottom w:val="single" w:sz="4" w:space="0" w:color="auto"/>
              <w:right w:val="single" w:sz="4" w:space="0" w:color="auto"/>
            </w:tcBorders>
            <w:shd w:val="clear" w:color="auto" w:fill="C6EFCE"/>
            <w:noWrap/>
            <w:hideMark/>
          </w:tcPr>
          <w:p w14:paraId="6E7BB839" w14:textId="77777777" w:rsidR="008B51E4" w:rsidRPr="00660257" w:rsidRDefault="008B51E4" w:rsidP="00C937A7">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T3</w:t>
            </w:r>
          </w:p>
        </w:tc>
        <w:tc>
          <w:tcPr>
            <w:tcW w:w="851" w:type="dxa"/>
            <w:tcBorders>
              <w:top w:val="nil"/>
              <w:left w:val="nil"/>
              <w:bottom w:val="single" w:sz="4" w:space="0" w:color="auto"/>
              <w:right w:val="single" w:sz="4" w:space="0" w:color="auto"/>
            </w:tcBorders>
            <w:shd w:val="clear" w:color="auto" w:fill="C6EFCE"/>
            <w:noWrap/>
            <w:hideMark/>
          </w:tcPr>
          <w:p w14:paraId="1B576649" w14:textId="77777777" w:rsidR="008B51E4" w:rsidRPr="00660257" w:rsidRDefault="008B51E4" w:rsidP="00C937A7">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2022</w:t>
            </w:r>
          </w:p>
        </w:tc>
        <w:tc>
          <w:tcPr>
            <w:tcW w:w="3543" w:type="dxa"/>
            <w:tcBorders>
              <w:top w:val="single" w:sz="4" w:space="0" w:color="auto"/>
              <w:left w:val="nil"/>
              <w:bottom w:val="single" w:sz="4" w:space="0" w:color="auto"/>
              <w:right w:val="single" w:sz="4" w:space="0" w:color="auto"/>
            </w:tcBorders>
            <w:shd w:val="clear" w:color="auto" w:fill="C6EFCE"/>
            <w:noWrap/>
            <w:vAlign w:val="bottom"/>
            <w:hideMark/>
          </w:tcPr>
          <w:p w14:paraId="02FBB080" w14:textId="77777777" w:rsidR="008B51E4" w:rsidRPr="00660257" w:rsidRDefault="008B51E4" w:rsidP="00C937A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С измененията в Закона за биологичното разнообразие</w:t>
            </w:r>
          </w:p>
          <w:p w14:paraId="458C5ADE" w14:textId="41D69852" w:rsidR="008B51E4" w:rsidRPr="00660257" w:rsidRDefault="008B51E4" w:rsidP="0057137A">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се въвежда изискването за създаване на структури за управление на мрежата „Натура 2000“ на национално и регионално равнище и за разработване на планове за управление на мрежата. С измененията се въвежда също така изискването всички защитени зони да се управляват въз основа на документи за планиране, в които се определят специфични за зоната природозащитни цели и мерки.</w:t>
            </w:r>
          </w:p>
        </w:tc>
      </w:tr>
      <w:tr w:rsidR="008B51E4" w:rsidRPr="005241FC" w14:paraId="35D19A13" w14:textId="77777777" w:rsidTr="00054287">
        <w:trPr>
          <w:trHeight w:val="309"/>
          <w:jc w:val="center"/>
        </w:trPr>
        <w:tc>
          <w:tcPr>
            <w:tcW w:w="789" w:type="dxa"/>
            <w:tcBorders>
              <w:top w:val="nil"/>
              <w:left w:val="single" w:sz="4" w:space="0" w:color="auto"/>
              <w:bottom w:val="single" w:sz="4" w:space="0" w:color="auto"/>
              <w:right w:val="single" w:sz="4" w:space="0" w:color="auto"/>
            </w:tcBorders>
            <w:shd w:val="clear" w:color="auto" w:fill="C6EFCE"/>
            <w:noWrap/>
            <w:hideMark/>
          </w:tcPr>
          <w:p w14:paraId="3540A2D4" w14:textId="644D68AB" w:rsidR="008B51E4" w:rsidRPr="00660257" w:rsidRDefault="00E80F12" w:rsidP="004E3C83">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127</w:t>
            </w:r>
          </w:p>
        </w:tc>
        <w:tc>
          <w:tcPr>
            <w:tcW w:w="2013" w:type="dxa"/>
            <w:tcBorders>
              <w:top w:val="nil"/>
              <w:left w:val="nil"/>
              <w:bottom w:val="single" w:sz="4" w:space="0" w:color="auto"/>
              <w:right w:val="single" w:sz="4" w:space="0" w:color="auto"/>
            </w:tcBorders>
            <w:shd w:val="clear" w:color="auto" w:fill="C6EFCE"/>
            <w:noWrap/>
            <w:hideMark/>
          </w:tcPr>
          <w:p w14:paraId="76FC45D9" w14:textId="77777777" w:rsidR="003B02A1" w:rsidRPr="00660257" w:rsidRDefault="008B51E4" w:rsidP="0073609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C5.I1: </w:t>
            </w:r>
          </w:p>
          <w:p w14:paraId="0BB37FD4" w14:textId="2D537D57" w:rsidR="008B51E4" w:rsidRPr="00660257" w:rsidRDefault="008B51E4" w:rsidP="0073609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Интегриране на екосистемния подход и прилагане на решения, базирани на природата, при опазването на защитените зони от мрежата „Натура 2000“</w:t>
            </w:r>
          </w:p>
        </w:tc>
        <w:tc>
          <w:tcPr>
            <w:tcW w:w="1150" w:type="dxa"/>
            <w:tcBorders>
              <w:top w:val="nil"/>
              <w:left w:val="nil"/>
              <w:bottom w:val="single" w:sz="4" w:space="0" w:color="auto"/>
              <w:right w:val="single" w:sz="4" w:space="0" w:color="auto"/>
            </w:tcBorders>
            <w:shd w:val="clear" w:color="auto" w:fill="C6EFCE"/>
            <w:noWrap/>
            <w:hideMark/>
          </w:tcPr>
          <w:p w14:paraId="003B8F35" w14:textId="7437671A" w:rsidR="008B51E4" w:rsidRPr="00660257" w:rsidRDefault="008B51E4" w:rsidP="0073609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Цел</w:t>
            </w:r>
          </w:p>
        </w:tc>
        <w:tc>
          <w:tcPr>
            <w:tcW w:w="1897" w:type="dxa"/>
            <w:tcBorders>
              <w:top w:val="nil"/>
              <w:left w:val="nil"/>
              <w:bottom w:val="single" w:sz="4" w:space="0" w:color="auto"/>
              <w:right w:val="single" w:sz="4" w:space="0" w:color="auto"/>
            </w:tcBorders>
            <w:shd w:val="clear" w:color="auto" w:fill="C6EFCE"/>
            <w:noWrap/>
            <w:hideMark/>
          </w:tcPr>
          <w:p w14:paraId="07F197A9" w14:textId="77777777" w:rsidR="008B51E4" w:rsidRPr="00660257" w:rsidRDefault="008B51E4" w:rsidP="0073609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Разработване на специфични за отделната зона природозащитни цели и мерки за защитените зони по „Натура 2000“</w:t>
            </w:r>
          </w:p>
        </w:tc>
        <w:tc>
          <w:tcPr>
            <w:tcW w:w="1531" w:type="dxa"/>
            <w:tcBorders>
              <w:top w:val="nil"/>
              <w:left w:val="nil"/>
              <w:bottom w:val="single" w:sz="4" w:space="0" w:color="auto"/>
              <w:right w:val="single" w:sz="4" w:space="0" w:color="auto"/>
            </w:tcBorders>
            <w:shd w:val="clear" w:color="auto" w:fill="C6EFCE"/>
            <w:noWrap/>
            <w:hideMark/>
          </w:tcPr>
          <w:p w14:paraId="5A53D2BC" w14:textId="77777777" w:rsidR="008B51E4" w:rsidRPr="008A0F8A" w:rsidRDefault="008B51E4" w:rsidP="0073609B">
            <w:pPr>
              <w:spacing w:after="0" w:line="240" w:lineRule="auto"/>
              <w:rPr>
                <w:rFonts w:ascii="Times New Roman" w:eastAsia="Times New Roman" w:hAnsi="Times New Roman" w:cs="Times New Roman"/>
                <w:noProof/>
                <w:color w:val="006100"/>
                <w:sz w:val="20"/>
                <w:szCs w:val="20"/>
                <w:lang w:val="ru-RU" w:eastAsia="en-GB"/>
              </w:rPr>
            </w:pPr>
          </w:p>
        </w:tc>
        <w:tc>
          <w:tcPr>
            <w:tcW w:w="1120" w:type="dxa"/>
            <w:tcBorders>
              <w:top w:val="nil"/>
              <w:left w:val="nil"/>
              <w:bottom w:val="single" w:sz="4" w:space="0" w:color="auto"/>
              <w:right w:val="single" w:sz="4" w:space="0" w:color="auto"/>
            </w:tcBorders>
            <w:shd w:val="clear" w:color="auto" w:fill="C6EFCE"/>
            <w:noWrap/>
            <w:hideMark/>
          </w:tcPr>
          <w:p w14:paraId="5CC8622F" w14:textId="77777777" w:rsidR="008B51E4" w:rsidRPr="00660257" w:rsidRDefault="008B51E4" w:rsidP="004E3C83">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Брой</w:t>
            </w:r>
          </w:p>
        </w:tc>
        <w:tc>
          <w:tcPr>
            <w:tcW w:w="1134" w:type="dxa"/>
            <w:tcBorders>
              <w:top w:val="nil"/>
              <w:left w:val="nil"/>
              <w:bottom w:val="single" w:sz="4" w:space="0" w:color="auto"/>
              <w:right w:val="single" w:sz="4" w:space="0" w:color="auto"/>
            </w:tcBorders>
            <w:shd w:val="clear" w:color="auto" w:fill="C6EFCE"/>
            <w:noWrap/>
            <w:hideMark/>
          </w:tcPr>
          <w:p w14:paraId="0E6B8536" w14:textId="77777777" w:rsidR="008B51E4" w:rsidRPr="00660257" w:rsidRDefault="008B51E4" w:rsidP="004E3C83">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0</w:t>
            </w:r>
          </w:p>
        </w:tc>
        <w:tc>
          <w:tcPr>
            <w:tcW w:w="851" w:type="dxa"/>
            <w:tcBorders>
              <w:top w:val="nil"/>
              <w:left w:val="nil"/>
              <w:bottom w:val="single" w:sz="4" w:space="0" w:color="auto"/>
              <w:right w:val="single" w:sz="4" w:space="0" w:color="auto"/>
            </w:tcBorders>
            <w:shd w:val="clear" w:color="auto" w:fill="C6EFCE"/>
            <w:noWrap/>
            <w:hideMark/>
          </w:tcPr>
          <w:p w14:paraId="4DE21DD1" w14:textId="77777777" w:rsidR="008B51E4" w:rsidRPr="00660257" w:rsidRDefault="008B51E4" w:rsidP="004E3C83">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341</w:t>
            </w:r>
          </w:p>
        </w:tc>
        <w:tc>
          <w:tcPr>
            <w:tcW w:w="992" w:type="dxa"/>
            <w:tcBorders>
              <w:top w:val="nil"/>
              <w:left w:val="nil"/>
              <w:bottom w:val="single" w:sz="4" w:space="0" w:color="auto"/>
              <w:right w:val="single" w:sz="4" w:space="0" w:color="auto"/>
            </w:tcBorders>
            <w:shd w:val="clear" w:color="auto" w:fill="C6EFCE"/>
            <w:noWrap/>
            <w:hideMark/>
          </w:tcPr>
          <w:p w14:paraId="769EB36A" w14:textId="77777777" w:rsidR="008B51E4" w:rsidRPr="00660257" w:rsidRDefault="008B51E4" w:rsidP="004E3C83">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T4</w:t>
            </w:r>
          </w:p>
        </w:tc>
        <w:tc>
          <w:tcPr>
            <w:tcW w:w="851" w:type="dxa"/>
            <w:tcBorders>
              <w:top w:val="nil"/>
              <w:left w:val="nil"/>
              <w:bottom w:val="single" w:sz="4" w:space="0" w:color="auto"/>
              <w:right w:val="single" w:sz="4" w:space="0" w:color="auto"/>
            </w:tcBorders>
            <w:shd w:val="clear" w:color="auto" w:fill="C6EFCE"/>
            <w:noWrap/>
            <w:hideMark/>
          </w:tcPr>
          <w:p w14:paraId="4155D734" w14:textId="77777777" w:rsidR="008B51E4" w:rsidRPr="00660257" w:rsidRDefault="008B51E4" w:rsidP="004E3C83">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2023</w:t>
            </w:r>
          </w:p>
        </w:tc>
        <w:tc>
          <w:tcPr>
            <w:tcW w:w="3543" w:type="dxa"/>
            <w:tcBorders>
              <w:top w:val="nil"/>
              <w:left w:val="nil"/>
              <w:bottom w:val="single" w:sz="4" w:space="0" w:color="auto"/>
              <w:right w:val="single" w:sz="4" w:space="0" w:color="auto"/>
            </w:tcBorders>
            <w:shd w:val="clear" w:color="auto" w:fill="C6EFCE"/>
            <w:noWrap/>
            <w:vAlign w:val="bottom"/>
            <w:hideMark/>
          </w:tcPr>
          <w:p w14:paraId="152DBCBC" w14:textId="0466B96D" w:rsidR="008B51E4" w:rsidRPr="00660257" w:rsidRDefault="008B51E4" w:rsidP="00C937A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Всички 341 защитени зони от мрежата „Натура 2000“ в България трябва да имат специфични за зоната природозащитни цели и мерки в съответствие с директивите на ЕС за опазване на природата (Директива 92/43/ЕИО за местообитанията от 21 май 1992 г. и Директива 2009/147/ЕО за птиците от 30 ноември 2009 г.). Това включва разработване на специфични за зоната природозащитни цели и мерки за 255 защитени зони и мерки за опазване за допълнителни 86 защитени зони, за които специфичните за зоната цели вече са в процес на разработване.</w:t>
            </w:r>
          </w:p>
          <w:p w14:paraId="16AE3FC8" w14:textId="29C2C851" w:rsidR="008B51E4" w:rsidRPr="00660257" w:rsidRDefault="008B51E4" w:rsidP="00C937A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Успоредно с тази инвестиция ще бъде завършено определянето на територии от значение за общността като специални защитени зони (СЗЗ) в съответствие с Директивата за местообитанията (Директива 92/43/ЕИО на Съвета от 21 май 1992 г.). В резултат на това ще бъдат определени всичките 341 защитени зони от мрежата „Натура 2000“ в България. </w:t>
            </w:r>
          </w:p>
        </w:tc>
      </w:tr>
      <w:tr w:rsidR="008B51E4" w:rsidRPr="005241FC" w14:paraId="55646242" w14:textId="77777777" w:rsidTr="00054287">
        <w:trPr>
          <w:trHeight w:val="309"/>
          <w:jc w:val="center"/>
        </w:trPr>
        <w:tc>
          <w:tcPr>
            <w:tcW w:w="789" w:type="dxa"/>
            <w:tcBorders>
              <w:top w:val="nil"/>
              <w:left w:val="single" w:sz="4" w:space="0" w:color="auto"/>
              <w:bottom w:val="single" w:sz="4" w:space="0" w:color="auto"/>
              <w:right w:val="single" w:sz="4" w:space="0" w:color="auto"/>
            </w:tcBorders>
            <w:shd w:val="clear" w:color="auto" w:fill="C6EFCE"/>
            <w:noWrap/>
            <w:hideMark/>
          </w:tcPr>
          <w:p w14:paraId="45108A24" w14:textId="20520CAC" w:rsidR="008B51E4" w:rsidRPr="00660257" w:rsidRDefault="00E80F12" w:rsidP="004E3C83">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128</w:t>
            </w:r>
          </w:p>
        </w:tc>
        <w:tc>
          <w:tcPr>
            <w:tcW w:w="2013" w:type="dxa"/>
            <w:tcBorders>
              <w:top w:val="nil"/>
              <w:left w:val="nil"/>
              <w:bottom w:val="single" w:sz="4" w:space="0" w:color="auto"/>
              <w:right w:val="single" w:sz="4" w:space="0" w:color="auto"/>
            </w:tcBorders>
            <w:shd w:val="clear" w:color="auto" w:fill="C6EFCE"/>
            <w:noWrap/>
            <w:hideMark/>
          </w:tcPr>
          <w:p w14:paraId="07DEEFB5" w14:textId="77777777" w:rsidR="003B02A1" w:rsidRPr="00660257" w:rsidRDefault="008B51E4" w:rsidP="00330E01">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C5.I1:</w:t>
            </w:r>
          </w:p>
          <w:p w14:paraId="26906C9C" w14:textId="7B657C24" w:rsidR="008B51E4" w:rsidRPr="00660257" w:rsidRDefault="008B51E4" w:rsidP="00330E01">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Интегриране на екосистемния подход и прилагане на решения, базирани на природата, при опазването на защитените зони от мрежата „Натура 2000“</w:t>
            </w:r>
          </w:p>
        </w:tc>
        <w:tc>
          <w:tcPr>
            <w:tcW w:w="1150" w:type="dxa"/>
            <w:tcBorders>
              <w:top w:val="nil"/>
              <w:left w:val="nil"/>
              <w:bottom w:val="single" w:sz="4" w:space="0" w:color="auto"/>
              <w:right w:val="single" w:sz="4" w:space="0" w:color="auto"/>
            </w:tcBorders>
            <w:shd w:val="clear" w:color="auto" w:fill="C6EFCE"/>
            <w:noWrap/>
            <w:hideMark/>
          </w:tcPr>
          <w:p w14:paraId="0DA354DF" w14:textId="0EE0FC59" w:rsidR="008B51E4" w:rsidRPr="00660257" w:rsidRDefault="008B51E4" w:rsidP="004E3C83">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Цел</w:t>
            </w:r>
          </w:p>
        </w:tc>
        <w:tc>
          <w:tcPr>
            <w:tcW w:w="1897" w:type="dxa"/>
            <w:tcBorders>
              <w:top w:val="nil"/>
              <w:left w:val="nil"/>
              <w:bottom w:val="single" w:sz="4" w:space="0" w:color="auto"/>
              <w:right w:val="single" w:sz="4" w:space="0" w:color="auto"/>
            </w:tcBorders>
            <w:shd w:val="clear" w:color="auto" w:fill="C6EFCE"/>
            <w:noWrap/>
            <w:hideMark/>
          </w:tcPr>
          <w:p w14:paraId="4DFBAB54" w14:textId="683D9AC0" w:rsidR="008B51E4" w:rsidRPr="00660257" w:rsidRDefault="008B51E4" w:rsidP="004E3C83">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Възстановяване на свързаните с климата</w:t>
            </w:r>
          </w:p>
          <w:p w14:paraId="4AE897D2" w14:textId="1E66AF57" w:rsidR="008B51E4" w:rsidRPr="00660257" w:rsidRDefault="008B51E4" w:rsidP="004E3C83">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екосистеми</w:t>
            </w:r>
          </w:p>
          <w:p w14:paraId="5815391E" w14:textId="64614C2F" w:rsidR="008B51E4" w:rsidRPr="00660257" w:rsidRDefault="008B51E4" w:rsidP="004E3C83">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посредством природосъобразни</w:t>
            </w:r>
          </w:p>
          <w:p w14:paraId="413D07F8" w14:textId="77777777" w:rsidR="008B51E4" w:rsidRPr="00660257" w:rsidRDefault="008B51E4" w:rsidP="004E3C83">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решения</w:t>
            </w:r>
          </w:p>
        </w:tc>
        <w:tc>
          <w:tcPr>
            <w:tcW w:w="1531" w:type="dxa"/>
            <w:tcBorders>
              <w:top w:val="nil"/>
              <w:left w:val="nil"/>
              <w:bottom w:val="single" w:sz="4" w:space="0" w:color="auto"/>
              <w:right w:val="single" w:sz="4" w:space="0" w:color="auto"/>
            </w:tcBorders>
            <w:shd w:val="clear" w:color="auto" w:fill="C6EFCE"/>
            <w:noWrap/>
            <w:hideMark/>
          </w:tcPr>
          <w:p w14:paraId="5D67874A" w14:textId="03B48E08" w:rsidR="008B51E4" w:rsidRPr="00660257" w:rsidRDefault="008B51E4" w:rsidP="004E3C83">
            <w:pPr>
              <w:spacing w:after="0" w:line="240" w:lineRule="auto"/>
              <w:rPr>
                <w:rFonts w:ascii="Times New Roman" w:eastAsia="Times New Roman" w:hAnsi="Times New Roman" w:cs="Times New Roman"/>
                <w:noProof/>
                <w:color w:val="006100"/>
                <w:sz w:val="20"/>
                <w:szCs w:val="20"/>
                <w:lang w:val="en-GB" w:eastAsia="en-GB"/>
              </w:rPr>
            </w:pPr>
          </w:p>
        </w:tc>
        <w:tc>
          <w:tcPr>
            <w:tcW w:w="1120" w:type="dxa"/>
            <w:tcBorders>
              <w:top w:val="nil"/>
              <w:left w:val="nil"/>
              <w:bottom w:val="single" w:sz="4" w:space="0" w:color="auto"/>
              <w:right w:val="single" w:sz="4" w:space="0" w:color="auto"/>
            </w:tcBorders>
            <w:shd w:val="clear" w:color="auto" w:fill="C6EFCE"/>
            <w:noWrap/>
            <w:hideMark/>
          </w:tcPr>
          <w:p w14:paraId="67BE05AF" w14:textId="40B96C0C" w:rsidR="008B51E4" w:rsidRPr="00660257" w:rsidRDefault="008B51E4" w:rsidP="004E3C83">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Хектари</w:t>
            </w:r>
          </w:p>
        </w:tc>
        <w:tc>
          <w:tcPr>
            <w:tcW w:w="1134" w:type="dxa"/>
            <w:tcBorders>
              <w:top w:val="nil"/>
              <w:left w:val="nil"/>
              <w:bottom w:val="single" w:sz="4" w:space="0" w:color="auto"/>
              <w:right w:val="single" w:sz="4" w:space="0" w:color="auto"/>
            </w:tcBorders>
            <w:shd w:val="clear" w:color="auto" w:fill="C6EFCE"/>
            <w:noWrap/>
            <w:hideMark/>
          </w:tcPr>
          <w:p w14:paraId="7FED08AD" w14:textId="2472E978" w:rsidR="008B51E4" w:rsidRPr="00660257" w:rsidRDefault="008B51E4" w:rsidP="004E3C83">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0</w:t>
            </w:r>
          </w:p>
        </w:tc>
        <w:tc>
          <w:tcPr>
            <w:tcW w:w="851" w:type="dxa"/>
            <w:tcBorders>
              <w:top w:val="nil"/>
              <w:left w:val="nil"/>
              <w:bottom w:val="single" w:sz="4" w:space="0" w:color="auto"/>
              <w:right w:val="single" w:sz="4" w:space="0" w:color="auto"/>
            </w:tcBorders>
            <w:shd w:val="clear" w:color="auto" w:fill="C6EFCE"/>
            <w:noWrap/>
            <w:hideMark/>
          </w:tcPr>
          <w:p w14:paraId="4372C996" w14:textId="677363A7" w:rsidR="008B51E4" w:rsidRPr="00660257" w:rsidRDefault="008B51E4" w:rsidP="004E3C83">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150</w:t>
            </w:r>
          </w:p>
        </w:tc>
        <w:tc>
          <w:tcPr>
            <w:tcW w:w="992" w:type="dxa"/>
            <w:tcBorders>
              <w:top w:val="nil"/>
              <w:left w:val="nil"/>
              <w:bottom w:val="single" w:sz="4" w:space="0" w:color="auto"/>
              <w:right w:val="single" w:sz="4" w:space="0" w:color="auto"/>
            </w:tcBorders>
            <w:shd w:val="clear" w:color="auto" w:fill="C6EFCE"/>
            <w:noWrap/>
            <w:hideMark/>
          </w:tcPr>
          <w:p w14:paraId="25AC5955" w14:textId="50C2ED4F" w:rsidR="008B51E4" w:rsidRPr="00660257" w:rsidRDefault="008B51E4" w:rsidP="004E3C83">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T2</w:t>
            </w:r>
          </w:p>
        </w:tc>
        <w:tc>
          <w:tcPr>
            <w:tcW w:w="851" w:type="dxa"/>
            <w:tcBorders>
              <w:top w:val="nil"/>
              <w:left w:val="nil"/>
              <w:bottom w:val="single" w:sz="4" w:space="0" w:color="auto"/>
              <w:right w:val="single" w:sz="4" w:space="0" w:color="auto"/>
            </w:tcBorders>
            <w:shd w:val="clear" w:color="auto" w:fill="C6EFCE"/>
            <w:noWrap/>
            <w:hideMark/>
          </w:tcPr>
          <w:p w14:paraId="5FEBE38D" w14:textId="6116E243" w:rsidR="008B51E4" w:rsidRPr="00660257" w:rsidRDefault="008B51E4" w:rsidP="004E3C83">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2025</w:t>
            </w:r>
          </w:p>
        </w:tc>
        <w:tc>
          <w:tcPr>
            <w:tcW w:w="3543" w:type="dxa"/>
            <w:tcBorders>
              <w:top w:val="nil"/>
              <w:left w:val="nil"/>
              <w:bottom w:val="single" w:sz="4" w:space="0" w:color="auto"/>
              <w:right w:val="single" w:sz="4" w:space="0" w:color="auto"/>
            </w:tcBorders>
            <w:shd w:val="clear" w:color="auto" w:fill="C6EFCE"/>
            <w:noWrap/>
            <w:hideMark/>
          </w:tcPr>
          <w:p w14:paraId="7785719C" w14:textId="77777777" w:rsidR="008B51E4" w:rsidRPr="00660257" w:rsidRDefault="008B51E4" w:rsidP="004E3C83">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Възстановяване на 150 хектара местообитания чрез природосъобразни решения в съответствие с одобрените технически планове за залесяване.</w:t>
            </w:r>
          </w:p>
        </w:tc>
      </w:tr>
    </w:tbl>
    <w:p w14:paraId="032FD1C1" w14:textId="77777777" w:rsidR="008B51E4" w:rsidRPr="008A0F8A" w:rsidRDefault="008B51E4" w:rsidP="008B51E4">
      <w:pPr>
        <w:spacing w:before="120" w:after="120" w:line="240" w:lineRule="auto"/>
        <w:jc w:val="both"/>
        <w:rPr>
          <w:rFonts w:ascii="Times New Roman" w:eastAsia="Calibri" w:hAnsi="Times New Roman" w:cs="Times New Roman"/>
          <w:noProof/>
          <w:sz w:val="24"/>
          <w:szCs w:val="24"/>
          <w:lang w:val="ru-RU"/>
        </w:rPr>
        <w:sectPr w:rsidR="008B51E4" w:rsidRPr="008A0F8A" w:rsidSect="00B60432">
          <w:headerReference w:type="even" r:id="rId72"/>
          <w:headerReference w:type="default" r:id="rId73"/>
          <w:footerReference w:type="even" r:id="rId74"/>
          <w:footerReference w:type="default" r:id="rId75"/>
          <w:headerReference w:type="first" r:id="rId76"/>
          <w:footerReference w:type="first" r:id="rId77"/>
          <w:pgSz w:w="16839" w:h="11907" w:orient="landscape"/>
          <w:pgMar w:top="1134" w:right="1134" w:bottom="1134" w:left="1134" w:header="567" w:footer="567" w:gutter="0"/>
          <w:cols w:space="720"/>
          <w:docGrid w:linePitch="360"/>
        </w:sectPr>
      </w:pPr>
    </w:p>
    <w:p w14:paraId="337B62B7" w14:textId="77777777" w:rsidR="002000F5" w:rsidRPr="00562D16" w:rsidRDefault="002000F5" w:rsidP="002000F5">
      <w:pPr>
        <w:keepNext/>
        <w:tabs>
          <w:tab w:val="left" w:pos="850"/>
        </w:tabs>
        <w:spacing w:before="360" w:after="120" w:line="240" w:lineRule="auto"/>
        <w:ind w:left="850" w:hanging="850"/>
        <w:jc w:val="both"/>
        <w:outlineLvl w:val="0"/>
        <w:rPr>
          <w:rFonts w:ascii="Times New Roman" w:eastAsia="Calibri" w:hAnsi="Times New Roman" w:cs="Times New Roman"/>
          <w:b/>
          <w:smallCaps/>
          <w:noProof/>
          <w:sz w:val="24"/>
        </w:rPr>
      </w:pPr>
      <w:r>
        <w:rPr>
          <w:rFonts w:ascii="Times New Roman" w:hAnsi="Times New Roman"/>
          <w:b/>
          <w:smallCaps/>
          <w:noProof/>
          <w:sz w:val="24"/>
        </w:rPr>
        <w:tab/>
        <w:t xml:space="preserve">Е. КОМПОНЕНТ 6: Устойчиво селско стопанство </w:t>
      </w:r>
    </w:p>
    <w:p w14:paraId="1F86D4EF" w14:textId="77777777" w:rsidR="002000F5" w:rsidRPr="00562D16" w:rsidRDefault="002000F5" w:rsidP="002000F5">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Този компонент на българския план за възстановяване и устойчивост има за цел да засили устойчивото управление и конкурентоспособността на българския селскостопански сектор в контекста на екологичния преход.</w:t>
      </w:r>
    </w:p>
    <w:p w14:paraId="12A38F1F" w14:textId="77777777" w:rsidR="002000F5" w:rsidRPr="00562D16" w:rsidRDefault="002000F5" w:rsidP="002000F5">
      <w:pPr>
        <w:spacing w:before="120" w:after="120" w:line="240" w:lineRule="auto"/>
        <w:ind w:left="850"/>
        <w:jc w:val="both"/>
        <w:rPr>
          <w:rFonts w:ascii="Times New Roman" w:eastAsia="Calibri" w:hAnsi="Times New Roman" w:cs="Times New Roman"/>
          <w:noProof/>
          <w:sz w:val="24"/>
        </w:rPr>
      </w:pPr>
      <w:r>
        <w:rPr>
          <w:rFonts w:ascii="Times New Roman" w:hAnsi="Times New Roman"/>
          <w:noProof/>
          <w:sz w:val="24"/>
        </w:rPr>
        <w:t>Компонентът допринася за изпълнението на специфичните за всяка държава препоръки за 2019 и 2020 г., в които се препоръчва съсредоточаване на политиките, свързани с инвестициите, върху екологичния преход (специфична за държавата препоръка 3 от 2019 г. и специфична за държавата препоръка 3 от 2020 г.).</w:t>
      </w:r>
    </w:p>
    <w:p w14:paraId="27B657E1" w14:textId="4A4E5971" w:rsidR="002000F5" w:rsidRPr="00562D16" w:rsidRDefault="002000F5" w:rsidP="002000F5">
      <w:pPr>
        <w:spacing w:before="120" w:after="120" w:line="240" w:lineRule="auto"/>
        <w:ind w:left="850"/>
        <w:jc w:val="both"/>
        <w:rPr>
          <w:rFonts w:ascii="Times New Roman" w:eastAsia="Calibri" w:hAnsi="Times New Roman" w:cs="Times New Roman"/>
          <w:noProof/>
          <w:sz w:val="24"/>
        </w:rPr>
      </w:pPr>
      <w:r>
        <w:rPr>
          <w:rFonts w:ascii="Times New Roman" w:hAnsi="Times New Roman"/>
          <w:noProof/>
          <w:sz w:val="24"/>
        </w:rPr>
        <w:t xml:space="preserve">Очаква се, че нито една мярка в този компонент не вреди в значителна степен на екологичните цели по смисъла на член 17 от Регламент (ЕС) 2020/852, като се вземат предвид описанието на мерките и стъпките за смекчаване на последиците, определени в плана за възстановяване и устойчивост в съответствие с Техническите насоки на принципа за ненанасяне на значителни вреди (ПНЗВ) (2021/C58/01). </w:t>
      </w:r>
    </w:p>
    <w:p w14:paraId="19560E62" w14:textId="217A9837" w:rsidR="002000F5" w:rsidRPr="00562D16" w:rsidRDefault="00622861" w:rsidP="002000F5">
      <w:pPr>
        <w:spacing w:before="120" w:after="120" w:line="240" w:lineRule="auto"/>
        <w:ind w:left="850"/>
        <w:jc w:val="both"/>
        <w:rPr>
          <w:rFonts w:ascii="Times New Roman" w:eastAsia="Calibri" w:hAnsi="Times New Roman" w:cs="Times New Roman"/>
          <w:b/>
          <w:i/>
          <w:noProof/>
          <w:color w:val="4F81BD"/>
          <w:sz w:val="24"/>
        </w:rPr>
      </w:pPr>
      <w:r>
        <w:rPr>
          <w:rFonts w:ascii="Times New Roman" w:hAnsi="Times New Roman"/>
          <w:b/>
          <w:noProof/>
          <w:sz w:val="24"/>
          <w:u w:val="single"/>
        </w:rPr>
        <w:t>Е</w:t>
      </w:r>
      <w:r w:rsidR="002000F5">
        <w:rPr>
          <w:rFonts w:ascii="Times New Roman" w:hAnsi="Times New Roman"/>
          <w:b/>
          <w:noProof/>
          <w:sz w:val="24"/>
          <w:u w:val="single"/>
        </w:rPr>
        <w:t xml:space="preserve">.1 </w:t>
      </w:r>
      <w:r w:rsidR="002000F5">
        <w:rPr>
          <w:rFonts w:ascii="Times New Roman" w:hAnsi="Times New Roman"/>
          <w:b/>
          <w:noProof/>
          <w:sz w:val="24"/>
          <w:u w:val="single"/>
        </w:rPr>
        <w:tab/>
        <w:t>Описание на реформите и инвестициите за безвъзмездна финансова подкрепа</w:t>
      </w:r>
    </w:p>
    <w:p w14:paraId="15728F8F" w14:textId="626A9BAB" w:rsidR="002000F5" w:rsidRPr="00562D16" w:rsidRDefault="002000F5" w:rsidP="002000F5">
      <w:pPr>
        <w:spacing w:before="120" w:after="120" w:line="240" w:lineRule="auto"/>
        <w:ind w:left="850"/>
        <w:jc w:val="both"/>
        <w:rPr>
          <w:rFonts w:ascii="Times New Roman" w:eastAsia="Calibri" w:hAnsi="Times New Roman" w:cs="Times New Roman"/>
          <w:noProof/>
          <w:sz w:val="24"/>
          <w:u w:val="single"/>
        </w:rPr>
      </w:pPr>
      <w:r>
        <w:rPr>
          <w:rFonts w:ascii="Times New Roman" w:hAnsi="Times New Roman"/>
          <w:noProof/>
          <w:sz w:val="24"/>
          <w:u w:val="single"/>
        </w:rPr>
        <w:t>Реформа 1 (C6.R1): Актуализиране на стратегическата рамка на аграрния сектор;</w:t>
      </w:r>
    </w:p>
    <w:p w14:paraId="66FA1F23" w14:textId="77777777" w:rsidR="002000F5" w:rsidRPr="00562D16" w:rsidRDefault="002000F5" w:rsidP="002000F5">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Целта на мярката е да се адаптира стратегическата рамка на българския аграрен сектор, за да бъде съвместима с ангажиментите на страната, произтичащи от целите на ООН за устойчиво развитие и Европейския зелен пакт.</w:t>
      </w:r>
    </w:p>
    <w:p w14:paraId="248978C7" w14:textId="77777777" w:rsidR="002000F5" w:rsidRPr="00562D16" w:rsidRDefault="002000F5" w:rsidP="002000F5">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 xml:space="preserve">Мярката се състои в приемането на националната програма за действие, допринасяща за постигането на целите на стратегията „От фермата до трапезата“ до 2030 г., насочена към насърчаване на зелени инвестиции, устойчиво управление на природните ресурси (вода, почва, въздух), адаптиране към изменението на климата и смекчаване на последиците от него. Програмата определя рамка за управление и опазване на околната среда и природните ресурси в областта на селското стопанство. </w:t>
      </w:r>
    </w:p>
    <w:p w14:paraId="48EB35D2" w14:textId="77777777" w:rsidR="002000F5" w:rsidRPr="00562D16" w:rsidRDefault="002000F5" w:rsidP="002000F5">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 xml:space="preserve">Изпълнението на реформата ще приключи до 30 юни 2026 г. </w:t>
      </w:r>
    </w:p>
    <w:p w14:paraId="027C96BB" w14:textId="77777777" w:rsidR="002000F5" w:rsidRPr="008A0F8A" w:rsidRDefault="002000F5" w:rsidP="002000F5">
      <w:pPr>
        <w:spacing w:before="120" w:after="120" w:line="240" w:lineRule="auto"/>
        <w:ind w:left="850"/>
        <w:jc w:val="both"/>
        <w:rPr>
          <w:rFonts w:ascii="Times New Roman" w:eastAsia="Calibri" w:hAnsi="Times New Roman" w:cs="Times New Roman"/>
          <w:noProof/>
          <w:sz w:val="24"/>
          <w:szCs w:val="24"/>
          <w:lang w:val="ru-RU"/>
        </w:rPr>
      </w:pPr>
    </w:p>
    <w:p w14:paraId="00AF2475" w14:textId="4F4565B0" w:rsidR="002000F5" w:rsidRPr="00562D16" w:rsidRDefault="002000F5" w:rsidP="002000F5">
      <w:pPr>
        <w:spacing w:before="120" w:after="120" w:line="240" w:lineRule="auto"/>
        <w:ind w:left="850"/>
        <w:jc w:val="both"/>
        <w:rPr>
          <w:rFonts w:ascii="Times New Roman" w:eastAsia="Calibri" w:hAnsi="Times New Roman" w:cs="Times New Roman"/>
          <w:noProof/>
          <w:sz w:val="24"/>
          <w:szCs w:val="24"/>
          <w:u w:val="single"/>
        </w:rPr>
      </w:pPr>
      <w:r>
        <w:rPr>
          <w:rFonts w:ascii="Times New Roman" w:hAnsi="Times New Roman"/>
          <w:noProof/>
          <w:sz w:val="24"/>
          <w:u w:val="single"/>
        </w:rPr>
        <w:t>Инвестиция 1 (C6.I1): Фонд за насърчаване на технологичния и екологичния преход на селското стопанство</w:t>
      </w:r>
    </w:p>
    <w:p w14:paraId="5A164989" w14:textId="77777777" w:rsidR="002000F5" w:rsidRPr="00562D16" w:rsidRDefault="002000F5" w:rsidP="002000F5">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 xml:space="preserve">Целта на мярката е да допринесе за справяне с проблемите, които възпрепятстват конкурентоспособността и устойчивостта на българския аграрен сектор, и да ускори адаптирането на сектора към изменението на климата, екологизирането на неговото производство и цифровата му трансформация. </w:t>
      </w:r>
    </w:p>
    <w:p w14:paraId="241003FA" w14:textId="69027925" w:rsidR="002000F5" w:rsidRPr="00562D16" w:rsidRDefault="1172E407" w:rsidP="002000F5">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Мярката се състои в създаването на фонд за насърчаване на технологичния и екологичен преход на селското стопанство. Фондът предоставя подкрепа на земеделските стопани за изпълнението на дейности, гарантиращи опазването на околната среда и смекчаването на последиците от изменението на климата, въвеждането на иновативни производствени и цифрови технологии, технологии за производство и организация в селското стопанство, автоматизирането на работните процеси и скъсяването на веригите на доставка.</w:t>
      </w:r>
      <w:r>
        <w:rPr>
          <w:rFonts w:ascii="Times New Roman" w:hAnsi="Times New Roman"/>
          <w:noProof/>
          <w:color w:val="000000" w:themeColor="text1"/>
        </w:rPr>
        <w:t xml:space="preserve"> </w:t>
      </w:r>
      <w:r>
        <w:rPr>
          <w:rFonts w:ascii="Times New Roman" w:hAnsi="Times New Roman"/>
          <w:noProof/>
          <w:sz w:val="24"/>
        </w:rPr>
        <w:t>Фондът насърчава инвестициите в три направления: 1) технологична и екологична модернизация; 2) центрове за подготовка за предлагане на пазара и съхранение на плодове и зеленчуци; и 3) ефективно управление на водите в земеделските стопанства.</w:t>
      </w:r>
    </w:p>
    <w:p w14:paraId="512B31B1" w14:textId="77777777" w:rsidR="002000F5" w:rsidRPr="00562D16" w:rsidRDefault="002000F5" w:rsidP="002000F5">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Очаква се, че тази мярка не вреди в значителна степен на екологичните цели по смисъла на член 17 от Регламент (ЕС) 2020/852, като се вземат предвид описанието на мярката и стъпките за смекчаване на последиците, определени в плана за възстановяване и устойчивост в съответствие с техническите насоки за прилагането на принципа за „ненанасяне на значителни вреди“ (2021/C58/01). По-специално, поканата за представяне на предложения в рамките на фонда трябва да включва критерии за допустимост на проектите, осигуряващи спазване на техническите насоки за прилагането на принципа за „ненанасяне на значителни вреди“ (2021/C58/01) от страна на подкрепените проекти чрез списък на изключените дейности/активи и изискване за спазване на съответното законодателство на ЕС и национално законодателство в областта на околната среда. Направлението относно ефективното управление на водите в земеделските стопанства предоставя подпомагане само за инвестиции, които гарантират, че въздействието върху водните обекти е такова, че се очаква те да запазят добро състояние след инвестициите, като се вземат предвид бъдещите прогнози за въздействието на изменението на климата в редица сценарии.</w:t>
      </w:r>
    </w:p>
    <w:p w14:paraId="011E29FF" w14:textId="29D13C3F" w:rsidR="002000F5" w:rsidRPr="00562D16" w:rsidRDefault="002000F5" w:rsidP="002000F5">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Изпълнението на инвестицията ще приключи до 31 март 2026 г.</w:t>
      </w:r>
    </w:p>
    <w:p w14:paraId="7D3DD52E" w14:textId="77777777" w:rsidR="002000F5" w:rsidRPr="008A0F8A" w:rsidRDefault="002000F5" w:rsidP="002000F5">
      <w:pPr>
        <w:spacing w:before="120" w:after="120" w:line="240" w:lineRule="auto"/>
        <w:ind w:left="850"/>
        <w:jc w:val="both"/>
        <w:rPr>
          <w:rFonts w:ascii="Times New Roman" w:eastAsia="Calibri" w:hAnsi="Times New Roman" w:cs="Times New Roman"/>
          <w:noProof/>
          <w:sz w:val="24"/>
          <w:szCs w:val="24"/>
          <w:u w:val="single"/>
          <w:lang w:val="ru-RU"/>
        </w:rPr>
      </w:pPr>
    </w:p>
    <w:p w14:paraId="482832BC" w14:textId="0C2D4047" w:rsidR="002000F5" w:rsidRPr="00562D16" w:rsidRDefault="002000F5" w:rsidP="002000F5">
      <w:pPr>
        <w:spacing w:before="120" w:after="120" w:line="240" w:lineRule="auto"/>
        <w:ind w:left="850"/>
        <w:jc w:val="both"/>
        <w:rPr>
          <w:rFonts w:ascii="Times New Roman" w:eastAsia="Calibri" w:hAnsi="Times New Roman" w:cs="Times New Roman"/>
          <w:noProof/>
          <w:sz w:val="24"/>
          <w:szCs w:val="24"/>
          <w:u w:val="single"/>
        </w:rPr>
      </w:pPr>
      <w:r>
        <w:rPr>
          <w:rFonts w:ascii="Times New Roman" w:hAnsi="Times New Roman"/>
          <w:noProof/>
          <w:sz w:val="24"/>
          <w:u w:val="single"/>
        </w:rPr>
        <w:t>Инвестиция 2 (C6.I2): Цифровизация на процесите от фермата до трапезата</w:t>
      </w:r>
    </w:p>
    <w:p w14:paraId="492F2067" w14:textId="77777777" w:rsidR="002000F5" w:rsidRPr="00562D16" w:rsidRDefault="002000F5" w:rsidP="002000F5">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Целта на мярката е да се улесни автоматизираният обмен на данни между администрацията и земеделските стопани, за да се гарантира по-ефикасен и единен поток от данни и да се избегне необходимостта от поддържане на излишни формати на документи.</w:t>
      </w:r>
    </w:p>
    <w:p w14:paraId="2FFADB8C" w14:textId="77777777" w:rsidR="002000F5" w:rsidRPr="00562D16" w:rsidRDefault="002000F5" w:rsidP="002000F5">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Мярката се състои в създаването на централизирана електронна информационна система в земеделието с няколко модула, които дават възможност за: 1) употребата на препарати за растителна защита и торове чрез дигитализация на дневниците за тяхната употреба; 2) контрол на употребата на антимикробни ветеринарно медицински продукти; 3) проследяване от първичното производство до крайното потребление на принципа на уникален идентификационен код с цел информираност на потребителите и стимулиране производството на качествена и достъпна храна; 4) онлайн обучение, вкл. съдържание на обучителните модули и консултации на земеделски стопани. Мярката включва също така създаването на комуникационна мрежа от полеви датчици и датчици за дъжд, която да предоставя информация за влажността на почвата, температурата на въздуха и почвата и валежите.</w:t>
      </w:r>
    </w:p>
    <w:p w14:paraId="45C55251" w14:textId="77777777" w:rsidR="002000F5" w:rsidRPr="00562D16" w:rsidRDefault="002000F5" w:rsidP="002000F5">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 xml:space="preserve">Изпълнението на инвестицията ще приключи до 31 декември 2025 г. </w:t>
      </w:r>
    </w:p>
    <w:p w14:paraId="3DF3B9B4" w14:textId="77777777" w:rsidR="002000F5" w:rsidRPr="008A0F8A" w:rsidRDefault="002000F5" w:rsidP="002000F5">
      <w:pPr>
        <w:spacing w:before="120" w:after="120" w:line="240" w:lineRule="auto"/>
        <w:ind w:left="850"/>
        <w:jc w:val="both"/>
        <w:rPr>
          <w:rFonts w:ascii="Times New Roman" w:eastAsia="Calibri" w:hAnsi="Times New Roman" w:cs="Times New Roman"/>
          <w:noProof/>
          <w:sz w:val="24"/>
          <w:szCs w:val="24"/>
          <w:u w:val="single"/>
          <w:lang w:val="ru-RU"/>
        </w:rPr>
      </w:pPr>
    </w:p>
    <w:p w14:paraId="4A2804C8" w14:textId="77777777" w:rsidR="002000F5" w:rsidRPr="00562D16" w:rsidRDefault="002000F5" w:rsidP="002000F5">
      <w:pPr>
        <w:spacing w:before="120" w:after="120" w:line="240" w:lineRule="auto"/>
        <w:ind w:left="850"/>
        <w:jc w:val="both"/>
        <w:rPr>
          <w:rFonts w:ascii="Times New Roman" w:eastAsia="Calibri" w:hAnsi="Times New Roman" w:cs="Times New Roman"/>
          <w:b/>
          <w:noProof/>
          <w:sz w:val="24"/>
          <w:u w:val="single"/>
        </w:rPr>
      </w:pPr>
      <w:r>
        <w:rPr>
          <w:rFonts w:ascii="Times New Roman" w:hAnsi="Times New Roman"/>
          <w:b/>
          <w:noProof/>
          <w:sz w:val="24"/>
          <w:u w:val="single"/>
        </w:rPr>
        <w:t xml:space="preserve">Е.2. </w:t>
      </w:r>
      <w:r>
        <w:rPr>
          <w:rFonts w:ascii="Times New Roman" w:hAnsi="Times New Roman"/>
          <w:b/>
          <w:noProof/>
          <w:sz w:val="24"/>
          <w:u w:val="single"/>
        </w:rPr>
        <w:tab/>
        <w:t>Ключови етапи, цели, показатели и график за мониторинг и изпълнение на безвъзмездната финансова подкрепа</w:t>
      </w:r>
    </w:p>
    <w:p w14:paraId="7C4C570D" w14:textId="77777777" w:rsidR="002000F5" w:rsidRPr="008A0F8A" w:rsidRDefault="002000F5" w:rsidP="002000F5">
      <w:pPr>
        <w:spacing w:before="120" w:after="120" w:line="240" w:lineRule="auto"/>
        <w:ind w:left="709"/>
        <w:jc w:val="both"/>
        <w:rPr>
          <w:rFonts w:ascii="Times New Roman" w:eastAsia="Calibri" w:hAnsi="Times New Roman" w:cs="Times New Roman"/>
          <w:noProof/>
          <w:sz w:val="24"/>
          <w:lang w:val="ru-RU"/>
        </w:rPr>
        <w:sectPr w:rsidR="002000F5" w:rsidRPr="008A0F8A" w:rsidSect="00B60432">
          <w:headerReference w:type="even" r:id="rId78"/>
          <w:headerReference w:type="default" r:id="rId79"/>
          <w:footerReference w:type="even" r:id="rId80"/>
          <w:footerReference w:type="default" r:id="rId81"/>
          <w:headerReference w:type="first" r:id="rId82"/>
          <w:footerReference w:type="first" r:id="rId83"/>
          <w:pgSz w:w="11907" w:h="16839"/>
          <w:pgMar w:top="1134" w:right="1134" w:bottom="1134" w:left="1134" w:header="567" w:footer="567" w:gutter="0"/>
          <w:cols w:space="720"/>
          <w:docGrid w:linePitch="360"/>
        </w:sectPr>
      </w:pPr>
    </w:p>
    <w:tbl>
      <w:tblPr>
        <w:tblW w:w="16027" w:type="dxa"/>
        <w:jc w:val="center"/>
        <w:tblLook w:val="04A0" w:firstRow="1" w:lastRow="0" w:firstColumn="1" w:lastColumn="0" w:noHBand="0" w:noVBand="1"/>
      </w:tblPr>
      <w:tblGrid>
        <w:gridCol w:w="977"/>
        <w:gridCol w:w="1783"/>
        <w:gridCol w:w="1496"/>
        <w:gridCol w:w="1823"/>
        <w:gridCol w:w="1833"/>
        <w:gridCol w:w="1156"/>
        <w:gridCol w:w="928"/>
        <w:gridCol w:w="812"/>
        <w:gridCol w:w="1296"/>
        <w:gridCol w:w="992"/>
        <w:gridCol w:w="3664"/>
      </w:tblGrid>
      <w:tr w:rsidR="002000F5" w:rsidRPr="005241FC" w14:paraId="16BC5AAE" w14:textId="77777777" w:rsidTr="008E333E">
        <w:trPr>
          <w:trHeight w:val="927"/>
          <w:tblHeader/>
          <w:jc w:val="center"/>
        </w:trPr>
        <w:tc>
          <w:tcPr>
            <w:tcW w:w="65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7B48B3B" w14:textId="0DAB86FD" w:rsidR="002000F5" w:rsidRPr="00054287" w:rsidRDefault="002000F5" w:rsidP="00A551EA">
            <w:pPr>
              <w:spacing w:after="0" w:line="240" w:lineRule="auto"/>
              <w:jc w:val="center"/>
              <w:rPr>
                <w:rFonts w:ascii="Times New Roman" w:eastAsia="Times New Roman" w:hAnsi="Times New Roman" w:cs="Times New Roman"/>
                <w:b/>
                <w:noProof/>
                <w:sz w:val="20"/>
                <w:szCs w:val="20"/>
              </w:rPr>
            </w:pPr>
            <w:r>
              <w:rPr>
                <w:rFonts w:ascii="Times New Roman" w:hAnsi="Times New Roman"/>
                <w:b/>
                <w:noProof/>
                <w:sz w:val="20"/>
              </w:rPr>
              <w:t>Пореден номер</w:t>
            </w:r>
          </w:p>
        </w:tc>
        <w:tc>
          <w:tcPr>
            <w:tcW w:w="178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44E1381" w14:textId="77777777" w:rsidR="002000F5" w:rsidRPr="00054287" w:rsidRDefault="002000F5" w:rsidP="005446E1">
            <w:pPr>
              <w:spacing w:after="0" w:line="240" w:lineRule="auto"/>
              <w:jc w:val="center"/>
              <w:rPr>
                <w:rFonts w:ascii="Times New Roman" w:eastAsia="Times New Roman" w:hAnsi="Times New Roman" w:cs="Times New Roman"/>
                <w:b/>
                <w:noProof/>
                <w:sz w:val="20"/>
                <w:szCs w:val="20"/>
              </w:rPr>
            </w:pPr>
            <w:r>
              <w:rPr>
                <w:rFonts w:ascii="Times New Roman" w:hAnsi="Times New Roman"/>
                <w:b/>
                <w:noProof/>
                <w:sz w:val="20"/>
              </w:rPr>
              <w:t>Свързана мярка (реформа или инвестиция)</w:t>
            </w:r>
          </w:p>
        </w:tc>
        <w:tc>
          <w:tcPr>
            <w:tcW w:w="149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24EF0C3" w14:textId="77777777" w:rsidR="002000F5" w:rsidRPr="00054287" w:rsidRDefault="002000F5" w:rsidP="005446E1">
            <w:pPr>
              <w:spacing w:after="0" w:line="240" w:lineRule="auto"/>
              <w:jc w:val="center"/>
              <w:rPr>
                <w:rFonts w:ascii="Times New Roman" w:eastAsia="Times New Roman" w:hAnsi="Times New Roman" w:cs="Times New Roman"/>
                <w:b/>
                <w:noProof/>
                <w:sz w:val="20"/>
                <w:szCs w:val="20"/>
              </w:rPr>
            </w:pPr>
            <w:r>
              <w:rPr>
                <w:rFonts w:ascii="Times New Roman" w:hAnsi="Times New Roman"/>
                <w:b/>
                <w:noProof/>
                <w:sz w:val="20"/>
              </w:rPr>
              <w:t>Ключов етап / Цел</w:t>
            </w:r>
          </w:p>
        </w:tc>
        <w:tc>
          <w:tcPr>
            <w:tcW w:w="182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9774BD1" w14:textId="77777777" w:rsidR="002000F5" w:rsidRPr="00054287" w:rsidRDefault="002000F5" w:rsidP="005446E1">
            <w:pPr>
              <w:spacing w:after="0" w:line="240" w:lineRule="auto"/>
              <w:jc w:val="center"/>
              <w:rPr>
                <w:rFonts w:ascii="Times New Roman" w:eastAsia="Times New Roman" w:hAnsi="Times New Roman" w:cs="Times New Roman"/>
                <w:b/>
                <w:noProof/>
                <w:sz w:val="20"/>
                <w:szCs w:val="20"/>
              </w:rPr>
            </w:pPr>
            <w:r>
              <w:rPr>
                <w:rFonts w:ascii="Times New Roman" w:hAnsi="Times New Roman"/>
                <w:b/>
                <w:noProof/>
                <w:sz w:val="20"/>
              </w:rPr>
              <w:t>Наименование</w:t>
            </w:r>
          </w:p>
        </w:tc>
        <w:tc>
          <w:tcPr>
            <w:tcW w:w="172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0A48F1B" w14:textId="77777777" w:rsidR="002000F5" w:rsidRPr="00054287" w:rsidRDefault="002000F5" w:rsidP="005446E1">
            <w:pPr>
              <w:spacing w:after="0" w:line="240" w:lineRule="auto"/>
              <w:jc w:val="center"/>
              <w:rPr>
                <w:rFonts w:ascii="Times New Roman" w:eastAsia="Times New Roman" w:hAnsi="Times New Roman" w:cs="Times New Roman"/>
                <w:b/>
                <w:noProof/>
                <w:sz w:val="20"/>
                <w:szCs w:val="20"/>
              </w:rPr>
            </w:pPr>
            <w:r>
              <w:rPr>
                <w:rFonts w:ascii="Times New Roman" w:hAnsi="Times New Roman"/>
                <w:b/>
                <w:noProof/>
                <w:sz w:val="20"/>
              </w:rPr>
              <w:t xml:space="preserve">Качествени показатели </w:t>
            </w:r>
            <w:r>
              <w:rPr>
                <w:rFonts w:ascii="Times New Roman" w:hAnsi="Times New Roman"/>
                <w:b/>
                <w:noProof/>
                <w:sz w:val="20"/>
              </w:rPr>
              <w:br/>
              <w:t>(за ключовите етапи)</w:t>
            </w:r>
          </w:p>
        </w:tc>
        <w:tc>
          <w:tcPr>
            <w:tcW w:w="2896"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6412D426" w14:textId="77777777" w:rsidR="002000F5" w:rsidRPr="00054287" w:rsidRDefault="002000F5" w:rsidP="005446E1">
            <w:pPr>
              <w:spacing w:after="0" w:line="240" w:lineRule="auto"/>
              <w:jc w:val="center"/>
              <w:rPr>
                <w:rFonts w:ascii="Times New Roman" w:eastAsia="Times New Roman" w:hAnsi="Times New Roman" w:cs="Times New Roman"/>
                <w:b/>
                <w:noProof/>
                <w:sz w:val="20"/>
                <w:szCs w:val="20"/>
              </w:rPr>
            </w:pPr>
            <w:r>
              <w:rPr>
                <w:rFonts w:ascii="Times New Roman" w:hAnsi="Times New Roman"/>
                <w:b/>
                <w:noProof/>
                <w:sz w:val="20"/>
              </w:rPr>
              <w:t xml:space="preserve">Количествени показатели </w:t>
            </w:r>
            <w:r>
              <w:rPr>
                <w:rFonts w:ascii="Times New Roman" w:hAnsi="Times New Roman"/>
                <w:b/>
                <w:noProof/>
                <w:sz w:val="20"/>
              </w:rPr>
              <w:br/>
              <w:t>(за целите)</w:t>
            </w:r>
          </w:p>
        </w:tc>
        <w:tc>
          <w:tcPr>
            <w:tcW w:w="1984" w:type="dxa"/>
            <w:gridSpan w:val="2"/>
            <w:tcBorders>
              <w:top w:val="single" w:sz="4" w:space="0" w:color="auto"/>
              <w:left w:val="nil"/>
              <w:bottom w:val="single" w:sz="4" w:space="0" w:color="auto"/>
              <w:right w:val="single" w:sz="4" w:space="0" w:color="auto"/>
            </w:tcBorders>
            <w:shd w:val="clear" w:color="auto" w:fill="BDD7EE"/>
            <w:vAlign w:val="center"/>
            <w:hideMark/>
          </w:tcPr>
          <w:p w14:paraId="4161B1BC" w14:textId="77777777" w:rsidR="002000F5" w:rsidRPr="00054287" w:rsidRDefault="002000F5" w:rsidP="005446E1">
            <w:pPr>
              <w:spacing w:after="0" w:line="240" w:lineRule="auto"/>
              <w:jc w:val="center"/>
              <w:rPr>
                <w:rFonts w:ascii="Times New Roman" w:eastAsia="Times New Roman" w:hAnsi="Times New Roman" w:cs="Times New Roman"/>
                <w:b/>
                <w:noProof/>
                <w:sz w:val="20"/>
                <w:szCs w:val="20"/>
              </w:rPr>
            </w:pPr>
            <w:r>
              <w:rPr>
                <w:rFonts w:ascii="Times New Roman" w:hAnsi="Times New Roman"/>
                <w:b/>
                <w:noProof/>
                <w:sz w:val="20"/>
              </w:rPr>
              <w:t xml:space="preserve">Ориентировъчен график за приключване </w:t>
            </w:r>
          </w:p>
        </w:tc>
        <w:tc>
          <w:tcPr>
            <w:tcW w:w="366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BEC63C5" w14:textId="77777777" w:rsidR="002000F5" w:rsidRPr="00054287" w:rsidRDefault="002000F5" w:rsidP="005446E1">
            <w:pPr>
              <w:spacing w:after="0" w:line="240" w:lineRule="auto"/>
              <w:jc w:val="center"/>
              <w:rPr>
                <w:rFonts w:ascii="Times New Roman" w:eastAsia="Times New Roman" w:hAnsi="Times New Roman" w:cs="Times New Roman"/>
                <w:b/>
                <w:noProof/>
                <w:sz w:val="20"/>
                <w:szCs w:val="20"/>
              </w:rPr>
            </w:pPr>
            <w:r>
              <w:rPr>
                <w:rFonts w:ascii="Times New Roman" w:hAnsi="Times New Roman"/>
                <w:b/>
                <w:noProof/>
                <w:sz w:val="20"/>
              </w:rPr>
              <w:t>Описание на всеки ключов етап и цел</w:t>
            </w:r>
          </w:p>
        </w:tc>
      </w:tr>
      <w:tr w:rsidR="002000F5" w:rsidRPr="00054287" w14:paraId="03FEB973" w14:textId="77777777" w:rsidTr="008E333E">
        <w:trPr>
          <w:trHeight w:val="354"/>
          <w:tblHeader/>
          <w:jc w:val="center"/>
        </w:trPr>
        <w:tc>
          <w:tcPr>
            <w:tcW w:w="655" w:type="dxa"/>
            <w:vMerge/>
            <w:tcBorders>
              <w:top w:val="single" w:sz="4" w:space="0" w:color="auto"/>
              <w:left w:val="single" w:sz="4" w:space="0" w:color="auto"/>
              <w:bottom w:val="single" w:sz="4" w:space="0" w:color="auto"/>
              <w:right w:val="single" w:sz="4" w:space="0" w:color="auto"/>
            </w:tcBorders>
            <w:vAlign w:val="center"/>
            <w:hideMark/>
          </w:tcPr>
          <w:p w14:paraId="52EF7E15" w14:textId="77777777" w:rsidR="002000F5" w:rsidRPr="008A0F8A" w:rsidRDefault="002000F5" w:rsidP="005446E1">
            <w:pPr>
              <w:spacing w:after="0" w:line="240" w:lineRule="auto"/>
              <w:rPr>
                <w:rFonts w:ascii="Times New Roman" w:eastAsia="Times New Roman" w:hAnsi="Times New Roman" w:cs="Times New Roman"/>
                <w:b/>
                <w:bCs/>
                <w:noProof/>
                <w:sz w:val="20"/>
                <w:szCs w:val="20"/>
                <w:lang w:val="ru-RU" w:eastAsia="en-GB"/>
              </w:rPr>
            </w:pPr>
          </w:p>
        </w:tc>
        <w:tc>
          <w:tcPr>
            <w:tcW w:w="1783" w:type="dxa"/>
            <w:vMerge/>
            <w:tcBorders>
              <w:top w:val="single" w:sz="4" w:space="0" w:color="auto"/>
              <w:left w:val="single" w:sz="4" w:space="0" w:color="auto"/>
              <w:bottom w:val="single" w:sz="4" w:space="0" w:color="auto"/>
              <w:right w:val="single" w:sz="4" w:space="0" w:color="auto"/>
            </w:tcBorders>
            <w:vAlign w:val="center"/>
            <w:hideMark/>
          </w:tcPr>
          <w:p w14:paraId="48C4C04C" w14:textId="77777777" w:rsidR="002000F5" w:rsidRPr="008A0F8A" w:rsidRDefault="002000F5" w:rsidP="005446E1">
            <w:pPr>
              <w:spacing w:after="0" w:line="240" w:lineRule="auto"/>
              <w:rPr>
                <w:rFonts w:ascii="Times New Roman" w:eastAsia="Times New Roman" w:hAnsi="Times New Roman" w:cs="Times New Roman"/>
                <w:b/>
                <w:bCs/>
                <w:noProof/>
                <w:sz w:val="20"/>
                <w:szCs w:val="20"/>
                <w:lang w:val="ru-RU" w:eastAsia="en-GB"/>
              </w:rPr>
            </w:pPr>
          </w:p>
        </w:tc>
        <w:tc>
          <w:tcPr>
            <w:tcW w:w="1496" w:type="dxa"/>
            <w:vMerge/>
            <w:tcBorders>
              <w:top w:val="single" w:sz="4" w:space="0" w:color="auto"/>
              <w:left w:val="single" w:sz="4" w:space="0" w:color="auto"/>
              <w:bottom w:val="single" w:sz="4" w:space="0" w:color="auto"/>
              <w:right w:val="single" w:sz="4" w:space="0" w:color="auto"/>
            </w:tcBorders>
            <w:vAlign w:val="center"/>
            <w:hideMark/>
          </w:tcPr>
          <w:p w14:paraId="3F120731" w14:textId="77777777" w:rsidR="002000F5" w:rsidRPr="008A0F8A" w:rsidRDefault="002000F5" w:rsidP="005446E1">
            <w:pPr>
              <w:spacing w:after="0" w:line="240" w:lineRule="auto"/>
              <w:rPr>
                <w:rFonts w:ascii="Times New Roman" w:eastAsia="Times New Roman" w:hAnsi="Times New Roman" w:cs="Times New Roman"/>
                <w:b/>
                <w:bCs/>
                <w:noProof/>
                <w:sz w:val="20"/>
                <w:szCs w:val="20"/>
                <w:lang w:val="ru-RU" w:eastAsia="en-GB"/>
              </w:rPr>
            </w:pPr>
          </w:p>
        </w:tc>
        <w:tc>
          <w:tcPr>
            <w:tcW w:w="1823" w:type="dxa"/>
            <w:vMerge/>
            <w:tcBorders>
              <w:top w:val="single" w:sz="4" w:space="0" w:color="auto"/>
              <w:left w:val="single" w:sz="4" w:space="0" w:color="auto"/>
              <w:bottom w:val="single" w:sz="4" w:space="0" w:color="auto"/>
              <w:right w:val="single" w:sz="4" w:space="0" w:color="auto"/>
            </w:tcBorders>
            <w:vAlign w:val="center"/>
            <w:hideMark/>
          </w:tcPr>
          <w:p w14:paraId="31AAA5A3" w14:textId="77777777" w:rsidR="002000F5" w:rsidRPr="008A0F8A" w:rsidRDefault="002000F5" w:rsidP="005446E1">
            <w:pPr>
              <w:spacing w:after="0" w:line="240" w:lineRule="auto"/>
              <w:rPr>
                <w:rFonts w:ascii="Times New Roman" w:eastAsia="Times New Roman" w:hAnsi="Times New Roman" w:cs="Times New Roman"/>
                <w:b/>
                <w:bCs/>
                <w:noProof/>
                <w:sz w:val="20"/>
                <w:szCs w:val="20"/>
                <w:lang w:val="ru-RU" w:eastAsia="en-GB"/>
              </w:rPr>
            </w:pPr>
          </w:p>
        </w:tc>
        <w:tc>
          <w:tcPr>
            <w:tcW w:w="1726" w:type="dxa"/>
            <w:vMerge/>
            <w:tcBorders>
              <w:top w:val="single" w:sz="4" w:space="0" w:color="auto"/>
              <w:left w:val="single" w:sz="4" w:space="0" w:color="auto"/>
              <w:bottom w:val="single" w:sz="4" w:space="0" w:color="auto"/>
              <w:right w:val="single" w:sz="4" w:space="0" w:color="auto"/>
            </w:tcBorders>
            <w:vAlign w:val="center"/>
            <w:hideMark/>
          </w:tcPr>
          <w:p w14:paraId="7AA138F3" w14:textId="77777777" w:rsidR="002000F5" w:rsidRPr="008A0F8A" w:rsidRDefault="002000F5" w:rsidP="005446E1">
            <w:pPr>
              <w:spacing w:after="0" w:line="240" w:lineRule="auto"/>
              <w:rPr>
                <w:rFonts w:ascii="Times New Roman" w:eastAsia="Times New Roman" w:hAnsi="Times New Roman" w:cs="Times New Roman"/>
                <w:b/>
                <w:bCs/>
                <w:noProof/>
                <w:sz w:val="20"/>
                <w:szCs w:val="20"/>
                <w:lang w:val="ru-RU" w:eastAsia="en-GB"/>
              </w:rPr>
            </w:pPr>
          </w:p>
        </w:tc>
        <w:tc>
          <w:tcPr>
            <w:tcW w:w="1156" w:type="dxa"/>
            <w:tcBorders>
              <w:top w:val="nil"/>
              <w:left w:val="single" w:sz="4" w:space="0" w:color="auto"/>
              <w:bottom w:val="single" w:sz="4" w:space="0" w:color="auto"/>
              <w:right w:val="single" w:sz="4" w:space="0" w:color="auto"/>
            </w:tcBorders>
            <w:shd w:val="clear" w:color="auto" w:fill="BDD7EE"/>
            <w:vAlign w:val="center"/>
            <w:hideMark/>
          </w:tcPr>
          <w:p w14:paraId="1612C135" w14:textId="77777777" w:rsidR="002000F5" w:rsidRPr="00054287" w:rsidRDefault="002000F5" w:rsidP="005446E1">
            <w:pPr>
              <w:spacing w:after="0" w:line="240" w:lineRule="auto"/>
              <w:jc w:val="center"/>
              <w:rPr>
                <w:rFonts w:ascii="Times New Roman" w:eastAsia="Times New Roman" w:hAnsi="Times New Roman" w:cs="Times New Roman"/>
                <w:b/>
                <w:noProof/>
                <w:sz w:val="20"/>
                <w:szCs w:val="20"/>
              </w:rPr>
            </w:pPr>
            <w:r>
              <w:rPr>
                <w:rFonts w:ascii="Times New Roman" w:hAnsi="Times New Roman"/>
                <w:b/>
                <w:noProof/>
                <w:sz w:val="20"/>
              </w:rPr>
              <w:t>Мерна единица</w:t>
            </w:r>
          </w:p>
        </w:tc>
        <w:tc>
          <w:tcPr>
            <w:tcW w:w="928" w:type="dxa"/>
            <w:tcBorders>
              <w:top w:val="nil"/>
              <w:left w:val="nil"/>
              <w:bottom w:val="single" w:sz="4" w:space="0" w:color="auto"/>
              <w:right w:val="single" w:sz="4" w:space="0" w:color="auto"/>
            </w:tcBorders>
            <w:shd w:val="clear" w:color="auto" w:fill="BDD7EE"/>
            <w:vAlign w:val="center"/>
            <w:hideMark/>
          </w:tcPr>
          <w:p w14:paraId="688ADCB4" w14:textId="77777777" w:rsidR="002000F5" w:rsidRPr="00054287" w:rsidRDefault="002000F5" w:rsidP="005446E1">
            <w:pPr>
              <w:spacing w:after="0" w:line="240" w:lineRule="auto"/>
              <w:jc w:val="center"/>
              <w:rPr>
                <w:rFonts w:ascii="Times New Roman" w:eastAsia="Times New Roman" w:hAnsi="Times New Roman" w:cs="Times New Roman"/>
                <w:b/>
                <w:noProof/>
                <w:sz w:val="20"/>
                <w:szCs w:val="20"/>
              </w:rPr>
            </w:pPr>
            <w:r>
              <w:rPr>
                <w:rFonts w:ascii="Times New Roman" w:hAnsi="Times New Roman"/>
                <w:b/>
                <w:noProof/>
                <w:sz w:val="20"/>
              </w:rPr>
              <w:t xml:space="preserve">Базова линия </w:t>
            </w:r>
          </w:p>
        </w:tc>
        <w:tc>
          <w:tcPr>
            <w:tcW w:w="812" w:type="dxa"/>
            <w:tcBorders>
              <w:top w:val="nil"/>
              <w:left w:val="nil"/>
              <w:bottom w:val="single" w:sz="4" w:space="0" w:color="auto"/>
              <w:right w:val="single" w:sz="4" w:space="0" w:color="auto"/>
            </w:tcBorders>
            <w:shd w:val="clear" w:color="auto" w:fill="BDD7EE"/>
            <w:vAlign w:val="center"/>
            <w:hideMark/>
          </w:tcPr>
          <w:p w14:paraId="3241C60D" w14:textId="77777777" w:rsidR="002000F5" w:rsidRPr="00054287" w:rsidRDefault="002000F5" w:rsidP="005446E1">
            <w:pPr>
              <w:spacing w:after="0" w:line="240" w:lineRule="auto"/>
              <w:jc w:val="center"/>
              <w:rPr>
                <w:rFonts w:ascii="Times New Roman" w:eastAsia="Times New Roman" w:hAnsi="Times New Roman" w:cs="Times New Roman"/>
                <w:b/>
                <w:noProof/>
                <w:sz w:val="20"/>
                <w:szCs w:val="20"/>
              </w:rPr>
            </w:pPr>
            <w:r>
              <w:rPr>
                <w:rFonts w:ascii="Times New Roman" w:hAnsi="Times New Roman"/>
                <w:b/>
                <w:noProof/>
                <w:sz w:val="20"/>
              </w:rPr>
              <w:t xml:space="preserve">Цел </w:t>
            </w:r>
          </w:p>
        </w:tc>
        <w:tc>
          <w:tcPr>
            <w:tcW w:w="992" w:type="dxa"/>
            <w:tcBorders>
              <w:top w:val="nil"/>
              <w:left w:val="nil"/>
              <w:bottom w:val="single" w:sz="4" w:space="0" w:color="auto"/>
              <w:right w:val="single" w:sz="4" w:space="0" w:color="auto"/>
            </w:tcBorders>
            <w:shd w:val="clear" w:color="auto" w:fill="BDD7EE"/>
            <w:vAlign w:val="center"/>
            <w:hideMark/>
          </w:tcPr>
          <w:p w14:paraId="2057A057" w14:textId="77777777" w:rsidR="002000F5" w:rsidRPr="00054287" w:rsidRDefault="002000F5" w:rsidP="005446E1">
            <w:pPr>
              <w:spacing w:after="0" w:line="240" w:lineRule="auto"/>
              <w:jc w:val="center"/>
              <w:rPr>
                <w:rFonts w:ascii="Times New Roman" w:eastAsia="Times New Roman" w:hAnsi="Times New Roman" w:cs="Times New Roman"/>
                <w:b/>
                <w:noProof/>
                <w:sz w:val="20"/>
                <w:szCs w:val="20"/>
              </w:rPr>
            </w:pPr>
            <w:r>
              <w:rPr>
                <w:rFonts w:ascii="Times New Roman" w:hAnsi="Times New Roman"/>
                <w:b/>
                <w:noProof/>
                <w:sz w:val="20"/>
              </w:rPr>
              <w:t>Тримесечие</w:t>
            </w:r>
          </w:p>
        </w:tc>
        <w:tc>
          <w:tcPr>
            <w:tcW w:w="992" w:type="dxa"/>
            <w:tcBorders>
              <w:top w:val="nil"/>
              <w:left w:val="nil"/>
              <w:bottom w:val="single" w:sz="4" w:space="0" w:color="auto"/>
              <w:right w:val="single" w:sz="4" w:space="0" w:color="auto"/>
            </w:tcBorders>
            <w:shd w:val="clear" w:color="auto" w:fill="BDD7EE"/>
            <w:vAlign w:val="center"/>
            <w:hideMark/>
          </w:tcPr>
          <w:p w14:paraId="5CAEE53F" w14:textId="77777777" w:rsidR="002000F5" w:rsidRPr="00054287" w:rsidRDefault="002000F5" w:rsidP="005446E1">
            <w:pPr>
              <w:spacing w:after="0" w:line="240" w:lineRule="auto"/>
              <w:jc w:val="center"/>
              <w:rPr>
                <w:rFonts w:ascii="Times New Roman" w:eastAsia="Times New Roman" w:hAnsi="Times New Roman" w:cs="Times New Roman"/>
                <w:b/>
                <w:noProof/>
                <w:sz w:val="20"/>
                <w:szCs w:val="20"/>
              </w:rPr>
            </w:pPr>
            <w:r>
              <w:rPr>
                <w:rFonts w:ascii="Times New Roman" w:hAnsi="Times New Roman"/>
                <w:b/>
                <w:noProof/>
                <w:sz w:val="20"/>
              </w:rPr>
              <w:t>Година</w:t>
            </w:r>
          </w:p>
        </w:tc>
        <w:tc>
          <w:tcPr>
            <w:tcW w:w="3664" w:type="dxa"/>
            <w:vMerge/>
            <w:tcBorders>
              <w:top w:val="single" w:sz="4" w:space="0" w:color="auto"/>
              <w:bottom w:val="single" w:sz="4" w:space="0" w:color="auto"/>
              <w:right w:val="single" w:sz="4" w:space="0" w:color="auto"/>
            </w:tcBorders>
            <w:vAlign w:val="center"/>
            <w:hideMark/>
          </w:tcPr>
          <w:p w14:paraId="3C9D9234" w14:textId="77777777" w:rsidR="002000F5" w:rsidRPr="00054287" w:rsidRDefault="002000F5" w:rsidP="005446E1">
            <w:pPr>
              <w:spacing w:after="0" w:line="240" w:lineRule="auto"/>
              <w:rPr>
                <w:rFonts w:ascii="Times New Roman" w:eastAsia="Times New Roman" w:hAnsi="Times New Roman" w:cs="Times New Roman"/>
                <w:b/>
                <w:bCs/>
                <w:noProof/>
                <w:sz w:val="20"/>
                <w:szCs w:val="20"/>
                <w:lang w:val="en-GB" w:eastAsia="en-GB"/>
              </w:rPr>
            </w:pPr>
          </w:p>
        </w:tc>
      </w:tr>
      <w:tr w:rsidR="002000F5" w:rsidRPr="005241FC" w14:paraId="649B0274" w14:textId="77777777" w:rsidTr="008E333E">
        <w:trPr>
          <w:trHeight w:val="309"/>
          <w:jc w:val="center"/>
        </w:trPr>
        <w:tc>
          <w:tcPr>
            <w:tcW w:w="655" w:type="dxa"/>
            <w:tcBorders>
              <w:top w:val="single" w:sz="4" w:space="0" w:color="auto"/>
              <w:left w:val="single" w:sz="4" w:space="0" w:color="auto"/>
              <w:bottom w:val="single" w:sz="4" w:space="0" w:color="auto"/>
              <w:right w:val="single" w:sz="4" w:space="0" w:color="auto"/>
            </w:tcBorders>
            <w:shd w:val="clear" w:color="auto" w:fill="C6EFCE"/>
            <w:noWrap/>
            <w:hideMark/>
          </w:tcPr>
          <w:p w14:paraId="5E1D1B1C" w14:textId="56A57156" w:rsidR="002000F5" w:rsidRPr="00054287" w:rsidRDefault="008C7D64" w:rsidP="004E3C83">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131</w:t>
            </w:r>
          </w:p>
        </w:tc>
        <w:tc>
          <w:tcPr>
            <w:tcW w:w="1783" w:type="dxa"/>
            <w:tcBorders>
              <w:top w:val="single" w:sz="4" w:space="0" w:color="auto"/>
              <w:left w:val="nil"/>
              <w:bottom w:val="single" w:sz="4" w:space="0" w:color="auto"/>
              <w:right w:val="single" w:sz="4" w:space="0" w:color="auto"/>
            </w:tcBorders>
            <w:shd w:val="clear" w:color="auto" w:fill="C6EFCE"/>
            <w:noWrap/>
            <w:hideMark/>
          </w:tcPr>
          <w:p w14:paraId="2FE387CC" w14:textId="77777777" w:rsidR="003B02A1" w:rsidRPr="00054287" w:rsidRDefault="002000F5" w:rsidP="005446E1">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C6.R1: </w:t>
            </w:r>
          </w:p>
          <w:p w14:paraId="1DA5F311" w14:textId="0245192D" w:rsidR="002000F5" w:rsidRPr="00054287" w:rsidRDefault="002000F5" w:rsidP="005446E1">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Актуализиране на стратегическата рамка на аграрния сектор;</w:t>
            </w:r>
          </w:p>
        </w:tc>
        <w:tc>
          <w:tcPr>
            <w:tcW w:w="1496" w:type="dxa"/>
            <w:tcBorders>
              <w:top w:val="single" w:sz="4" w:space="0" w:color="auto"/>
              <w:left w:val="nil"/>
              <w:bottom w:val="single" w:sz="4" w:space="0" w:color="auto"/>
              <w:right w:val="single" w:sz="4" w:space="0" w:color="auto"/>
            </w:tcBorders>
            <w:shd w:val="clear" w:color="auto" w:fill="C6EFCE"/>
            <w:noWrap/>
            <w:hideMark/>
          </w:tcPr>
          <w:p w14:paraId="026A8A41" w14:textId="77777777" w:rsidR="002000F5" w:rsidRPr="00054287" w:rsidRDefault="002000F5" w:rsidP="005446E1">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823" w:type="dxa"/>
            <w:tcBorders>
              <w:top w:val="single" w:sz="4" w:space="0" w:color="auto"/>
              <w:left w:val="nil"/>
              <w:bottom w:val="single" w:sz="4" w:space="0" w:color="auto"/>
              <w:right w:val="single" w:sz="4" w:space="0" w:color="auto"/>
            </w:tcBorders>
            <w:shd w:val="clear" w:color="auto" w:fill="C6EFCE"/>
            <w:noWrap/>
            <w:hideMark/>
          </w:tcPr>
          <w:p w14:paraId="4C468022" w14:textId="77777777" w:rsidR="002000F5" w:rsidRPr="00054287" w:rsidRDefault="002000F5" w:rsidP="005446E1">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Приемане на националната програма за действие, допринасяща за постигането на целите на стратегията „От фермата до трапезата“ до 2030 г.</w:t>
            </w:r>
          </w:p>
        </w:tc>
        <w:tc>
          <w:tcPr>
            <w:tcW w:w="1726" w:type="dxa"/>
            <w:tcBorders>
              <w:top w:val="single" w:sz="4" w:space="0" w:color="auto"/>
              <w:left w:val="nil"/>
              <w:bottom w:val="single" w:sz="4" w:space="0" w:color="auto"/>
              <w:right w:val="single" w:sz="4" w:space="0" w:color="auto"/>
            </w:tcBorders>
            <w:shd w:val="clear" w:color="auto" w:fill="C6EFCE"/>
            <w:noWrap/>
            <w:hideMark/>
          </w:tcPr>
          <w:p w14:paraId="47AE6BC0" w14:textId="77777777" w:rsidR="002000F5" w:rsidRPr="00054287" w:rsidRDefault="002000F5" w:rsidP="005446E1">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Приемане от Министерския съвет</w:t>
            </w:r>
          </w:p>
        </w:tc>
        <w:tc>
          <w:tcPr>
            <w:tcW w:w="1156" w:type="dxa"/>
            <w:tcBorders>
              <w:top w:val="nil"/>
              <w:left w:val="nil"/>
              <w:bottom w:val="single" w:sz="4" w:space="0" w:color="auto"/>
              <w:right w:val="single" w:sz="4" w:space="0" w:color="auto"/>
            </w:tcBorders>
            <w:shd w:val="clear" w:color="auto" w:fill="C6EFCE"/>
            <w:noWrap/>
            <w:vAlign w:val="bottom"/>
          </w:tcPr>
          <w:p w14:paraId="0968759A" w14:textId="77777777" w:rsidR="002000F5" w:rsidRPr="00054287" w:rsidRDefault="002000F5" w:rsidP="005446E1">
            <w:pPr>
              <w:spacing w:after="0" w:line="240" w:lineRule="auto"/>
              <w:rPr>
                <w:rFonts w:ascii="Times New Roman" w:eastAsia="Times New Roman" w:hAnsi="Times New Roman" w:cs="Times New Roman"/>
                <w:noProof/>
                <w:color w:val="006100"/>
                <w:sz w:val="20"/>
                <w:szCs w:val="20"/>
                <w:lang w:val="en-GB" w:eastAsia="en-GB"/>
              </w:rPr>
            </w:pPr>
          </w:p>
        </w:tc>
        <w:tc>
          <w:tcPr>
            <w:tcW w:w="928" w:type="dxa"/>
            <w:tcBorders>
              <w:top w:val="nil"/>
              <w:left w:val="nil"/>
              <w:bottom w:val="single" w:sz="4" w:space="0" w:color="auto"/>
              <w:right w:val="single" w:sz="4" w:space="0" w:color="auto"/>
            </w:tcBorders>
            <w:shd w:val="clear" w:color="auto" w:fill="C6EFCE"/>
            <w:noWrap/>
            <w:vAlign w:val="bottom"/>
          </w:tcPr>
          <w:p w14:paraId="0774480D" w14:textId="77777777" w:rsidR="002000F5" w:rsidRPr="00054287" w:rsidRDefault="002000F5" w:rsidP="005446E1">
            <w:pPr>
              <w:spacing w:after="0" w:line="240" w:lineRule="auto"/>
              <w:jc w:val="right"/>
              <w:rPr>
                <w:rFonts w:ascii="Times New Roman" w:eastAsia="Times New Roman" w:hAnsi="Times New Roman" w:cs="Times New Roman"/>
                <w:noProof/>
                <w:color w:val="006100"/>
                <w:sz w:val="20"/>
                <w:szCs w:val="20"/>
                <w:lang w:val="en-GB" w:eastAsia="en-GB"/>
              </w:rPr>
            </w:pPr>
          </w:p>
        </w:tc>
        <w:tc>
          <w:tcPr>
            <w:tcW w:w="812" w:type="dxa"/>
            <w:tcBorders>
              <w:top w:val="nil"/>
              <w:left w:val="nil"/>
              <w:bottom w:val="single" w:sz="4" w:space="0" w:color="auto"/>
              <w:right w:val="single" w:sz="4" w:space="0" w:color="auto"/>
            </w:tcBorders>
            <w:shd w:val="clear" w:color="auto" w:fill="C6EFCE"/>
            <w:noWrap/>
            <w:vAlign w:val="bottom"/>
          </w:tcPr>
          <w:p w14:paraId="12FCC98E" w14:textId="77777777" w:rsidR="002000F5" w:rsidRPr="00054287" w:rsidRDefault="002000F5" w:rsidP="005446E1">
            <w:pPr>
              <w:spacing w:after="0" w:line="240" w:lineRule="auto"/>
              <w:jc w:val="right"/>
              <w:rPr>
                <w:rFonts w:ascii="Times New Roman" w:eastAsia="Times New Roman" w:hAnsi="Times New Roman" w:cs="Times New Roman"/>
                <w:noProof/>
                <w:color w:val="006100"/>
                <w:sz w:val="20"/>
                <w:szCs w:val="20"/>
                <w:lang w:val="en-GB" w:eastAsia="en-GB"/>
              </w:rPr>
            </w:pPr>
          </w:p>
        </w:tc>
        <w:tc>
          <w:tcPr>
            <w:tcW w:w="992" w:type="dxa"/>
            <w:tcBorders>
              <w:top w:val="nil"/>
              <w:left w:val="nil"/>
              <w:bottom w:val="single" w:sz="4" w:space="0" w:color="auto"/>
              <w:right w:val="single" w:sz="4" w:space="0" w:color="auto"/>
            </w:tcBorders>
            <w:shd w:val="clear" w:color="auto" w:fill="C6EFCE"/>
            <w:noWrap/>
            <w:hideMark/>
          </w:tcPr>
          <w:p w14:paraId="06CD1439" w14:textId="77777777" w:rsidR="002000F5" w:rsidRPr="00054287" w:rsidRDefault="002000F5" w:rsidP="005446E1">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T4</w:t>
            </w:r>
          </w:p>
        </w:tc>
        <w:tc>
          <w:tcPr>
            <w:tcW w:w="992" w:type="dxa"/>
            <w:tcBorders>
              <w:top w:val="nil"/>
              <w:left w:val="nil"/>
              <w:bottom w:val="single" w:sz="4" w:space="0" w:color="auto"/>
              <w:right w:val="single" w:sz="4" w:space="0" w:color="auto"/>
            </w:tcBorders>
            <w:shd w:val="clear" w:color="auto" w:fill="C6EFCE"/>
            <w:noWrap/>
            <w:hideMark/>
          </w:tcPr>
          <w:p w14:paraId="048D74B3" w14:textId="77777777" w:rsidR="002000F5" w:rsidRPr="00054287" w:rsidRDefault="002000F5" w:rsidP="005446E1">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2023</w:t>
            </w:r>
          </w:p>
        </w:tc>
        <w:tc>
          <w:tcPr>
            <w:tcW w:w="3664" w:type="dxa"/>
            <w:tcBorders>
              <w:top w:val="single" w:sz="4" w:space="0" w:color="auto"/>
              <w:left w:val="nil"/>
              <w:bottom w:val="single" w:sz="4" w:space="0" w:color="auto"/>
              <w:right w:val="single" w:sz="4" w:space="0" w:color="auto"/>
            </w:tcBorders>
            <w:shd w:val="clear" w:color="auto" w:fill="C6EFCE"/>
            <w:noWrap/>
            <w:vAlign w:val="bottom"/>
            <w:hideMark/>
          </w:tcPr>
          <w:p w14:paraId="41C2AE06" w14:textId="77777777" w:rsidR="002000F5" w:rsidRPr="00054287" w:rsidRDefault="002000F5" w:rsidP="005446E1">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Националната програма за действие, допринасяща за постигането на целите на стратегията „От фермата до трапезата“ до 2030 г., определя рамка за управление и опазване на околната среда и природните ресурси в областта на селското стопанство. Програмата е насочена към насърчаване на зелени инвестиции, устойчиво управление на природните ресурси (вода, почва, въздух), адаптиране към изменението на климата и смекчаване на последиците от него. Програмата за действие се придружава от създаването на специален механизъм за мониторинг и докладване относно нейното изпълнение. </w:t>
            </w:r>
          </w:p>
        </w:tc>
      </w:tr>
      <w:tr w:rsidR="002000F5" w:rsidRPr="005241FC" w14:paraId="4DC4491B" w14:textId="77777777" w:rsidTr="2146F73B">
        <w:trPr>
          <w:trHeight w:val="309"/>
          <w:jc w:val="center"/>
        </w:trPr>
        <w:tc>
          <w:tcPr>
            <w:tcW w:w="655" w:type="dxa"/>
            <w:tcBorders>
              <w:top w:val="nil"/>
              <w:left w:val="single" w:sz="4" w:space="0" w:color="auto"/>
              <w:bottom w:val="single" w:sz="4" w:space="0" w:color="auto"/>
              <w:right w:val="single" w:sz="4" w:space="0" w:color="auto"/>
            </w:tcBorders>
            <w:shd w:val="clear" w:color="auto" w:fill="C6EFCE"/>
            <w:noWrap/>
            <w:hideMark/>
          </w:tcPr>
          <w:p w14:paraId="29BA1A06" w14:textId="52119EED" w:rsidR="002000F5" w:rsidRPr="00054287" w:rsidRDefault="008C7D64" w:rsidP="00212532">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132</w:t>
            </w:r>
          </w:p>
        </w:tc>
        <w:tc>
          <w:tcPr>
            <w:tcW w:w="1783" w:type="dxa"/>
            <w:tcBorders>
              <w:top w:val="nil"/>
              <w:left w:val="nil"/>
              <w:bottom w:val="single" w:sz="4" w:space="0" w:color="auto"/>
              <w:right w:val="single" w:sz="4" w:space="0" w:color="auto"/>
            </w:tcBorders>
            <w:shd w:val="clear" w:color="auto" w:fill="C6EFCE"/>
            <w:noWrap/>
            <w:hideMark/>
          </w:tcPr>
          <w:p w14:paraId="53ADDE02" w14:textId="77777777" w:rsidR="003B02A1" w:rsidRPr="00054287" w:rsidRDefault="002000F5" w:rsidP="004E3C83">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C6.R1: </w:t>
            </w:r>
          </w:p>
          <w:p w14:paraId="638511A6" w14:textId="088439E6" w:rsidR="002000F5" w:rsidRPr="00054287" w:rsidRDefault="002000F5" w:rsidP="004E3C83">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Актуализиране на стратегическата рамка на аграрния сектор;</w:t>
            </w:r>
          </w:p>
        </w:tc>
        <w:tc>
          <w:tcPr>
            <w:tcW w:w="1496" w:type="dxa"/>
            <w:tcBorders>
              <w:top w:val="nil"/>
              <w:left w:val="nil"/>
              <w:bottom w:val="single" w:sz="4" w:space="0" w:color="auto"/>
              <w:right w:val="single" w:sz="4" w:space="0" w:color="auto"/>
            </w:tcBorders>
            <w:shd w:val="clear" w:color="auto" w:fill="C6EFCE"/>
            <w:noWrap/>
            <w:hideMark/>
          </w:tcPr>
          <w:p w14:paraId="0302F35C" w14:textId="77777777" w:rsidR="002000F5" w:rsidRPr="00054287" w:rsidRDefault="002000F5" w:rsidP="004E3C83">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Цел</w:t>
            </w:r>
          </w:p>
        </w:tc>
        <w:tc>
          <w:tcPr>
            <w:tcW w:w="1823" w:type="dxa"/>
            <w:tcBorders>
              <w:top w:val="nil"/>
              <w:left w:val="nil"/>
              <w:bottom w:val="single" w:sz="4" w:space="0" w:color="auto"/>
              <w:right w:val="single" w:sz="4" w:space="0" w:color="auto"/>
            </w:tcBorders>
            <w:shd w:val="clear" w:color="auto" w:fill="C6EFCE"/>
            <w:noWrap/>
            <w:hideMark/>
          </w:tcPr>
          <w:p w14:paraId="233ED309" w14:textId="77777777" w:rsidR="002000F5" w:rsidRPr="00054287" w:rsidRDefault="002000F5" w:rsidP="004E3C83">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Увеличаване на дела на биологичното земеделие, което в съобразено с изискванията на екологичния и цифровия преход</w:t>
            </w:r>
          </w:p>
        </w:tc>
        <w:tc>
          <w:tcPr>
            <w:tcW w:w="1726" w:type="dxa"/>
            <w:tcBorders>
              <w:top w:val="nil"/>
              <w:left w:val="nil"/>
              <w:bottom w:val="single" w:sz="4" w:space="0" w:color="auto"/>
              <w:right w:val="single" w:sz="4" w:space="0" w:color="auto"/>
            </w:tcBorders>
            <w:shd w:val="clear" w:color="auto" w:fill="C6EFCE"/>
            <w:noWrap/>
          </w:tcPr>
          <w:p w14:paraId="3C32C61B" w14:textId="77777777" w:rsidR="002000F5" w:rsidRPr="008A0F8A" w:rsidRDefault="002000F5" w:rsidP="004E3C83">
            <w:pPr>
              <w:spacing w:after="0" w:line="240" w:lineRule="auto"/>
              <w:rPr>
                <w:rFonts w:ascii="Times New Roman" w:eastAsia="Times New Roman" w:hAnsi="Times New Roman" w:cs="Times New Roman"/>
                <w:noProof/>
                <w:color w:val="006100"/>
                <w:sz w:val="20"/>
                <w:szCs w:val="20"/>
                <w:lang w:val="ru-RU" w:eastAsia="en-GB"/>
              </w:rPr>
            </w:pPr>
          </w:p>
        </w:tc>
        <w:tc>
          <w:tcPr>
            <w:tcW w:w="1156" w:type="dxa"/>
            <w:tcBorders>
              <w:top w:val="nil"/>
              <w:left w:val="nil"/>
              <w:bottom w:val="single" w:sz="4" w:space="0" w:color="auto"/>
              <w:right w:val="single" w:sz="4" w:space="0" w:color="auto"/>
            </w:tcBorders>
            <w:shd w:val="clear" w:color="auto" w:fill="C6EFCE"/>
            <w:noWrap/>
          </w:tcPr>
          <w:p w14:paraId="02E6CF61" w14:textId="360ADF38" w:rsidR="002000F5" w:rsidRPr="00054287" w:rsidRDefault="702FA0E6" w:rsidP="004E3C83">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(процент)</w:t>
            </w:r>
          </w:p>
        </w:tc>
        <w:tc>
          <w:tcPr>
            <w:tcW w:w="928" w:type="dxa"/>
            <w:tcBorders>
              <w:top w:val="nil"/>
              <w:left w:val="nil"/>
              <w:bottom w:val="single" w:sz="4" w:space="0" w:color="auto"/>
              <w:right w:val="single" w:sz="4" w:space="0" w:color="auto"/>
            </w:tcBorders>
            <w:shd w:val="clear" w:color="auto" w:fill="C6EFCE"/>
            <w:noWrap/>
          </w:tcPr>
          <w:p w14:paraId="6BAE8059" w14:textId="77777777" w:rsidR="002000F5" w:rsidRPr="00054287" w:rsidRDefault="002000F5" w:rsidP="004E3C83">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2,3</w:t>
            </w:r>
          </w:p>
        </w:tc>
        <w:tc>
          <w:tcPr>
            <w:tcW w:w="812" w:type="dxa"/>
            <w:tcBorders>
              <w:top w:val="nil"/>
              <w:left w:val="nil"/>
              <w:bottom w:val="single" w:sz="4" w:space="0" w:color="auto"/>
              <w:right w:val="single" w:sz="4" w:space="0" w:color="auto"/>
            </w:tcBorders>
            <w:shd w:val="clear" w:color="auto" w:fill="C6EFCE"/>
            <w:noWrap/>
          </w:tcPr>
          <w:p w14:paraId="207EB472" w14:textId="77777777" w:rsidR="002000F5" w:rsidRPr="00054287" w:rsidRDefault="002000F5" w:rsidP="004E3C83">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5</w:t>
            </w:r>
          </w:p>
        </w:tc>
        <w:tc>
          <w:tcPr>
            <w:tcW w:w="992" w:type="dxa"/>
            <w:tcBorders>
              <w:top w:val="nil"/>
              <w:left w:val="nil"/>
              <w:bottom w:val="single" w:sz="4" w:space="0" w:color="auto"/>
              <w:right w:val="single" w:sz="4" w:space="0" w:color="auto"/>
            </w:tcBorders>
            <w:shd w:val="clear" w:color="auto" w:fill="C6EFCE"/>
            <w:noWrap/>
          </w:tcPr>
          <w:p w14:paraId="37DD495D" w14:textId="77777777" w:rsidR="002000F5" w:rsidRPr="00054287" w:rsidRDefault="002000F5" w:rsidP="004E3C83">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T2</w:t>
            </w:r>
          </w:p>
        </w:tc>
        <w:tc>
          <w:tcPr>
            <w:tcW w:w="992" w:type="dxa"/>
            <w:tcBorders>
              <w:top w:val="nil"/>
              <w:left w:val="nil"/>
              <w:bottom w:val="single" w:sz="4" w:space="0" w:color="auto"/>
              <w:right w:val="single" w:sz="4" w:space="0" w:color="auto"/>
            </w:tcBorders>
            <w:shd w:val="clear" w:color="auto" w:fill="C6EFCE"/>
            <w:noWrap/>
          </w:tcPr>
          <w:p w14:paraId="3F54475B" w14:textId="77777777" w:rsidR="002000F5" w:rsidRPr="00054287" w:rsidRDefault="002000F5" w:rsidP="004E3C83">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2026</w:t>
            </w:r>
          </w:p>
        </w:tc>
        <w:tc>
          <w:tcPr>
            <w:tcW w:w="3664" w:type="dxa"/>
            <w:tcBorders>
              <w:top w:val="nil"/>
              <w:left w:val="nil"/>
              <w:bottom w:val="single" w:sz="4" w:space="0" w:color="auto"/>
              <w:right w:val="single" w:sz="4" w:space="0" w:color="auto"/>
            </w:tcBorders>
            <w:shd w:val="clear" w:color="auto" w:fill="C6EFCE"/>
            <w:noWrap/>
            <w:vAlign w:val="bottom"/>
          </w:tcPr>
          <w:p w14:paraId="1F424E58" w14:textId="77777777" w:rsidR="002000F5" w:rsidRPr="00054287" w:rsidRDefault="002000F5" w:rsidP="005446E1">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Националната програма за действие, допринасяща за постигането на целите на стратегията „От фермата до трапезата“ до 2030 г., ще стимулира земеделските стопани да адаптират своите практики и ще доведе до увеличаване на дела на биологичното земеделие. Процентът на биологичната площ в хектари от общата използвана земеделска площ ще се увеличи от 2,3 % през 2019 г. на 5 % през 2025 г. въз основа на статистическите данни на Евростат за биологичното земеделие, които ще бъдат публикувани през 2026 г. </w:t>
            </w:r>
          </w:p>
        </w:tc>
      </w:tr>
      <w:tr w:rsidR="002000F5" w:rsidRPr="005241FC" w14:paraId="0FFBA2DF" w14:textId="77777777" w:rsidTr="2146F73B">
        <w:trPr>
          <w:trHeight w:val="309"/>
          <w:jc w:val="center"/>
        </w:trPr>
        <w:tc>
          <w:tcPr>
            <w:tcW w:w="655" w:type="dxa"/>
            <w:tcBorders>
              <w:top w:val="nil"/>
              <w:left w:val="single" w:sz="4" w:space="0" w:color="auto"/>
              <w:bottom w:val="single" w:sz="4" w:space="0" w:color="auto"/>
              <w:right w:val="single" w:sz="4" w:space="0" w:color="auto"/>
            </w:tcBorders>
            <w:shd w:val="clear" w:color="auto" w:fill="C6EFCE"/>
            <w:noWrap/>
          </w:tcPr>
          <w:p w14:paraId="7E35610E" w14:textId="33B5D5B6" w:rsidR="002000F5" w:rsidRPr="00054287" w:rsidRDefault="00212532" w:rsidP="004E3C83">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133</w:t>
            </w:r>
          </w:p>
        </w:tc>
        <w:tc>
          <w:tcPr>
            <w:tcW w:w="1783" w:type="dxa"/>
            <w:tcBorders>
              <w:top w:val="nil"/>
              <w:left w:val="nil"/>
              <w:bottom w:val="single" w:sz="4" w:space="0" w:color="auto"/>
              <w:right w:val="single" w:sz="4" w:space="0" w:color="auto"/>
            </w:tcBorders>
            <w:shd w:val="clear" w:color="auto" w:fill="C6EFCE"/>
            <w:noWrap/>
          </w:tcPr>
          <w:p w14:paraId="438D62E5" w14:textId="77777777" w:rsidR="003B02A1" w:rsidRPr="00054287" w:rsidRDefault="002000F5" w:rsidP="004E3C83">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C6.I1: </w:t>
            </w:r>
          </w:p>
          <w:p w14:paraId="60D94487" w14:textId="75045DBF" w:rsidR="002000F5" w:rsidRPr="00054287" w:rsidRDefault="002000F5" w:rsidP="004E3C83">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Фонд за насърчаване на технологичния и екологичния преход на селското стопанство</w:t>
            </w:r>
          </w:p>
        </w:tc>
        <w:tc>
          <w:tcPr>
            <w:tcW w:w="1496" w:type="dxa"/>
            <w:tcBorders>
              <w:top w:val="nil"/>
              <w:left w:val="nil"/>
              <w:bottom w:val="single" w:sz="4" w:space="0" w:color="auto"/>
              <w:right w:val="single" w:sz="4" w:space="0" w:color="auto"/>
            </w:tcBorders>
            <w:shd w:val="clear" w:color="auto" w:fill="C6EFCE"/>
            <w:noWrap/>
          </w:tcPr>
          <w:p w14:paraId="0A26E55C" w14:textId="77777777" w:rsidR="002000F5" w:rsidRPr="00054287" w:rsidRDefault="002000F5" w:rsidP="004E3C83">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823" w:type="dxa"/>
            <w:tcBorders>
              <w:top w:val="nil"/>
              <w:left w:val="nil"/>
              <w:bottom w:val="single" w:sz="4" w:space="0" w:color="auto"/>
              <w:right w:val="single" w:sz="4" w:space="0" w:color="auto"/>
            </w:tcBorders>
            <w:shd w:val="clear" w:color="auto" w:fill="C6EFCE"/>
            <w:noWrap/>
          </w:tcPr>
          <w:p w14:paraId="1139A6A2" w14:textId="77777777" w:rsidR="002000F5" w:rsidRPr="00054287" w:rsidRDefault="002000F5" w:rsidP="004E3C83">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Сключване на споразумения за отпускане на безвъзмездни средства за подпомагане по линия на фонда с цел насърчаване на технологичния и екологичен преход на селското стопанство</w:t>
            </w:r>
          </w:p>
        </w:tc>
        <w:tc>
          <w:tcPr>
            <w:tcW w:w="1726" w:type="dxa"/>
            <w:tcBorders>
              <w:top w:val="nil"/>
              <w:left w:val="nil"/>
              <w:bottom w:val="single" w:sz="4" w:space="0" w:color="auto"/>
              <w:right w:val="single" w:sz="4" w:space="0" w:color="auto"/>
            </w:tcBorders>
            <w:shd w:val="clear" w:color="auto" w:fill="C6EFCE"/>
            <w:noWrap/>
          </w:tcPr>
          <w:p w14:paraId="6BBA4EC5" w14:textId="77777777" w:rsidR="002000F5" w:rsidRPr="00054287" w:rsidRDefault="002000F5" w:rsidP="004E3C83">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Оповестяване на възлагането от Министерството на земеделието </w:t>
            </w:r>
          </w:p>
        </w:tc>
        <w:tc>
          <w:tcPr>
            <w:tcW w:w="1156" w:type="dxa"/>
            <w:tcBorders>
              <w:top w:val="nil"/>
              <w:left w:val="nil"/>
              <w:bottom w:val="single" w:sz="4" w:space="0" w:color="auto"/>
              <w:right w:val="single" w:sz="4" w:space="0" w:color="auto"/>
            </w:tcBorders>
            <w:shd w:val="clear" w:color="auto" w:fill="C6EFCE"/>
            <w:noWrap/>
          </w:tcPr>
          <w:p w14:paraId="656CC510" w14:textId="77777777" w:rsidR="002000F5" w:rsidRPr="008A0F8A" w:rsidRDefault="002000F5" w:rsidP="004E3C83">
            <w:pPr>
              <w:spacing w:after="0" w:line="240" w:lineRule="auto"/>
              <w:rPr>
                <w:rFonts w:ascii="Times New Roman" w:eastAsia="Times New Roman" w:hAnsi="Times New Roman" w:cs="Times New Roman"/>
                <w:noProof/>
                <w:color w:val="006100"/>
                <w:sz w:val="20"/>
                <w:szCs w:val="20"/>
                <w:lang w:val="ru-RU" w:eastAsia="en-GB"/>
              </w:rPr>
            </w:pPr>
          </w:p>
        </w:tc>
        <w:tc>
          <w:tcPr>
            <w:tcW w:w="928" w:type="dxa"/>
            <w:tcBorders>
              <w:top w:val="nil"/>
              <w:left w:val="nil"/>
              <w:bottom w:val="single" w:sz="4" w:space="0" w:color="auto"/>
              <w:right w:val="single" w:sz="4" w:space="0" w:color="auto"/>
            </w:tcBorders>
            <w:shd w:val="clear" w:color="auto" w:fill="C6EFCE"/>
            <w:noWrap/>
          </w:tcPr>
          <w:p w14:paraId="18D0ED6D" w14:textId="77777777" w:rsidR="002000F5" w:rsidRPr="008A0F8A" w:rsidRDefault="002000F5" w:rsidP="004E3C83">
            <w:pPr>
              <w:spacing w:after="0" w:line="240" w:lineRule="auto"/>
              <w:rPr>
                <w:rFonts w:ascii="Times New Roman" w:eastAsia="Times New Roman" w:hAnsi="Times New Roman" w:cs="Times New Roman"/>
                <w:noProof/>
                <w:color w:val="006100"/>
                <w:sz w:val="20"/>
                <w:szCs w:val="20"/>
                <w:lang w:val="ru-RU" w:eastAsia="en-GB"/>
              </w:rPr>
            </w:pPr>
          </w:p>
        </w:tc>
        <w:tc>
          <w:tcPr>
            <w:tcW w:w="812" w:type="dxa"/>
            <w:tcBorders>
              <w:top w:val="nil"/>
              <w:left w:val="nil"/>
              <w:bottom w:val="single" w:sz="4" w:space="0" w:color="auto"/>
              <w:right w:val="single" w:sz="4" w:space="0" w:color="auto"/>
            </w:tcBorders>
            <w:shd w:val="clear" w:color="auto" w:fill="C6EFCE"/>
            <w:noWrap/>
          </w:tcPr>
          <w:p w14:paraId="223136AE" w14:textId="77777777" w:rsidR="002000F5" w:rsidRPr="008A0F8A" w:rsidRDefault="002000F5" w:rsidP="004E3C83">
            <w:pPr>
              <w:spacing w:after="0" w:line="240" w:lineRule="auto"/>
              <w:rPr>
                <w:rFonts w:ascii="Times New Roman" w:eastAsia="Times New Roman" w:hAnsi="Times New Roman" w:cs="Times New Roman"/>
                <w:noProof/>
                <w:color w:val="006100"/>
                <w:sz w:val="20"/>
                <w:szCs w:val="20"/>
                <w:lang w:val="ru-RU" w:eastAsia="en-GB"/>
              </w:rPr>
            </w:pPr>
          </w:p>
        </w:tc>
        <w:tc>
          <w:tcPr>
            <w:tcW w:w="992" w:type="dxa"/>
            <w:tcBorders>
              <w:top w:val="nil"/>
              <w:left w:val="nil"/>
              <w:bottom w:val="single" w:sz="4" w:space="0" w:color="auto"/>
              <w:right w:val="single" w:sz="4" w:space="0" w:color="auto"/>
            </w:tcBorders>
            <w:shd w:val="clear" w:color="auto" w:fill="C6EFCE"/>
            <w:noWrap/>
          </w:tcPr>
          <w:p w14:paraId="550B8102" w14:textId="1C390EAF" w:rsidR="002000F5" w:rsidRPr="00054287" w:rsidRDefault="002000F5" w:rsidP="004E3C83">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T1</w:t>
            </w:r>
          </w:p>
        </w:tc>
        <w:tc>
          <w:tcPr>
            <w:tcW w:w="992" w:type="dxa"/>
            <w:tcBorders>
              <w:top w:val="nil"/>
              <w:left w:val="nil"/>
              <w:bottom w:val="single" w:sz="4" w:space="0" w:color="auto"/>
              <w:right w:val="single" w:sz="4" w:space="0" w:color="auto"/>
            </w:tcBorders>
            <w:shd w:val="clear" w:color="auto" w:fill="C6EFCE"/>
            <w:noWrap/>
          </w:tcPr>
          <w:p w14:paraId="356114BA" w14:textId="67BEFE82" w:rsidR="002000F5" w:rsidRPr="00054287" w:rsidRDefault="002000F5" w:rsidP="004E3C83">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2024</w:t>
            </w:r>
          </w:p>
        </w:tc>
        <w:tc>
          <w:tcPr>
            <w:tcW w:w="3664" w:type="dxa"/>
            <w:tcBorders>
              <w:top w:val="nil"/>
              <w:left w:val="nil"/>
              <w:bottom w:val="single" w:sz="4" w:space="0" w:color="auto"/>
              <w:right w:val="single" w:sz="4" w:space="0" w:color="auto"/>
            </w:tcBorders>
            <w:shd w:val="clear" w:color="auto" w:fill="C6EFCE"/>
            <w:noWrap/>
            <w:vAlign w:val="bottom"/>
          </w:tcPr>
          <w:p w14:paraId="6864E5BB" w14:textId="53F97F48" w:rsidR="002000F5" w:rsidRPr="00054287" w:rsidRDefault="1172E407" w:rsidP="005446E1">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Съобщаване на предоставянето на споразумения за отпускане на безвъзмездна финансова помощ по трите направления на фонда: </w:t>
            </w:r>
          </w:p>
          <w:p w14:paraId="01CE1FB0" w14:textId="77777777" w:rsidR="002000F5" w:rsidRPr="00054287" w:rsidRDefault="002000F5" w:rsidP="005446E1">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 технологична и екологична модернизация; </w:t>
            </w:r>
          </w:p>
          <w:p w14:paraId="07D2AED3" w14:textId="39E0FB80" w:rsidR="002000F5" w:rsidRPr="00054287" w:rsidRDefault="002000F5" w:rsidP="005446E1">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центрове за подготовка за предлагане на пазара и съхранение на плодове и зеленчуци;</w:t>
            </w:r>
            <w:r>
              <w:rPr>
                <w:rFonts w:ascii="Times New Roman" w:hAnsi="Times New Roman"/>
                <w:noProof/>
                <w:color w:val="2B579A"/>
                <w:sz w:val="20"/>
                <w:shd w:val="clear" w:color="auto" w:fill="E6E6E6"/>
              </w:rPr>
              <w:br/>
            </w:r>
            <w:r>
              <w:rPr>
                <w:rFonts w:ascii="Times New Roman" w:hAnsi="Times New Roman"/>
                <w:noProof/>
                <w:color w:val="006100"/>
                <w:sz w:val="20"/>
              </w:rPr>
              <w:t>- ефективно управление на водите в земеделските стопанства.</w:t>
            </w:r>
          </w:p>
          <w:p w14:paraId="38898D39" w14:textId="77777777" w:rsidR="002000F5" w:rsidRPr="00054287" w:rsidRDefault="002000F5" w:rsidP="005446E1">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Споразуменията за отпускане на безвъзмездни средства трябва да отговарят на критериите за допустимост на съответните покани за представяне на предложения, които гарантират, че подбраните проекти спазват техническите насоки за прилагането на принципа за „ненанасяне на значителни вреди“ (2021/C58/01) чрез списък на изключените дейности/активи и изискване за спазване на съответното законодателство на ЕС и национално законодателство в областта на околната среда. Направлението относно ефективното управление на водите в земеделските стопанства предоставя подпомагане само за инвестиции, които гарантират, че въздействието върху водните обекти е такова, че се очаква те да запазят добро състояние след инвестициите, като се вземат предвид бъдещите прогнози за въздействието на изменението на климата в редица сценарии.</w:t>
            </w:r>
          </w:p>
        </w:tc>
      </w:tr>
      <w:tr w:rsidR="002000F5" w:rsidRPr="005241FC" w14:paraId="06979E6B" w14:textId="77777777" w:rsidTr="2146F73B">
        <w:trPr>
          <w:trHeight w:val="309"/>
          <w:jc w:val="center"/>
        </w:trPr>
        <w:tc>
          <w:tcPr>
            <w:tcW w:w="655" w:type="dxa"/>
            <w:tcBorders>
              <w:top w:val="nil"/>
              <w:left w:val="single" w:sz="4" w:space="0" w:color="auto"/>
              <w:bottom w:val="single" w:sz="4" w:space="0" w:color="auto"/>
              <w:right w:val="single" w:sz="4" w:space="0" w:color="auto"/>
            </w:tcBorders>
            <w:shd w:val="clear" w:color="auto" w:fill="C6EFCE"/>
            <w:noWrap/>
            <w:hideMark/>
          </w:tcPr>
          <w:p w14:paraId="43A3EC59" w14:textId="6A8F0352" w:rsidR="002000F5" w:rsidRPr="00054287" w:rsidRDefault="00212532" w:rsidP="004E3C83">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134</w:t>
            </w:r>
          </w:p>
        </w:tc>
        <w:tc>
          <w:tcPr>
            <w:tcW w:w="1783" w:type="dxa"/>
            <w:tcBorders>
              <w:top w:val="nil"/>
              <w:left w:val="nil"/>
              <w:bottom w:val="single" w:sz="4" w:space="0" w:color="auto"/>
              <w:right w:val="single" w:sz="4" w:space="0" w:color="auto"/>
            </w:tcBorders>
            <w:shd w:val="clear" w:color="auto" w:fill="C6EFCE"/>
            <w:noWrap/>
            <w:hideMark/>
          </w:tcPr>
          <w:p w14:paraId="35466467" w14:textId="77777777" w:rsidR="003B02A1" w:rsidRPr="00054287" w:rsidRDefault="002000F5" w:rsidP="004E3C83">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C6.I1: </w:t>
            </w:r>
          </w:p>
          <w:p w14:paraId="02AEFA09" w14:textId="220BAF07" w:rsidR="002000F5" w:rsidRPr="00054287" w:rsidRDefault="002000F5" w:rsidP="004E3C83">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Фонд за насърчаване на технологичния и екологичния преход на селското стопанство</w:t>
            </w:r>
          </w:p>
        </w:tc>
        <w:tc>
          <w:tcPr>
            <w:tcW w:w="1496" w:type="dxa"/>
            <w:tcBorders>
              <w:top w:val="nil"/>
              <w:left w:val="nil"/>
              <w:bottom w:val="single" w:sz="4" w:space="0" w:color="auto"/>
              <w:right w:val="single" w:sz="4" w:space="0" w:color="auto"/>
            </w:tcBorders>
            <w:shd w:val="clear" w:color="auto" w:fill="C6EFCE"/>
            <w:noWrap/>
            <w:hideMark/>
          </w:tcPr>
          <w:p w14:paraId="0DBAEDBC" w14:textId="0E04BF33" w:rsidR="002000F5" w:rsidRPr="00054287" w:rsidRDefault="002000F5" w:rsidP="004E3C83">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Цел</w:t>
            </w:r>
          </w:p>
        </w:tc>
        <w:tc>
          <w:tcPr>
            <w:tcW w:w="1823" w:type="dxa"/>
            <w:tcBorders>
              <w:top w:val="nil"/>
              <w:left w:val="nil"/>
              <w:bottom w:val="single" w:sz="4" w:space="0" w:color="auto"/>
              <w:right w:val="single" w:sz="4" w:space="0" w:color="auto"/>
            </w:tcBorders>
            <w:shd w:val="clear" w:color="auto" w:fill="C6EFCE"/>
            <w:noWrap/>
            <w:hideMark/>
          </w:tcPr>
          <w:p w14:paraId="573EFD32" w14:textId="77777777" w:rsidR="002000F5" w:rsidRPr="00054287" w:rsidRDefault="002000F5" w:rsidP="004E3C83">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Брой на бенефициерите на проекти, получили подкрепа чрез фонда</w:t>
            </w:r>
          </w:p>
        </w:tc>
        <w:tc>
          <w:tcPr>
            <w:tcW w:w="1726" w:type="dxa"/>
            <w:tcBorders>
              <w:top w:val="nil"/>
              <w:left w:val="nil"/>
              <w:bottom w:val="single" w:sz="4" w:space="0" w:color="auto"/>
              <w:right w:val="single" w:sz="4" w:space="0" w:color="auto"/>
            </w:tcBorders>
            <w:shd w:val="clear" w:color="auto" w:fill="C6EFCE"/>
            <w:noWrap/>
            <w:hideMark/>
          </w:tcPr>
          <w:p w14:paraId="268444FA" w14:textId="77777777" w:rsidR="002000F5" w:rsidRPr="00054287" w:rsidRDefault="002000F5" w:rsidP="004E3C83">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1156" w:type="dxa"/>
            <w:tcBorders>
              <w:top w:val="nil"/>
              <w:left w:val="nil"/>
              <w:bottom w:val="single" w:sz="4" w:space="0" w:color="auto"/>
              <w:right w:val="single" w:sz="4" w:space="0" w:color="auto"/>
            </w:tcBorders>
            <w:shd w:val="clear" w:color="auto" w:fill="C6EFCE"/>
            <w:noWrap/>
            <w:hideMark/>
          </w:tcPr>
          <w:p w14:paraId="3B56EE2E" w14:textId="77777777" w:rsidR="002000F5" w:rsidRPr="00054287" w:rsidRDefault="002000F5" w:rsidP="004E3C83">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Брой</w:t>
            </w:r>
          </w:p>
        </w:tc>
        <w:tc>
          <w:tcPr>
            <w:tcW w:w="928" w:type="dxa"/>
            <w:tcBorders>
              <w:top w:val="nil"/>
              <w:left w:val="nil"/>
              <w:bottom w:val="single" w:sz="4" w:space="0" w:color="auto"/>
              <w:right w:val="single" w:sz="4" w:space="0" w:color="auto"/>
            </w:tcBorders>
            <w:shd w:val="clear" w:color="auto" w:fill="C6EFCE"/>
            <w:noWrap/>
            <w:hideMark/>
          </w:tcPr>
          <w:p w14:paraId="10FC3FDE" w14:textId="77777777" w:rsidR="002000F5" w:rsidRPr="00054287" w:rsidRDefault="002000F5" w:rsidP="004E3C83">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0</w:t>
            </w:r>
          </w:p>
        </w:tc>
        <w:tc>
          <w:tcPr>
            <w:tcW w:w="812" w:type="dxa"/>
            <w:tcBorders>
              <w:top w:val="nil"/>
              <w:left w:val="nil"/>
              <w:bottom w:val="single" w:sz="4" w:space="0" w:color="auto"/>
              <w:right w:val="single" w:sz="4" w:space="0" w:color="auto"/>
            </w:tcBorders>
            <w:shd w:val="clear" w:color="auto" w:fill="C6EFCE"/>
            <w:noWrap/>
            <w:hideMark/>
          </w:tcPr>
          <w:p w14:paraId="382AE35E" w14:textId="2BED4627" w:rsidR="002000F5" w:rsidRPr="00054287" w:rsidRDefault="002000F5" w:rsidP="004E3C83">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630</w:t>
            </w:r>
          </w:p>
        </w:tc>
        <w:tc>
          <w:tcPr>
            <w:tcW w:w="992" w:type="dxa"/>
            <w:tcBorders>
              <w:top w:val="nil"/>
              <w:left w:val="nil"/>
              <w:bottom w:val="single" w:sz="4" w:space="0" w:color="auto"/>
              <w:right w:val="single" w:sz="4" w:space="0" w:color="auto"/>
            </w:tcBorders>
            <w:shd w:val="clear" w:color="auto" w:fill="C6EFCE"/>
            <w:noWrap/>
            <w:hideMark/>
          </w:tcPr>
          <w:p w14:paraId="60615E12" w14:textId="0AAAC8B0" w:rsidR="002000F5" w:rsidRPr="00054287" w:rsidRDefault="002000F5" w:rsidP="004E3C83">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T1</w:t>
            </w:r>
          </w:p>
        </w:tc>
        <w:tc>
          <w:tcPr>
            <w:tcW w:w="992" w:type="dxa"/>
            <w:tcBorders>
              <w:top w:val="nil"/>
              <w:left w:val="nil"/>
              <w:bottom w:val="single" w:sz="4" w:space="0" w:color="auto"/>
              <w:right w:val="single" w:sz="4" w:space="0" w:color="auto"/>
            </w:tcBorders>
            <w:shd w:val="clear" w:color="auto" w:fill="C6EFCE"/>
            <w:noWrap/>
            <w:hideMark/>
          </w:tcPr>
          <w:p w14:paraId="1262B8FA" w14:textId="7721DBEB" w:rsidR="002000F5" w:rsidRPr="00054287" w:rsidRDefault="002000F5" w:rsidP="004E3C83">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2026</w:t>
            </w:r>
          </w:p>
        </w:tc>
        <w:tc>
          <w:tcPr>
            <w:tcW w:w="3664" w:type="dxa"/>
            <w:tcBorders>
              <w:top w:val="nil"/>
              <w:left w:val="nil"/>
              <w:bottom w:val="single" w:sz="4" w:space="0" w:color="auto"/>
              <w:right w:val="single" w:sz="4" w:space="0" w:color="auto"/>
            </w:tcBorders>
            <w:shd w:val="clear" w:color="auto" w:fill="C6EFCE"/>
            <w:noWrap/>
            <w:vAlign w:val="bottom"/>
            <w:hideMark/>
          </w:tcPr>
          <w:p w14:paraId="705EF987" w14:textId="7C0EF250" w:rsidR="002000F5" w:rsidRPr="00054287" w:rsidRDefault="002000F5" w:rsidP="005446E1">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Фондът има за цел да подкрепи най-малко 630 проекта. Проектите, на които са отпуснати безвъзмездни средства, трябва да преследват целите на фонда и да спазват изискванията на принципа за ненанасяне на значителни вреди, посочени в ключов етап 133.</w:t>
            </w:r>
          </w:p>
        </w:tc>
      </w:tr>
      <w:tr w:rsidR="002000F5" w:rsidRPr="005241FC" w14:paraId="5C5A75B5" w14:textId="77777777" w:rsidTr="2146F73B">
        <w:trPr>
          <w:trHeight w:val="309"/>
          <w:jc w:val="center"/>
        </w:trPr>
        <w:tc>
          <w:tcPr>
            <w:tcW w:w="655" w:type="dxa"/>
            <w:tcBorders>
              <w:top w:val="nil"/>
              <w:left w:val="single" w:sz="4" w:space="0" w:color="auto"/>
              <w:bottom w:val="single" w:sz="4" w:space="0" w:color="auto"/>
              <w:right w:val="single" w:sz="4" w:space="0" w:color="auto"/>
            </w:tcBorders>
            <w:shd w:val="clear" w:color="auto" w:fill="C6EFCE"/>
            <w:noWrap/>
          </w:tcPr>
          <w:p w14:paraId="01A5116B" w14:textId="41BB5F4F" w:rsidR="002000F5" w:rsidRPr="00054287" w:rsidRDefault="00212532" w:rsidP="004E3C83">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135</w:t>
            </w:r>
          </w:p>
        </w:tc>
        <w:tc>
          <w:tcPr>
            <w:tcW w:w="1783" w:type="dxa"/>
            <w:tcBorders>
              <w:top w:val="nil"/>
              <w:left w:val="nil"/>
              <w:bottom w:val="single" w:sz="4" w:space="0" w:color="auto"/>
              <w:right w:val="single" w:sz="4" w:space="0" w:color="auto"/>
            </w:tcBorders>
            <w:shd w:val="clear" w:color="auto" w:fill="C6EFCE"/>
            <w:noWrap/>
          </w:tcPr>
          <w:p w14:paraId="3499DF3C" w14:textId="3A3CF2AF" w:rsidR="002000F5" w:rsidRPr="00054287" w:rsidRDefault="002000F5" w:rsidP="004E3C83">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C6.I2: Цифровизация на процесите от фермата до трапезата</w:t>
            </w:r>
          </w:p>
        </w:tc>
        <w:tc>
          <w:tcPr>
            <w:tcW w:w="1496" w:type="dxa"/>
            <w:tcBorders>
              <w:top w:val="nil"/>
              <w:left w:val="nil"/>
              <w:bottom w:val="single" w:sz="4" w:space="0" w:color="auto"/>
              <w:right w:val="single" w:sz="4" w:space="0" w:color="auto"/>
            </w:tcBorders>
            <w:shd w:val="clear" w:color="auto" w:fill="C6EFCE"/>
            <w:noWrap/>
          </w:tcPr>
          <w:p w14:paraId="0E15BE78" w14:textId="77777777" w:rsidR="002000F5" w:rsidRPr="00054287" w:rsidRDefault="002000F5" w:rsidP="004E3C83">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823" w:type="dxa"/>
            <w:tcBorders>
              <w:top w:val="nil"/>
              <w:left w:val="nil"/>
              <w:bottom w:val="single" w:sz="4" w:space="0" w:color="auto"/>
              <w:right w:val="single" w:sz="4" w:space="0" w:color="auto"/>
            </w:tcBorders>
            <w:shd w:val="clear" w:color="auto" w:fill="C6EFCE"/>
            <w:noWrap/>
          </w:tcPr>
          <w:p w14:paraId="7338AD03" w14:textId="77777777" w:rsidR="002000F5" w:rsidRPr="00054287" w:rsidRDefault="002000F5" w:rsidP="004E3C83">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Възлагане на договори за 1) софтуерни решения за електронна информационна система в земеделието и 2) комуникационна мрежа от полеви датчици и датчици за валежи</w:t>
            </w:r>
          </w:p>
        </w:tc>
        <w:tc>
          <w:tcPr>
            <w:tcW w:w="1726" w:type="dxa"/>
            <w:tcBorders>
              <w:top w:val="nil"/>
              <w:left w:val="nil"/>
              <w:bottom w:val="single" w:sz="4" w:space="0" w:color="auto"/>
              <w:right w:val="single" w:sz="4" w:space="0" w:color="auto"/>
            </w:tcBorders>
            <w:shd w:val="clear" w:color="auto" w:fill="C6EFCE"/>
            <w:noWrap/>
          </w:tcPr>
          <w:p w14:paraId="6052431D" w14:textId="77777777" w:rsidR="002000F5" w:rsidRPr="00054287" w:rsidRDefault="002000F5" w:rsidP="004E3C83">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Оповестяване на възлагането от Министерството на земеделието </w:t>
            </w:r>
          </w:p>
        </w:tc>
        <w:tc>
          <w:tcPr>
            <w:tcW w:w="1156" w:type="dxa"/>
            <w:tcBorders>
              <w:top w:val="nil"/>
              <w:left w:val="nil"/>
              <w:bottom w:val="single" w:sz="4" w:space="0" w:color="auto"/>
              <w:right w:val="single" w:sz="4" w:space="0" w:color="auto"/>
            </w:tcBorders>
            <w:shd w:val="clear" w:color="auto" w:fill="C6EFCE"/>
            <w:noWrap/>
          </w:tcPr>
          <w:p w14:paraId="4EE58ADF" w14:textId="77777777" w:rsidR="002000F5" w:rsidRPr="008A0F8A" w:rsidRDefault="002000F5" w:rsidP="004E3C83">
            <w:pPr>
              <w:spacing w:after="0" w:line="240" w:lineRule="auto"/>
              <w:rPr>
                <w:rFonts w:ascii="Times New Roman" w:eastAsia="Times New Roman" w:hAnsi="Times New Roman" w:cs="Times New Roman"/>
                <w:noProof/>
                <w:color w:val="006100"/>
                <w:sz w:val="20"/>
                <w:szCs w:val="20"/>
                <w:lang w:val="ru-RU" w:eastAsia="en-GB"/>
              </w:rPr>
            </w:pPr>
          </w:p>
        </w:tc>
        <w:tc>
          <w:tcPr>
            <w:tcW w:w="928" w:type="dxa"/>
            <w:tcBorders>
              <w:top w:val="nil"/>
              <w:left w:val="nil"/>
              <w:bottom w:val="single" w:sz="4" w:space="0" w:color="auto"/>
              <w:right w:val="single" w:sz="4" w:space="0" w:color="auto"/>
            </w:tcBorders>
            <w:shd w:val="clear" w:color="auto" w:fill="C6EFCE"/>
            <w:noWrap/>
          </w:tcPr>
          <w:p w14:paraId="570D76F6" w14:textId="77777777" w:rsidR="002000F5" w:rsidRPr="008A0F8A" w:rsidRDefault="002000F5" w:rsidP="004E3C83">
            <w:pPr>
              <w:spacing w:after="0" w:line="240" w:lineRule="auto"/>
              <w:rPr>
                <w:rFonts w:ascii="Times New Roman" w:eastAsia="Times New Roman" w:hAnsi="Times New Roman" w:cs="Times New Roman"/>
                <w:noProof/>
                <w:color w:val="006100"/>
                <w:sz w:val="20"/>
                <w:szCs w:val="20"/>
                <w:lang w:val="ru-RU" w:eastAsia="en-GB"/>
              </w:rPr>
            </w:pPr>
          </w:p>
        </w:tc>
        <w:tc>
          <w:tcPr>
            <w:tcW w:w="812" w:type="dxa"/>
            <w:tcBorders>
              <w:top w:val="nil"/>
              <w:left w:val="nil"/>
              <w:bottom w:val="single" w:sz="4" w:space="0" w:color="auto"/>
              <w:right w:val="single" w:sz="4" w:space="0" w:color="auto"/>
            </w:tcBorders>
            <w:shd w:val="clear" w:color="auto" w:fill="C6EFCE"/>
            <w:noWrap/>
          </w:tcPr>
          <w:p w14:paraId="3A998F10" w14:textId="77777777" w:rsidR="002000F5" w:rsidRPr="008A0F8A" w:rsidRDefault="002000F5" w:rsidP="004E3C83">
            <w:pPr>
              <w:spacing w:after="0" w:line="240" w:lineRule="auto"/>
              <w:rPr>
                <w:rFonts w:ascii="Times New Roman" w:eastAsia="Times New Roman" w:hAnsi="Times New Roman" w:cs="Times New Roman"/>
                <w:noProof/>
                <w:color w:val="006100"/>
                <w:sz w:val="20"/>
                <w:szCs w:val="20"/>
                <w:lang w:val="ru-RU" w:eastAsia="en-GB"/>
              </w:rPr>
            </w:pPr>
          </w:p>
        </w:tc>
        <w:tc>
          <w:tcPr>
            <w:tcW w:w="992" w:type="dxa"/>
            <w:tcBorders>
              <w:top w:val="nil"/>
              <w:left w:val="nil"/>
              <w:bottom w:val="single" w:sz="4" w:space="0" w:color="auto"/>
              <w:right w:val="single" w:sz="4" w:space="0" w:color="auto"/>
            </w:tcBorders>
            <w:shd w:val="clear" w:color="auto" w:fill="C6EFCE"/>
            <w:noWrap/>
          </w:tcPr>
          <w:p w14:paraId="30122E88" w14:textId="77777777" w:rsidR="002000F5" w:rsidRPr="00054287" w:rsidRDefault="002000F5" w:rsidP="004E3C83">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T4</w:t>
            </w:r>
          </w:p>
        </w:tc>
        <w:tc>
          <w:tcPr>
            <w:tcW w:w="992" w:type="dxa"/>
            <w:tcBorders>
              <w:top w:val="nil"/>
              <w:left w:val="nil"/>
              <w:bottom w:val="single" w:sz="4" w:space="0" w:color="auto"/>
              <w:right w:val="single" w:sz="4" w:space="0" w:color="auto"/>
            </w:tcBorders>
            <w:shd w:val="clear" w:color="auto" w:fill="C6EFCE"/>
            <w:noWrap/>
          </w:tcPr>
          <w:p w14:paraId="448FE974" w14:textId="77777777" w:rsidR="002000F5" w:rsidRPr="00054287" w:rsidRDefault="002000F5" w:rsidP="004E3C83">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2023</w:t>
            </w:r>
          </w:p>
        </w:tc>
        <w:tc>
          <w:tcPr>
            <w:tcW w:w="3664" w:type="dxa"/>
            <w:tcBorders>
              <w:top w:val="nil"/>
              <w:left w:val="nil"/>
              <w:bottom w:val="single" w:sz="4" w:space="0" w:color="auto"/>
              <w:right w:val="single" w:sz="4" w:space="0" w:color="auto"/>
            </w:tcBorders>
            <w:shd w:val="clear" w:color="auto" w:fill="C6EFCE"/>
            <w:noWrap/>
            <w:vAlign w:val="bottom"/>
          </w:tcPr>
          <w:p w14:paraId="5FFBDD02" w14:textId="2282013F" w:rsidR="002000F5" w:rsidRPr="00054287" w:rsidRDefault="002000F5" w:rsidP="00991908">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Двата договора осигуряват: 1) разработване на софтуерни решения за улесняване на интегрирането на административни информационни системи в единна платформа за автоматизиран обмен на данни между администрацията и земеделските стопани и 2) създаване на комуникационна мрежа от полеви датчици и датчици за дъжд, която да предоставя информация за влажността на почвата, температурата на въздуха и почвата и валежите. Платформата, разработена по договор 1, включва следните модули, позволяващи 1) употребата на препарати за растителна защита и торове чрез дигитализация на дневниците за тяхната употреба; 2) контрол на употребата на антимикробни ветеринарно медицински продукти; 3) проследяване от първичното производство до крайното потребление; 4) онлайн обучение, вкл. съдържание на обучителните модули и консултации на земеделски стопани. </w:t>
            </w:r>
          </w:p>
        </w:tc>
      </w:tr>
      <w:tr w:rsidR="002000F5" w:rsidRPr="005241FC" w14:paraId="5465B144" w14:textId="77777777" w:rsidTr="2146F73B">
        <w:trPr>
          <w:trHeight w:val="309"/>
          <w:jc w:val="center"/>
        </w:trPr>
        <w:tc>
          <w:tcPr>
            <w:tcW w:w="655" w:type="dxa"/>
            <w:tcBorders>
              <w:top w:val="nil"/>
              <w:left w:val="single" w:sz="4" w:space="0" w:color="auto"/>
              <w:bottom w:val="single" w:sz="4" w:space="0" w:color="auto"/>
              <w:right w:val="single" w:sz="4" w:space="0" w:color="auto"/>
            </w:tcBorders>
            <w:shd w:val="clear" w:color="auto" w:fill="C6EFCE"/>
            <w:noWrap/>
            <w:hideMark/>
          </w:tcPr>
          <w:p w14:paraId="156294BF" w14:textId="090C90CE" w:rsidR="002000F5" w:rsidRPr="00054287" w:rsidRDefault="00212532" w:rsidP="004E3C83">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136</w:t>
            </w:r>
          </w:p>
        </w:tc>
        <w:tc>
          <w:tcPr>
            <w:tcW w:w="1783" w:type="dxa"/>
            <w:tcBorders>
              <w:top w:val="nil"/>
              <w:left w:val="nil"/>
              <w:bottom w:val="single" w:sz="4" w:space="0" w:color="auto"/>
              <w:right w:val="single" w:sz="4" w:space="0" w:color="auto"/>
            </w:tcBorders>
            <w:shd w:val="clear" w:color="auto" w:fill="C6EFCE"/>
            <w:noWrap/>
            <w:hideMark/>
          </w:tcPr>
          <w:p w14:paraId="21C41520" w14:textId="77777777" w:rsidR="003B02A1" w:rsidRPr="00054287" w:rsidRDefault="002000F5" w:rsidP="004E3C83">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C6.I2: </w:t>
            </w:r>
          </w:p>
          <w:p w14:paraId="01F11DC3" w14:textId="2F59C415" w:rsidR="002000F5" w:rsidRPr="00054287" w:rsidRDefault="002000F5" w:rsidP="004E3C83">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Цифровизация на процесите от фермата до трапезата</w:t>
            </w:r>
          </w:p>
        </w:tc>
        <w:tc>
          <w:tcPr>
            <w:tcW w:w="1496" w:type="dxa"/>
            <w:tcBorders>
              <w:top w:val="nil"/>
              <w:left w:val="nil"/>
              <w:bottom w:val="single" w:sz="4" w:space="0" w:color="auto"/>
              <w:right w:val="single" w:sz="4" w:space="0" w:color="auto"/>
            </w:tcBorders>
            <w:shd w:val="clear" w:color="auto" w:fill="C6EFCE"/>
            <w:noWrap/>
            <w:hideMark/>
          </w:tcPr>
          <w:p w14:paraId="1A0F6210" w14:textId="77777777" w:rsidR="002000F5" w:rsidRPr="00054287" w:rsidRDefault="002000F5" w:rsidP="004E3C83">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Ключов етап</w:t>
            </w:r>
          </w:p>
        </w:tc>
        <w:tc>
          <w:tcPr>
            <w:tcW w:w="1823" w:type="dxa"/>
            <w:tcBorders>
              <w:top w:val="nil"/>
              <w:left w:val="nil"/>
              <w:bottom w:val="single" w:sz="4" w:space="0" w:color="auto"/>
              <w:right w:val="single" w:sz="4" w:space="0" w:color="auto"/>
            </w:tcBorders>
            <w:shd w:val="clear" w:color="auto" w:fill="C6EFCE"/>
            <w:noWrap/>
            <w:hideMark/>
          </w:tcPr>
          <w:p w14:paraId="5B31B756" w14:textId="77777777" w:rsidR="002000F5" w:rsidRPr="00054287" w:rsidRDefault="002000F5" w:rsidP="004E3C83">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Приключване и предоставяне </w:t>
            </w:r>
          </w:p>
          <w:p w14:paraId="1D533F94" w14:textId="77777777" w:rsidR="002000F5" w:rsidRPr="00054287" w:rsidRDefault="002000F5" w:rsidP="004E3C83">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на напълно функционираща 1) електронна селскостопанска информационна система и 2) комуникационна мрежа на датчици за поле и датчици за дъжд </w:t>
            </w:r>
          </w:p>
        </w:tc>
        <w:tc>
          <w:tcPr>
            <w:tcW w:w="1726" w:type="dxa"/>
            <w:tcBorders>
              <w:top w:val="nil"/>
              <w:left w:val="nil"/>
              <w:bottom w:val="single" w:sz="4" w:space="0" w:color="auto"/>
              <w:right w:val="single" w:sz="4" w:space="0" w:color="auto"/>
            </w:tcBorders>
            <w:shd w:val="clear" w:color="auto" w:fill="C6EFCE"/>
            <w:noWrap/>
            <w:hideMark/>
          </w:tcPr>
          <w:p w14:paraId="1DBAC25F" w14:textId="77777777" w:rsidR="002000F5" w:rsidRPr="00054287" w:rsidRDefault="002000F5" w:rsidP="004E3C83">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Подписване на </w:t>
            </w:r>
          </w:p>
          <w:p w14:paraId="20BF736E" w14:textId="77777777" w:rsidR="002000F5" w:rsidRPr="00054287" w:rsidRDefault="002000F5" w:rsidP="004E3C83">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приемо-предавателни </w:t>
            </w:r>
          </w:p>
          <w:p w14:paraId="28C9ABBE" w14:textId="5504A66D" w:rsidR="002000F5" w:rsidRPr="00054287" w:rsidRDefault="002000F5" w:rsidP="00D73DA3">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протоколи от възлагащия орган, потвърждаващи, че електронната информационна система в земеделието и комуникационната мрежа от полеви датчици и датчици за дъжд са напълно функциониращи. </w:t>
            </w:r>
          </w:p>
        </w:tc>
        <w:tc>
          <w:tcPr>
            <w:tcW w:w="1156" w:type="dxa"/>
            <w:tcBorders>
              <w:top w:val="nil"/>
              <w:left w:val="nil"/>
              <w:bottom w:val="single" w:sz="4" w:space="0" w:color="auto"/>
              <w:right w:val="single" w:sz="4" w:space="0" w:color="auto"/>
            </w:tcBorders>
            <w:shd w:val="clear" w:color="auto" w:fill="C6EFCE"/>
            <w:noWrap/>
            <w:hideMark/>
          </w:tcPr>
          <w:p w14:paraId="5BCE6F2A" w14:textId="77777777" w:rsidR="002000F5" w:rsidRPr="00054287" w:rsidRDefault="002000F5" w:rsidP="004E3C83">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928" w:type="dxa"/>
            <w:tcBorders>
              <w:top w:val="nil"/>
              <w:left w:val="nil"/>
              <w:bottom w:val="single" w:sz="4" w:space="0" w:color="auto"/>
              <w:right w:val="single" w:sz="4" w:space="0" w:color="auto"/>
            </w:tcBorders>
            <w:shd w:val="clear" w:color="auto" w:fill="C6EFCE"/>
            <w:noWrap/>
            <w:hideMark/>
          </w:tcPr>
          <w:p w14:paraId="198B819E" w14:textId="77777777" w:rsidR="002000F5" w:rsidRPr="00054287" w:rsidRDefault="002000F5" w:rsidP="004E3C83">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812" w:type="dxa"/>
            <w:tcBorders>
              <w:top w:val="nil"/>
              <w:left w:val="nil"/>
              <w:bottom w:val="single" w:sz="4" w:space="0" w:color="auto"/>
              <w:right w:val="single" w:sz="4" w:space="0" w:color="auto"/>
            </w:tcBorders>
            <w:shd w:val="clear" w:color="auto" w:fill="C6EFCE"/>
            <w:noWrap/>
            <w:hideMark/>
          </w:tcPr>
          <w:p w14:paraId="17F83855" w14:textId="77777777" w:rsidR="002000F5" w:rsidRPr="00054287" w:rsidRDefault="002000F5" w:rsidP="004E3C83">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992" w:type="dxa"/>
            <w:tcBorders>
              <w:top w:val="nil"/>
              <w:left w:val="nil"/>
              <w:bottom w:val="single" w:sz="4" w:space="0" w:color="auto"/>
              <w:right w:val="single" w:sz="4" w:space="0" w:color="auto"/>
            </w:tcBorders>
            <w:shd w:val="clear" w:color="auto" w:fill="C6EFCE"/>
            <w:noWrap/>
            <w:hideMark/>
          </w:tcPr>
          <w:p w14:paraId="2895D59E" w14:textId="77777777" w:rsidR="002000F5" w:rsidRPr="00054287" w:rsidRDefault="002000F5" w:rsidP="004E3C83">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T4</w:t>
            </w:r>
          </w:p>
        </w:tc>
        <w:tc>
          <w:tcPr>
            <w:tcW w:w="992" w:type="dxa"/>
            <w:tcBorders>
              <w:top w:val="nil"/>
              <w:left w:val="nil"/>
              <w:bottom w:val="single" w:sz="4" w:space="0" w:color="auto"/>
              <w:right w:val="single" w:sz="4" w:space="0" w:color="auto"/>
            </w:tcBorders>
            <w:shd w:val="clear" w:color="auto" w:fill="C6EFCE"/>
            <w:noWrap/>
            <w:hideMark/>
          </w:tcPr>
          <w:p w14:paraId="1730E5D8" w14:textId="77777777" w:rsidR="002000F5" w:rsidRPr="00054287" w:rsidRDefault="002000F5" w:rsidP="004E3C83">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2025</w:t>
            </w:r>
          </w:p>
        </w:tc>
        <w:tc>
          <w:tcPr>
            <w:tcW w:w="3664" w:type="dxa"/>
            <w:tcBorders>
              <w:top w:val="nil"/>
              <w:left w:val="nil"/>
              <w:bottom w:val="single" w:sz="4" w:space="0" w:color="auto"/>
              <w:right w:val="single" w:sz="4" w:space="0" w:color="auto"/>
            </w:tcBorders>
            <w:shd w:val="clear" w:color="auto" w:fill="C6EFCE"/>
            <w:noWrap/>
          </w:tcPr>
          <w:p w14:paraId="49EE41F8" w14:textId="44F42F4F" w:rsidR="002000F5" w:rsidRPr="00054287" w:rsidRDefault="002000F5" w:rsidP="005446E1">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Електронната информационна система в земеделието и комуникационната мрежа от полеви датчици и датчици за дъжд включват модулите и функциите, определени в ключов етап 136.</w:t>
            </w:r>
          </w:p>
        </w:tc>
      </w:tr>
    </w:tbl>
    <w:p w14:paraId="5C4E664D" w14:textId="77777777" w:rsidR="002000F5" w:rsidRPr="008A0F8A" w:rsidRDefault="002000F5" w:rsidP="00C42371">
      <w:pPr>
        <w:framePr w:w="2" w:wrap="auto" w:hAnchor="text" w:x="-1"/>
        <w:spacing w:before="120" w:after="120" w:line="240" w:lineRule="auto"/>
        <w:ind w:left="709"/>
        <w:jc w:val="both"/>
        <w:rPr>
          <w:rFonts w:ascii="Times New Roman" w:eastAsia="Calibri" w:hAnsi="Times New Roman" w:cs="Times New Roman"/>
          <w:noProof/>
          <w:sz w:val="24"/>
          <w:szCs w:val="24"/>
          <w:lang w:val="ru-RU"/>
        </w:rPr>
        <w:sectPr w:rsidR="002000F5" w:rsidRPr="008A0F8A" w:rsidSect="00B60432">
          <w:headerReference w:type="even" r:id="rId84"/>
          <w:headerReference w:type="default" r:id="rId85"/>
          <w:footerReference w:type="even" r:id="rId86"/>
          <w:footerReference w:type="default" r:id="rId87"/>
          <w:headerReference w:type="first" r:id="rId88"/>
          <w:footerReference w:type="first" r:id="rId89"/>
          <w:pgSz w:w="16839" w:h="11907" w:orient="landscape"/>
          <w:pgMar w:top="720" w:right="720" w:bottom="720" w:left="720" w:header="709" w:footer="709" w:gutter="0"/>
          <w:cols w:space="720"/>
          <w:docGrid w:linePitch="360"/>
        </w:sectPr>
      </w:pPr>
    </w:p>
    <w:p w14:paraId="49655EBD" w14:textId="77777777" w:rsidR="00C937A7" w:rsidRPr="00562D16" w:rsidRDefault="00C937A7" w:rsidP="000750E7">
      <w:pPr>
        <w:keepNext/>
        <w:spacing w:before="360" w:after="120" w:line="240" w:lineRule="auto"/>
        <w:ind w:left="851"/>
        <w:outlineLvl w:val="0"/>
        <w:rPr>
          <w:rFonts w:ascii="Times New Roman" w:eastAsia="Calibri" w:hAnsi="Times New Roman" w:cs="Times New Roman"/>
          <w:b/>
          <w:smallCaps/>
          <w:noProof/>
          <w:sz w:val="24"/>
        </w:rPr>
      </w:pPr>
      <w:r>
        <w:rPr>
          <w:rFonts w:ascii="Times New Roman" w:hAnsi="Times New Roman"/>
          <w:b/>
          <w:smallCaps/>
          <w:noProof/>
          <w:sz w:val="24"/>
        </w:rPr>
        <w:t xml:space="preserve">Ж. КОМПОНЕНТ 7: Цифрова свързаност </w:t>
      </w:r>
    </w:p>
    <w:p w14:paraId="50F04888" w14:textId="77777777" w:rsidR="00C937A7" w:rsidRPr="00562D16" w:rsidRDefault="00C937A7" w:rsidP="000750E7">
      <w:pPr>
        <w:pStyle w:val="Text1"/>
        <w:ind w:left="851"/>
        <w:rPr>
          <w:noProof/>
        </w:rPr>
      </w:pPr>
      <w:r>
        <w:rPr>
          <w:noProof/>
        </w:rPr>
        <w:t xml:space="preserve">Този компонент на българския план за възстановяване и устойчивост съдържа мерки, които имат за цел изграждането на модерна и сигурна цифрова инфраструктура и максималното увеличаване на достъпа до онлайн услуги за гражданите, предприятията, публичните администрации и институции, особено в селските и отдалечените райони. </w:t>
      </w:r>
    </w:p>
    <w:p w14:paraId="2D1B7B60" w14:textId="619915BA" w:rsidR="00C937A7" w:rsidRPr="00562D16" w:rsidRDefault="00C937A7" w:rsidP="000750E7">
      <w:pPr>
        <w:pStyle w:val="Text1"/>
        <w:ind w:left="851"/>
        <w:rPr>
          <w:rFonts w:eastAsiaTheme="minorEastAsia"/>
          <w:noProof/>
        </w:rPr>
      </w:pPr>
      <w:r>
        <w:rPr>
          <w:noProof/>
        </w:rPr>
        <w:t>Инвестициите, включени в този компонент, се отнасят до широкомащабното разгръщане на цифрова инфраструктура и изграждането, развитието и оптимизирането на цифровата система TETRA и радиорелейната мрежа.</w:t>
      </w:r>
    </w:p>
    <w:p w14:paraId="1258CFEB" w14:textId="77777777" w:rsidR="00C937A7" w:rsidRPr="00562D16" w:rsidRDefault="00C937A7" w:rsidP="000750E7">
      <w:pPr>
        <w:pStyle w:val="Text1"/>
        <w:ind w:left="851"/>
        <w:rPr>
          <w:rFonts w:eastAsiaTheme="minorEastAsia"/>
          <w:noProof/>
        </w:rPr>
      </w:pPr>
      <w:r>
        <w:rPr>
          <w:noProof/>
        </w:rPr>
        <w:t>Реформите, включени в този компонент, имат за цел да допринесат за разработването и прилагането на ефективна политическа и регулаторна рамка, за ефективното използване на радиочестотния спектър за развитието на 5G мрежи и услуги и за създаването на благоприятна инвестиционна среда.</w:t>
      </w:r>
    </w:p>
    <w:p w14:paraId="742D2D21" w14:textId="77777777" w:rsidR="00C937A7" w:rsidRPr="00562D16" w:rsidRDefault="00C937A7" w:rsidP="000750E7">
      <w:pPr>
        <w:pStyle w:val="Text1"/>
        <w:ind w:left="851"/>
        <w:rPr>
          <w:noProof/>
        </w:rPr>
      </w:pPr>
      <w:r>
        <w:rPr>
          <w:noProof/>
        </w:rPr>
        <w:t>Компонентът подкрепя изпълнението на специфичните за всяка държава препоръки на Съвета за 2019 г. и 2020 г. и пряко или косвено ще допринесе за третиране на аспектите на специфичната за всяка държава препоръка за 2019 г. и 2020 г. По-специално реформите и инвестициите, включени в този компонент, допринасят за увеличаване на „пригодността за заетост чрез укрепване на цифровите умения“ (специфична за всяка държава препоръка 4, 2019 г.), за подобряване на достъпа до работа от разстояние и за насърчаване на цифровите умения и равния достъп до образование (специфични за държавата препоръки 2 и 2020), както и за съсредоточаване на инвестициите върху екологичния и цифровия преход (специфична за всяка държава препоръка 3, 2020 г.), свеждане до минимум на административната тежест за дружествата чрез подобряване на ефективността на публичната администрация и укрепване на цифровото управление (специфична за всяка държава препоръка 4, 2020 г.).</w:t>
      </w:r>
    </w:p>
    <w:p w14:paraId="04294520" w14:textId="77777777" w:rsidR="00C937A7" w:rsidRPr="00562D16" w:rsidRDefault="00C937A7" w:rsidP="000750E7">
      <w:pPr>
        <w:pStyle w:val="Text1"/>
        <w:ind w:left="851"/>
        <w:rPr>
          <w:noProof/>
        </w:rPr>
      </w:pPr>
      <w:r>
        <w:rPr>
          <w:noProof/>
        </w:rPr>
        <w:t xml:space="preserve">Очаква се, че нито една мярка в този компонент не вреди в значителна степен на екологичните цели по смисъла на член 17 от Регламент (ЕС) 2020/852, като се вземат предвид описанието на мерките и стъпките за смекчаване на последиците, определени в плана за възстановяване и устойчивост в съответствие с техническите насоки за прилагането на принципа за „ненанасяне на значителни вреди“ (2021/C58/01). </w:t>
      </w:r>
    </w:p>
    <w:p w14:paraId="3E4D9319" w14:textId="77777777" w:rsidR="00C937A7" w:rsidRPr="008A0F8A" w:rsidRDefault="00C937A7" w:rsidP="00C937A7">
      <w:pPr>
        <w:spacing w:before="120" w:after="120" w:line="240" w:lineRule="auto"/>
        <w:ind w:left="850"/>
        <w:jc w:val="both"/>
        <w:rPr>
          <w:rFonts w:ascii="Times New Roman" w:eastAsia="Calibri" w:hAnsi="Times New Roman" w:cs="Times New Roman"/>
          <w:noProof/>
          <w:sz w:val="24"/>
          <w:lang w:val="ru-RU"/>
        </w:rPr>
      </w:pPr>
    </w:p>
    <w:p w14:paraId="411101F2" w14:textId="4593CA27" w:rsidR="00C937A7" w:rsidRPr="00562D16" w:rsidRDefault="00622861" w:rsidP="00C937A7">
      <w:pPr>
        <w:spacing w:before="120" w:after="120" w:line="240" w:lineRule="auto"/>
        <w:ind w:left="850"/>
        <w:jc w:val="both"/>
        <w:rPr>
          <w:rFonts w:ascii="Times New Roman" w:eastAsia="Calibri" w:hAnsi="Times New Roman" w:cs="Times New Roman"/>
          <w:b/>
          <w:bCs/>
          <w:noProof/>
          <w:sz w:val="24"/>
          <w:szCs w:val="24"/>
          <w:u w:val="single"/>
        </w:rPr>
      </w:pPr>
      <w:r>
        <w:rPr>
          <w:rFonts w:ascii="Times New Roman" w:hAnsi="Times New Roman"/>
          <w:b/>
          <w:noProof/>
          <w:sz w:val="24"/>
          <w:u w:val="single"/>
        </w:rPr>
        <w:t>Ж</w:t>
      </w:r>
      <w:r w:rsidR="00C937A7">
        <w:rPr>
          <w:rFonts w:ascii="Times New Roman" w:hAnsi="Times New Roman"/>
          <w:b/>
          <w:noProof/>
          <w:sz w:val="24"/>
          <w:u w:val="single"/>
        </w:rPr>
        <w:t xml:space="preserve">.1 </w:t>
      </w:r>
      <w:r w:rsidR="00C937A7">
        <w:rPr>
          <w:rFonts w:ascii="Times New Roman" w:hAnsi="Times New Roman"/>
          <w:b/>
          <w:noProof/>
          <w:sz w:val="24"/>
          <w:u w:val="single"/>
        </w:rPr>
        <w:tab/>
        <w:t>Описание на реформите и инвестициите за безвъзмездна финансова подкрепа</w:t>
      </w:r>
    </w:p>
    <w:p w14:paraId="44846EEA" w14:textId="77777777" w:rsidR="00C937A7" w:rsidRPr="008A0F8A" w:rsidRDefault="00C937A7" w:rsidP="00C937A7">
      <w:pPr>
        <w:spacing w:before="120" w:after="120" w:line="240" w:lineRule="auto"/>
        <w:ind w:left="850"/>
        <w:jc w:val="both"/>
        <w:rPr>
          <w:rFonts w:ascii="Times New Roman" w:eastAsia="Calibri" w:hAnsi="Times New Roman" w:cs="Times New Roman"/>
          <w:b/>
          <w:i/>
          <w:noProof/>
          <w:color w:val="4F81BD"/>
          <w:sz w:val="24"/>
          <w:lang w:val="ru-RU"/>
        </w:rPr>
      </w:pPr>
    </w:p>
    <w:p w14:paraId="279FE438" w14:textId="0FC19B1E" w:rsidR="00C937A7" w:rsidRPr="00562D16" w:rsidRDefault="00C937A7" w:rsidP="000750E7">
      <w:pPr>
        <w:pStyle w:val="Bodytext20"/>
        <w:spacing w:after="120" w:line="240" w:lineRule="auto"/>
        <w:ind w:left="851" w:firstLine="0"/>
        <w:rPr>
          <w:rFonts w:ascii="Times New Roman" w:hAnsi="Times New Roman" w:cs="Times New Roman"/>
          <w:b/>
          <w:bCs/>
          <w:noProof/>
          <w:sz w:val="24"/>
          <w:szCs w:val="24"/>
        </w:rPr>
      </w:pPr>
      <w:r>
        <w:rPr>
          <w:rFonts w:ascii="Times New Roman" w:hAnsi="Times New Roman"/>
          <w:b/>
          <w:noProof/>
          <w:sz w:val="24"/>
        </w:rPr>
        <w:t>Реформа 1 (C7.R1): Разработване и прилагане на ефективна политическа и регулаторна рамка</w:t>
      </w:r>
    </w:p>
    <w:p w14:paraId="3C0310AF" w14:textId="77777777" w:rsidR="00C937A7" w:rsidRPr="00562D16" w:rsidRDefault="00C937A7" w:rsidP="000750E7">
      <w:pPr>
        <w:pStyle w:val="Bodytext20"/>
        <w:spacing w:after="120" w:line="240" w:lineRule="auto"/>
        <w:ind w:left="851" w:firstLine="0"/>
        <w:rPr>
          <w:rFonts w:ascii="Times New Roman" w:hAnsi="Times New Roman" w:cs="Times New Roman"/>
          <w:noProof/>
          <w:sz w:val="24"/>
          <w:szCs w:val="24"/>
        </w:rPr>
      </w:pPr>
      <w:r>
        <w:rPr>
          <w:rFonts w:ascii="Times New Roman" w:hAnsi="Times New Roman"/>
          <w:noProof/>
          <w:sz w:val="24"/>
        </w:rPr>
        <w:t>Реформата подобрява стратегическата, политическата и регулаторната рамка чрез изменения в Закона за електронните съобщения, насочени към осигуряване на по-ефективно, ефикасно и координирано използване на радиочестотния спектър; развитие на пазара на електронните съобщения; поддържане на условия за ефективна конкуренция; създаване на условия за изграждане и развитие на мрежи с много голям капацитет, включително 5G мрежи; подобряване на защитата на интересите на гражданите и правата на крайните ползватели, включително на хората с увреждания.</w:t>
      </w:r>
    </w:p>
    <w:p w14:paraId="5CA3E955" w14:textId="77777777" w:rsidR="00C937A7" w:rsidRPr="00562D16" w:rsidRDefault="00C937A7" w:rsidP="000750E7">
      <w:pPr>
        <w:pStyle w:val="Bodytext20"/>
        <w:spacing w:after="120" w:line="240" w:lineRule="auto"/>
        <w:ind w:left="851" w:firstLine="0"/>
        <w:rPr>
          <w:rFonts w:ascii="Times New Roman" w:hAnsi="Times New Roman" w:cs="Times New Roman"/>
          <w:noProof/>
          <w:sz w:val="24"/>
          <w:szCs w:val="24"/>
        </w:rPr>
      </w:pPr>
      <w:r>
        <w:rPr>
          <w:rFonts w:ascii="Times New Roman" w:hAnsi="Times New Roman"/>
          <w:noProof/>
          <w:sz w:val="24"/>
        </w:rPr>
        <w:t>Реформата допълва други минали действия, като например:</w:t>
      </w:r>
    </w:p>
    <w:p w14:paraId="173B40F7" w14:textId="77777777" w:rsidR="00C937A7" w:rsidRPr="00562D16" w:rsidRDefault="00C937A7" w:rsidP="000750E7">
      <w:pPr>
        <w:pStyle w:val="Bodytext20"/>
        <w:numPr>
          <w:ilvl w:val="0"/>
          <w:numId w:val="28"/>
        </w:numPr>
        <w:shd w:val="clear" w:color="auto" w:fill="auto"/>
        <w:spacing w:after="120" w:line="240" w:lineRule="auto"/>
        <w:ind w:left="1210"/>
        <w:rPr>
          <w:rFonts w:ascii="Times New Roman" w:hAnsi="Times New Roman" w:cs="Times New Roman"/>
          <w:noProof/>
          <w:sz w:val="24"/>
          <w:szCs w:val="24"/>
        </w:rPr>
      </w:pPr>
      <w:r>
        <w:rPr>
          <w:rFonts w:ascii="Times New Roman" w:hAnsi="Times New Roman"/>
          <w:noProof/>
          <w:sz w:val="24"/>
        </w:rPr>
        <w:t xml:space="preserve">Актуализирания национален план за широколентова инфраструктура за достъп от следващо поколение </w:t>
      </w:r>
      <w:r w:rsidRPr="00622861">
        <w:rPr>
          <w:rFonts w:ascii="Times New Roman" w:hAnsi="Times New Roman"/>
          <w:noProof/>
          <w:sz w:val="24"/>
        </w:rPr>
        <w:t>„</w:t>
      </w:r>
      <w:r w:rsidRPr="00622861">
        <w:rPr>
          <w:rFonts w:ascii="Times New Roman" w:hAnsi="Times New Roman"/>
          <w:i/>
          <w:iCs/>
          <w:noProof/>
          <w:sz w:val="24"/>
        </w:rPr>
        <w:t>Свързана България</w:t>
      </w:r>
      <w:r w:rsidRPr="00622861">
        <w:rPr>
          <w:rFonts w:ascii="Times New Roman" w:hAnsi="Times New Roman"/>
          <w:noProof/>
          <w:sz w:val="24"/>
        </w:rPr>
        <w:t>“.</w:t>
      </w:r>
      <w:r>
        <w:rPr>
          <w:rStyle w:val="Bodytext2Italic"/>
          <w:rFonts w:ascii="Times New Roman" w:hAnsi="Times New Roman"/>
          <w:noProof/>
          <w:sz w:val="24"/>
        </w:rPr>
        <w:t xml:space="preserve"> </w:t>
      </w:r>
      <w:r w:rsidRPr="00622861">
        <w:rPr>
          <w:rStyle w:val="Bodytext2Italic"/>
          <w:rFonts w:ascii="Times New Roman" w:hAnsi="Times New Roman"/>
          <w:i w:val="0"/>
          <w:iCs/>
          <w:noProof/>
          <w:sz w:val="24"/>
        </w:rPr>
        <w:t>Актуализираният план беше приет през август 2020 г.</w:t>
      </w:r>
      <w:r w:rsidRPr="00622861">
        <w:rPr>
          <w:rFonts w:ascii="Times New Roman" w:hAnsi="Times New Roman"/>
          <w:i/>
          <w:iCs/>
          <w:noProof/>
          <w:sz w:val="24"/>
        </w:rPr>
        <w:t xml:space="preserve">, </w:t>
      </w:r>
      <w:r>
        <w:rPr>
          <w:rFonts w:ascii="Times New Roman" w:hAnsi="Times New Roman"/>
          <w:noProof/>
          <w:sz w:val="24"/>
        </w:rPr>
        <w:t>като в него се очертават националните цели и приоритети на европейско равнище до 2025 г. и след това;</w:t>
      </w:r>
    </w:p>
    <w:p w14:paraId="57380A76" w14:textId="77777777" w:rsidR="00C937A7" w:rsidRPr="00562D16" w:rsidRDefault="00C937A7" w:rsidP="000750E7">
      <w:pPr>
        <w:pStyle w:val="Bodytext20"/>
        <w:numPr>
          <w:ilvl w:val="0"/>
          <w:numId w:val="28"/>
        </w:numPr>
        <w:shd w:val="clear" w:color="auto" w:fill="auto"/>
        <w:spacing w:after="120" w:line="240" w:lineRule="auto"/>
        <w:ind w:left="1210"/>
        <w:rPr>
          <w:rFonts w:ascii="Times New Roman" w:hAnsi="Times New Roman" w:cs="Times New Roman"/>
          <w:noProof/>
          <w:sz w:val="24"/>
          <w:szCs w:val="24"/>
        </w:rPr>
      </w:pPr>
      <w:r>
        <w:rPr>
          <w:rFonts w:ascii="Times New Roman" w:hAnsi="Times New Roman"/>
          <w:noProof/>
          <w:sz w:val="24"/>
        </w:rPr>
        <w:t>Стратегическия подход към цифровата трансформация чрез рамката „</w:t>
      </w:r>
      <w:r w:rsidRPr="00622861">
        <w:rPr>
          <w:rFonts w:ascii="Times New Roman" w:hAnsi="Times New Roman"/>
          <w:i/>
          <w:iCs/>
          <w:noProof/>
          <w:sz w:val="24"/>
        </w:rPr>
        <w:t>Цифрова трансформация на България за периода 2020—2030 г.</w:t>
      </w:r>
      <w:r>
        <w:rPr>
          <w:rFonts w:ascii="Times New Roman" w:hAnsi="Times New Roman"/>
          <w:noProof/>
          <w:sz w:val="24"/>
        </w:rPr>
        <w:t>“, създаден през юли 2020 г.</w:t>
      </w:r>
    </w:p>
    <w:p w14:paraId="1BF63CB1" w14:textId="77777777" w:rsidR="00C937A7" w:rsidRPr="00562D16" w:rsidRDefault="00C937A7" w:rsidP="000750E7">
      <w:pPr>
        <w:pStyle w:val="Bodytext20"/>
        <w:spacing w:after="120" w:line="240" w:lineRule="auto"/>
        <w:ind w:left="851" w:firstLine="0"/>
        <w:rPr>
          <w:rFonts w:ascii="Times New Roman" w:hAnsi="Times New Roman" w:cs="Times New Roman"/>
          <w:noProof/>
          <w:sz w:val="24"/>
          <w:szCs w:val="24"/>
        </w:rPr>
      </w:pPr>
      <w:r>
        <w:rPr>
          <w:rFonts w:ascii="Times New Roman" w:hAnsi="Times New Roman"/>
          <w:noProof/>
          <w:sz w:val="24"/>
        </w:rPr>
        <w:t>Изпълнението на тази мярка ще приключи до 31 декември 2021 г.</w:t>
      </w:r>
    </w:p>
    <w:p w14:paraId="4FB1FBBF" w14:textId="1571F37A" w:rsidR="00C937A7" w:rsidRPr="00562D16" w:rsidRDefault="00C937A7" w:rsidP="000750E7">
      <w:pPr>
        <w:pStyle w:val="Bodytext20"/>
        <w:spacing w:after="120" w:line="240" w:lineRule="auto"/>
        <w:ind w:left="851" w:firstLine="0"/>
        <w:rPr>
          <w:rFonts w:ascii="Times New Roman" w:hAnsi="Times New Roman" w:cs="Times New Roman"/>
          <w:b/>
          <w:bCs/>
          <w:noProof/>
          <w:sz w:val="24"/>
          <w:szCs w:val="24"/>
        </w:rPr>
      </w:pPr>
      <w:r>
        <w:rPr>
          <w:rFonts w:ascii="Times New Roman" w:hAnsi="Times New Roman"/>
          <w:b/>
          <w:noProof/>
          <w:sz w:val="24"/>
        </w:rPr>
        <w:t>Реформа 2 (C7.R2): Ефективно използване на радиочестотния спектър</w:t>
      </w:r>
    </w:p>
    <w:p w14:paraId="7A13A9CC" w14:textId="77777777" w:rsidR="00C937A7" w:rsidRPr="00562D16" w:rsidRDefault="00C937A7" w:rsidP="000750E7">
      <w:pPr>
        <w:pStyle w:val="Bodytext20"/>
        <w:spacing w:after="120" w:line="240" w:lineRule="auto"/>
        <w:ind w:left="851" w:firstLine="0"/>
        <w:rPr>
          <w:rFonts w:ascii="Times New Roman" w:hAnsi="Times New Roman" w:cs="Times New Roman"/>
          <w:noProof/>
          <w:sz w:val="24"/>
          <w:szCs w:val="24"/>
        </w:rPr>
      </w:pPr>
      <w:r>
        <w:rPr>
          <w:rFonts w:ascii="Times New Roman" w:hAnsi="Times New Roman"/>
          <w:noProof/>
          <w:sz w:val="24"/>
        </w:rPr>
        <w:t xml:space="preserve">Целта на реформата е да се преодолеят предизвикателствата, свързани с готовността за навлизане на 5G, и да се насърчи ускореното разполагане на 5G мрежите. Предвидени са следните дейности: </w:t>
      </w:r>
    </w:p>
    <w:p w14:paraId="5F65E806" w14:textId="77777777" w:rsidR="00C937A7" w:rsidRPr="00562D16" w:rsidRDefault="00C937A7" w:rsidP="000750E7">
      <w:pPr>
        <w:pStyle w:val="Bodytext20"/>
        <w:numPr>
          <w:ilvl w:val="0"/>
          <w:numId w:val="29"/>
        </w:numPr>
        <w:shd w:val="clear" w:color="auto" w:fill="auto"/>
        <w:tabs>
          <w:tab w:val="left" w:pos="765"/>
        </w:tabs>
        <w:spacing w:after="120" w:line="240" w:lineRule="auto"/>
        <w:ind w:left="1230" w:hanging="380"/>
        <w:jc w:val="left"/>
        <w:rPr>
          <w:rFonts w:ascii="Times New Roman" w:hAnsi="Times New Roman" w:cs="Times New Roman"/>
          <w:noProof/>
          <w:sz w:val="24"/>
          <w:szCs w:val="24"/>
        </w:rPr>
      </w:pPr>
      <w:r>
        <w:rPr>
          <w:rFonts w:ascii="Times New Roman" w:hAnsi="Times New Roman"/>
          <w:noProof/>
          <w:sz w:val="24"/>
        </w:rPr>
        <w:t>Намаляване на таксите за радиочестотен спектър, считано от 1 януари 2021 г. (размерът на еднократната такса беше намален с 50 %, а годишната такса за използване на радиочестотния спектър — с 35 %);</w:t>
      </w:r>
    </w:p>
    <w:p w14:paraId="63832431" w14:textId="77777777" w:rsidR="00C937A7" w:rsidRPr="00562D16" w:rsidRDefault="00C937A7" w:rsidP="000750E7">
      <w:pPr>
        <w:pStyle w:val="Bodytext20"/>
        <w:numPr>
          <w:ilvl w:val="0"/>
          <w:numId w:val="29"/>
        </w:numPr>
        <w:shd w:val="clear" w:color="auto" w:fill="auto"/>
        <w:tabs>
          <w:tab w:val="left" w:pos="765"/>
        </w:tabs>
        <w:spacing w:after="120" w:line="240" w:lineRule="auto"/>
        <w:ind w:left="1230" w:hanging="380"/>
        <w:jc w:val="left"/>
        <w:rPr>
          <w:rFonts w:ascii="Times New Roman" w:hAnsi="Times New Roman" w:cs="Times New Roman"/>
          <w:noProof/>
          <w:sz w:val="24"/>
          <w:szCs w:val="24"/>
        </w:rPr>
      </w:pPr>
      <w:r>
        <w:rPr>
          <w:rFonts w:ascii="Times New Roman" w:hAnsi="Times New Roman"/>
          <w:noProof/>
          <w:sz w:val="24"/>
        </w:rPr>
        <w:t>Ускорен процес по отдаване на спектър в обхватите 700 MHz, 2,6 GHz, 3,6 GHz и 26 GHz.</w:t>
      </w:r>
    </w:p>
    <w:p w14:paraId="391048DD" w14:textId="77777777" w:rsidR="00C937A7" w:rsidRPr="00562D16" w:rsidRDefault="00C937A7" w:rsidP="000750E7">
      <w:pPr>
        <w:pStyle w:val="Bodytext20"/>
        <w:spacing w:after="120" w:line="240" w:lineRule="auto"/>
        <w:ind w:left="850" w:firstLine="0"/>
        <w:rPr>
          <w:rFonts w:ascii="Times New Roman" w:hAnsi="Times New Roman" w:cs="Times New Roman"/>
          <w:noProof/>
          <w:sz w:val="24"/>
          <w:szCs w:val="24"/>
        </w:rPr>
      </w:pPr>
      <w:r>
        <w:rPr>
          <w:rFonts w:ascii="Times New Roman" w:hAnsi="Times New Roman"/>
          <w:noProof/>
          <w:sz w:val="24"/>
        </w:rPr>
        <w:t>Изпълнението на тази мярка ще приключи до 30 юни 2023 г.</w:t>
      </w:r>
    </w:p>
    <w:p w14:paraId="40C810B0" w14:textId="77777777" w:rsidR="00C937A7" w:rsidRPr="008A0F8A" w:rsidRDefault="00C937A7" w:rsidP="000750E7">
      <w:pPr>
        <w:ind w:left="851"/>
        <w:rPr>
          <w:rFonts w:ascii="Times New Roman" w:hAnsi="Times New Roman" w:cs="Times New Roman"/>
          <w:noProof/>
          <w:sz w:val="24"/>
          <w:lang w:val="ru-RU"/>
        </w:rPr>
      </w:pPr>
    </w:p>
    <w:p w14:paraId="563517F0" w14:textId="699C8114" w:rsidR="00C937A7" w:rsidRPr="00562D16" w:rsidRDefault="00C937A7" w:rsidP="000750E7">
      <w:pPr>
        <w:pStyle w:val="Bodytext20"/>
        <w:shd w:val="clear" w:color="auto" w:fill="auto"/>
        <w:spacing w:after="120" w:line="240" w:lineRule="auto"/>
        <w:ind w:left="851" w:firstLine="0"/>
        <w:rPr>
          <w:rFonts w:ascii="Times New Roman" w:hAnsi="Times New Roman" w:cs="Times New Roman"/>
          <w:b/>
          <w:bCs/>
          <w:noProof/>
          <w:sz w:val="24"/>
          <w:szCs w:val="24"/>
        </w:rPr>
      </w:pPr>
      <w:r>
        <w:rPr>
          <w:rFonts w:ascii="Times New Roman" w:hAnsi="Times New Roman"/>
          <w:b/>
          <w:noProof/>
          <w:sz w:val="24"/>
        </w:rPr>
        <w:t>Реформа 3 (C7.R3): Създаване на благоприятна инвестиционна среда</w:t>
      </w:r>
    </w:p>
    <w:p w14:paraId="4DE43086" w14:textId="77777777" w:rsidR="00C937A7" w:rsidRPr="00562D16" w:rsidRDefault="00C937A7" w:rsidP="000750E7">
      <w:pPr>
        <w:pStyle w:val="Bodytext20"/>
        <w:spacing w:after="120" w:line="240" w:lineRule="auto"/>
        <w:ind w:left="851" w:firstLine="0"/>
        <w:rPr>
          <w:rFonts w:ascii="Times New Roman" w:hAnsi="Times New Roman" w:cs="Times New Roman"/>
          <w:noProof/>
          <w:sz w:val="24"/>
          <w:szCs w:val="24"/>
        </w:rPr>
      </w:pPr>
      <w:r>
        <w:rPr>
          <w:rFonts w:ascii="Times New Roman" w:hAnsi="Times New Roman"/>
          <w:noProof/>
          <w:sz w:val="24"/>
        </w:rPr>
        <w:t>Реформата има за цел да отговори на ключовите препоръки в общия инструментариум за свързаност на Съюза</w:t>
      </w:r>
      <w:r w:rsidRPr="00562D16">
        <w:rPr>
          <w:rStyle w:val="FootnoteReference"/>
          <w:rFonts w:ascii="Times New Roman" w:hAnsi="Times New Roman" w:cs="Times New Roman"/>
          <w:noProof/>
          <w:sz w:val="24"/>
          <w:szCs w:val="24"/>
          <w:lang w:val="en-GB"/>
        </w:rPr>
        <w:footnoteReference w:id="48"/>
      </w:r>
      <w:r>
        <w:rPr>
          <w:rFonts w:ascii="Times New Roman" w:hAnsi="Times New Roman"/>
          <w:noProof/>
          <w:sz w:val="24"/>
        </w:rPr>
        <w:t xml:space="preserve"> и:</w:t>
      </w:r>
    </w:p>
    <w:p w14:paraId="46265275" w14:textId="77777777" w:rsidR="00C937A7" w:rsidRPr="00562D16" w:rsidRDefault="00C937A7" w:rsidP="000750E7">
      <w:pPr>
        <w:pStyle w:val="Bodytext20"/>
        <w:numPr>
          <w:ilvl w:val="0"/>
          <w:numId w:val="29"/>
        </w:numPr>
        <w:shd w:val="clear" w:color="auto" w:fill="auto"/>
        <w:tabs>
          <w:tab w:val="left" w:pos="765"/>
        </w:tabs>
        <w:spacing w:after="120" w:line="240" w:lineRule="auto"/>
        <w:ind w:left="1230" w:hanging="380"/>
        <w:jc w:val="left"/>
        <w:rPr>
          <w:rFonts w:ascii="Times New Roman" w:hAnsi="Times New Roman" w:cs="Times New Roman"/>
          <w:noProof/>
          <w:sz w:val="24"/>
          <w:szCs w:val="24"/>
        </w:rPr>
      </w:pPr>
      <w:r>
        <w:rPr>
          <w:rFonts w:ascii="Times New Roman" w:hAnsi="Times New Roman"/>
          <w:noProof/>
          <w:sz w:val="24"/>
        </w:rPr>
        <w:t>рационализира процедурите за издаване на разрешителни за изграждане, поддръжка, оборудване и/или подобряване на радиопредавателните системи, както и тяхната подмяна или допълване чрез сглобяване или разглобяване на елементи от радиопредавателната система;</w:t>
      </w:r>
    </w:p>
    <w:p w14:paraId="47361ACF" w14:textId="77777777" w:rsidR="00C937A7" w:rsidRPr="00562D16" w:rsidRDefault="00C937A7" w:rsidP="000750E7">
      <w:pPr>
        <w:pStyle w:val="Bodytext20"/>
        <w:numPr>
          <w:ilvl w:val="0"/>
          <w:numId w:val="29"/>
        </w:numPr>
        <w:shd w:val="clear" w:color="auto" w:fill="auto"/>
        <w:tabs>
          <w:tab w:val="left" w:pos="765"/>
        </w:tabs>
        <w:spacing w:after="120" w:line="240" w:lineRule="auto"/>
        <w:ind w:left="1230" w:hanging="380"/>
        <w:jc w:val="left"/>
        <w:rPr>
          <w:rFonts w:ascii="Times New Roman" w:hAnsi="Times New Roman" w:cs="Times New Roman"/>
          <w:noProof/>
          <w:sz w:val="24"/>
          <w:szCs w:val="24"/>
        </w:rPr>
      </w:pPr>
      <w:r>
        <w:rPr>
          <w:rFonts w:ascii="Times New Roman" w:hAnsi="Times New Roman"/>
          <w:noProof/>
          <w:sz w:val="24"/>
        </w:rPr>
        <w:t>разширява правото на достъп до съществуващата физическа инфраструктура, контролирана от органи от публичния сектор, за търговските оператори, когато последните нямат интерес от изграждането на такива мрежи или биха възприели споделеното използване като възможност за намаляване на инвестиционните си разходи;</w:t>
      </w:r>
    </w:p>
    <w:p w14:paraId="01AF5BE8" w14:textId="77777777" w:rsidR="00C937A7" w:rsidRPr="00562D16" w:rsidRDefault="00C937A7" w:rsidP="000750E7">
      <w:pPr>
        <w:pStyle w:val="Bodytext20"/>
        <w:spacing w:after="120" w:line="240" w:lineRule="auto"/>
        <w:ind w:left="851" w:firstLine="0"/>
        <w:rPr>
          <w:rFonts w:ascii="Times New Roman" w:hAnsi="Times New Roman" w:cs="Times New Roman"/>
          <w:noProof/>
          <w:sz w:val="24"/>
          <w:szCs w:val="24"/>
        </w:rPr>
      </w:pPr>
      <w:r>
        <w:rPr>
          <w:rFonts w:ascii="Times New Roman" w:hAnsi="Times New Roman"/>
          <w:noProof/>
          <w:sz w:val="24"/>
        </w:rPr>
        <w:t>Изпълнението на тази мярка ще приключи до 30 юни 2021 г.</w:t>
      </w:r>
    </w:p>
    <w:p w14:paraId="3F658B8E" w14:textId="77777777" w:rsidR="00C937A7" w:rsidRPr="00562D16" w:rsidRDefault="00C937A7" w:rsidP="000750E7">
      <w:pPr>
        <w:pStyle w:val="Text1"/>
        <w:spacing w:before="0"/>
        <w:ind w:left="851"/>
        <w:rPr>
          <w:b/>
          <w:noProof/>
          <w:szCs w:val="24"/>
        </w:rPr>
      </w:pPr>
    </w:p>
    <w:p w14:paraId="35A789E0" w14:textId="146CD224" w:rsidR="00C937A7" w:rsidRPr="00562D16" w:rsidRDefault="00C937A7" w:rsidP="000750E7">
      <w:pPr>
        <w:pStyle w:val="Text1"/>
        <w:spacing w:before="0"/>
        <w:ind w:left="851"/>
        <w:rPr>
          <w:b/>
          <w:bCs/>
          <w:noProof/>
        </w:rPr>
      </w:pPr>
      <w:r>
        <w:rPr>
          <w:b/>
          <w:noProof/>
        </w:rPr>
        <w:t>Инвестиция 1 (C7.I1): Широкомащабно разгръщане на цифрова инфраструктура</w:t>
      </w:r>
    </w:p>
    <w:p w14:paraId="77612532" w14:textId="77777777" w:rsidR="00C937A7" w:rsidRPr="00562D16" w:rsidRDefault="00C937A7" w:rsidP="000750E7">
      <w:pPr>
        <w:pStyle w:val="Text1"/>
        <w:spacing w:before="0"/>
        <w:ind w:left="851"/>
        <w:rPr>
          <w:bCs/>
          <w:noProof/>
        </w:rPr>
      </w:pPr>
      <w:r>
        <w:rPr>
          <w:noProof/>
        </w:rPr>
        <w:t>Действията в рамките на тази инвестиция имат за цел:</w:t>
      </w:r>
    </w:p>
    <w:p w14:paraId="64DCF2A9" w14:textId="77777777" w:rsidR="00C937A7" w:rsidRPr="000750E7" w:rsidRDefault="00C937A7" w:rsidP="000750E7">
      <w:pPr>
        <w:pStyle w:val="Bodytext20"/>
        <w:numPr>
          <w:ilvl w:val="0"/>
          <w:numId w:val="29"/>
        </w:numPr>
        <w:shd w:val="clear" w:color="auto" w:fill="auto"/>
        <w:tabs>
          <w:tab w:val="left" w:pos="765"/>
        </w:tabs>
        <w:spacing w:after="120" w:line="240" w:lineRule="auto"/>
        <w:ind w:left="1230" w:hanging="380"/>
        <w:jc w:val="left"/>
        <w:rPr>
          <w:rFonts w:ascii="Times New Roman" w:hAnsi="Times New Roman" w:cs="Times New Roman"/>
          <w:noProof/>
          <w:sz w:val="24"/>
          <w:szCs w:val="24"/>
        </w:rPr>
      </w:pPr>
      <w:r>
        <w:rPr>
          <w:rFonts w:ascii="Times New Roman" w:hAnsi="Times New Roman"/>
          <w:noProof/>
          <w:sz w:val="24"/>
        </w:rPr>
        <w:t>Развитие на държавната опорна мрежа (Единната електронна съобщителна мрежа на държавната администрация — „ЕЕСМ“) чрез увеличаване на нейния преносен капацитет и осигуряване на свързаност с всички общински центрове.</w:t>
      </w:r>
    </w:p>
    <w:p w14:paraId="0B563535" w14:textId="77777777" w:rsidR="00C937A7" w:rsidRPr="000750E7" w:rsidRDefault="00C937A7" w:rsidP="000750E7">
      <w:pPr>
        <w:pStyle w:val="Bodytext20"/>
        <w:numPr>
          <w:ilvl w:val="0"/>
          <w:numId w:val="29"/>
        </w:numPr>
        <w:shd w:val="clear" w:color="auto" w:fill="auto"/>
        <w:tabs>
          <w:tab w:val="left" w:pos="765"/>
        </w:tabs>
        <w:spacing w:after="120" w:line="240" w:lineRule="auto"/>
        <w:ind w:left="1230" w:hanging="380"/>
        <w:jc w:val="left"/>
        <w:rPr>
          <w:rFonts w:ascii="Times New Roman" w:hAnsi="Times New Roman" w:cs="Times New Roman"/>
          <w:noProof/>
          <w:sz w:val="24"/>
          <w:szCs w:val="24"/>
        </w:rPr>
      </w:pPr>
      <w:r>
        <w:rPr>
          <w:rFonts w:ascii="Times New Roman" w:hAnsi="Times New Roman"/>
          <w:noProof/>
          <w:sz w:val="24"/>
        </w:rPr>
        <w:t>Осигуряване на свръхвисокоскоростна интернет свързаност за университети и научноизследователски организации.</w:t>
      </w:r>
    </w:p>
    <w:p w14:paraId="0543F6BE" w14:textId="77777777" w:rsidR="00C937A7" w:rsidRPr="000750E7" w:rsidRDefault="00C937A7" w:rsidP="000750E7">
      <w:pPr>
        <w:pStyle w:val="Bodytext20"/>
        <w:numPr>
          <w:ilvl w:val="0"/>
          <w:numId w:val="29"/>
        </w:numPr>
        <w:shd w:val="clear" w:color="auto" w:fill="auto"/>
        <w:tabs>
          <w:tab w:val="left" w:pos="765"/>
        </w:tabs>
        <w:spacing w:after="120" w:line="240" w:lineRule="auto"/>
        <w:ind w:left="1230" w:hanging="380"/>
        <w:jc w:val="left"/>
        <w:rPr>
          <w:rFonts w:ascii="Times New Roman" w:hAnsi="Times New Roman" w:cs="Times New Roman"/>
          <w:noProof/>
          <w:sz w:val="24"/>
          <w:szCs w:val="24"/>
        </w:rPr>
      </w:pPr>
      <w:r>
        <w:rPr>
          <w:rFonts w:ascii="Times New Roman" w:hAnsi="Times New Roman"/>
          <w:noProof/>
          <w:sz w:val="24"/>
        </w:rPr>
        <w:t>Подкрепа за разгръщането на мрежи с много голям капацитет („ММГК“) в селските и слабо населените райони.</w:t>
      </w:r>
    </w:p>
    <w:p w14:paraId="1B5D8B40" w14:textId="77777777" w:rsidR="00C937A7" w:rsidRPr="00562D16" w:rsidRDefault="00C937A7" w:rsidP="000750E7">
      <w:pPr>
        <w:pStyle w:val="Text1"/>
        <w:spacing w:before="0"/>
        <w:ind w:left="851"/>
        <w:rPr>
          <w:rFonts w:eastAsia="Calibri"/>
          <w:b/>
          <w:bCs/>
          <w:i/>
          <w:iCs/>
          <w:noProof/>
          <w:color w:val="000000" w:themeColor="text1"/>
        </w:rPr>
      </w:pPr>
      <w:r>
        <w:rPr>
          <w:b/>
          <w:i/>
          <w:noProof/>
          <w:color w:val="000000" w:themeColor="text1"/>
        </w:rPr>
        <w:t>Стълб А — Развитие на държавната опорна мрежа чрез увеличаване на нейния преносен капацитет и осигуряване на свързаност с всички общински центрове</w:t>
      </w:r>
    </w:p>
    <w:p w14:paraId="6EB3E0E0" w14:textId="77777777" w:rsidR="00C937A7" w:rsidRPr="00562D16" w:rsidRDefault="00C937A7" w:rsidP="000750E7">
      <w:pPr>
        <w:pStyle w:val="Text1"/>
        <w:spacing w:before="0"/>
        <w:ind w:left="851"/>
        <w:rPr>
          <w:noProof/>
        </w:rPr>
      </w:pPr>
      <w:r>
        <w:rPr>
          <w:noProof/>
        </w:rPr>
        <w:t xml:space="preserve">Действията по този стълб ще модернизират ЕЕСМ на публичната администрация и ще разширят мрежата до допълнителни 185 общински центъра, ще осигурят сигурни, устойчиви на кибератаки комуникации и интернет със защита тип „чиста тръба“ за нуждите на правителството и националната сигурност, и ще осигурят оптически преносен капацитет към общински центрове и селища в „белите райони“, където широколентовите услуги за гражданите и предприятията не са достъпни поради „неефективност на пазара“. </w:t>
      </w:r>
    </w:p>
    <w:p w14:paraId="05C6EE49" w14:textId="77777777" w:rsidR="00C937A7" w:rsidRPr="00562D16" w:rsidRDefault="00C937A7" w:rsidP="000750E7">
      <w:pPr>
        <w:pStyle w:val="Text1"/>
        <w:spacing w:before="0"/>
        <w:ind w:left="851"/>
        <w:rPr>
          <w:bCs/>
          <w:noProof/>
        </w:rPr>
      </w:pPr>
      <w:r>
        <w:rPr>
          <w:noProof/>
        </w:rPr>
        <w:t>Изпълнението на този проект ще даде възможност за достъп на доставчиците на услуги от обществен интерес до широколентов интернет и/или пренос на данни в точките за достъп, за да се предоставят електронни услуги на гражданите и предприятията, както и други образователни, социални и здравни услуги. Освен това, трябва да е възможно да се осигури скорост до 100 Gbps за конкретни потребители, като университети и научноизследователски организации, които трябва да се свържат с европейската научна мрежа GEANT и Националния суперкомпютърен център в София Хай Тек Парк.</w:t>
      </w:r>
    </w:p>
    <w:p w14:paraId="3BB01234" w14:textId="77777777" w:rsidR="00C937A7" w:rsidRPr="00562D16" w:rsidRDefault="00C937A7" w:rsidP="000750E7">
      <w:pPr>
        <w:pStyle w:val="Text1"/>
        <w:spacing w:before="0"/>
        <w:ind w:left="851"/>
        <w:rPr>
          <w:rFonts w:eastAsia="Calibri"/>
          <w:b/>
          <w:bCs/>
          <w:i/>
          <w:iCs/>
          <w:noProof/>
          <w:color w:val="000000" w:themeColor="text1"/>
        </w:rPr>
      </w:pPr>
      <w:r>
        <w:rPr>
          <w:b/>
          <w:i/>
          <w:noProof/>
        </w:rPr>
        <w:t>Стълб Б — Повишаване на свързаността в слабо населените, отдалечените и селските райони</w:t>
      </w:r>
    </w:p>
    <w:p w14:paraId="6CB72AC2" w14:textId="77777777" w:rsidR="00C937A7" w:rsidRPr="00562D16" w:rsidRDefault="00C937A7" w:rsidP="000750E7">
      <w:pPr>
        <w:spacing w:after="120" w:line="240" w:lineRule="auto"/>
        <w:ind w:left="851"/>
        <w:jc w:val="both"/>
        <w:rPr>
          <w:rFonts w:ascii="Times New Roman" w:eastAsiaTheme="minorEastAsia" w:hAnsi="Times New Roman" w:cs="Times New Roman"/>
          <w:noProof/>
          <w:sz w:val="24"/>
          <w:szCs w:val="24"/>
        </w:rPr>
      </w:pPr>
      <w:r>
        <w:rPr>
          <w:rFonts w:ascii="Times New Roman" w:hAnsi="Times New Roman"/>
          <w:noProof/>
          <w:sz w:val="24"/>
        </w:rPr>
        <w:t>Дейностите по стълб Б следва да подпомагат внедряването на ММГК в слабо населените, отдалечените и селските райони. Целта на инвестицията е да се създадат условия за внедряване на ММГК в области с установена неефективност на пазара, в които търговските оператори не биха инвестирали поради липсата на икономическа жизнеспособност. Действието трябва да даде възможност на 350 000 души да имат достъп до услуги със скорост най-малко 1 Gbps.</w:t>
      </w:r>
    </w:p>
    <w:p w14:paraId="49F03476" w14:textId="77777777" w:rsidR="00C937A7" w:rsidRPr="00562D16" w:rsidRDefault="00C937A7" w:rsidP="000750E7">
      <w:pPr>
        <w:spacing w:after="120" w:line="240" w:lineRule="auto"/>
        <w:ind w:left="851"/>
        <w:jc w:val="both"/>
        <w:rPr>
          <w:rFonts w:ascii="Times New Roman" w:eastAsiaTheme="minorEastAsia" w:hAnsi="Times New Roman" w:cs="Times New Roman"/>
          <w:noProof/>
          <w:sz w:val="24"/>
          <w:szCs w:val="24"/>
        </w:rPr>
      </w:pPr>
      <w:r>
        <w:rPr>
          <w:rFonts w:ascii="Times New Roman" w:hAnsi="Times New Roman"/>
          <w:noProof/>
          <w:sz w:val="24"/>
        </w:rPr>
        <w:t>Изпълнението на тези мерки ще приключи до 30 юни 2026 г.</w:t>
      </w:r>
    </w:p>
    <w:p w14:paraId="1F196092" w14:textId="77777777" w:rsidR="00C937A7" w:rsidRPr="00562D16" w:rsidRDefault="00C937A7" w:rsidP="000750E7">
      <w:pPr>
        <w:pStyle w:val="Text1"/>
        <w:spacing w:before="0"/>
        <w:ind w:left="851"/>
        <w:rPr>
          <w:b/>
          <w:bCs/>
          <w:noProof/>
        </w:rPr>
      </w:pPr>
    </w:p>
    <w:p w14:paraId="2B9A8261" w14:textId="5D4BE75E" w:rsidR="00C937A7" w:rsidRPr="00562D16" w:rsidRDefault="00C937A7" w:rsidP="000750E7">
      <w:pPr>
        <w:pStyle w:val="Text1"/>
        <w:spacing w:before="0"/>
        <w:ind w:left="851"/>
        <w:rPr>
          <w:b/>
          <w:bCs/>
          <w:noProof/>
        </w:rPr>
      </w:pPr>
      <w:r>
        <w:rPr>
          <w:b/>
          <w:noProof/>
        </w:rPr>
        <w:t>Инвестиция 2 (C7.I2): Изграждане, развитие и оптимизиране на цифровата система TETRA и радиорелейната мрежа</w:t>
      </w:r>
    </w:p>
    <w:p w14:paraId="618885B3" w14:textId="77777777" w:rsidR="00C937A7" w:rsidRPr="00562D16" w:rsidRDefault="00C937A7" w:rsidP="000750E7">
      <w:pPr>
        <w:pStyle w:val="Text1"/>
        <w:spacing w:before="0"/>
        <w:ind w:left="851"/>
        <w:rPr>
          <w:noProof/>
        </w:rPr>
      </w:pPr>
      <w:r>
        <w:rPr>
          <w:noProof/>
        </w:rPr>
        <w:t>Това действие ще осигури национално покритие на системата TETRA на Министерството на вътрешните работи, ще увеличи броя на абонатите на системата от всички държавни институции и ще подобри капацитета и качеството на услугите. Предвиденото радиопокритие на комуникационната система TETRA трябва да достигне 90 % за преносимите радиотерминали на TETRA и 95 % за мобилните радиотерминали на TETRA на територията на България.</w:t>
      </w:r>
    </w:p>
    <w:p w14:paraId="4D7E0249" w14:textId="77777777" w:rsidR="00C937A7" w:rsidRPr="00562D16" w:rsidRDefault="00C937A7" w:rsidP="000750E7">
      <w:pPr>
        <w:pStyle w:val="Text1"/>
        <w:spacing w:before="0"/>
        <w:ind w:left="851"/>
        <w:rPr>
          <w:noProof/>
        </w:rPr>
      </w:pPr>
      <w:r>
        <w:rPr>
          <w:noProof/>
        </w:rPr>
        <w:t>Системата TETRA трябва да се използва като единна радиокомуникационна система за осигуряване на комуникационна среда за управление, взаимодействие и координация в Министерството на вътрешните работи, както и в други правителствени структури, отговорни за предотвратяване на произшествия, бедствия и проблеми с националната сигурност.</w:t>
      </w:r>
    </w:p>
    <w:p w14:paraId="762A97B0" w14:textId="77777777" w:rsidR="00C937A7" w:rsidRPr="00562D16" w:rsidRDefault="00C937A7" w:rsidP="000750E7">
      <w:pPr>
        <w:pStyle w:val="Text1"/>
        <w:spacing w:before="0"/>
        <w:ind w:left="851"/>
        <w:rPr>
          <w:noProof/>
        </w:rPr>
      </w:pPr>
      <w:r>
        <w:rPr>
          <w:noProof/>
        </w:rPr>
        <w:t>Изпълнението на тази мярка ще приключи до 31 декември 2024 г.</w:t>
      </w:r>
    </w:p>
    <w:p w14:paraId="5B0A2DBA" w14:textId="77777777" w:rsidR="00C937A7" w:rsidRPr="00562D16" w:rsidRDefault="00C937A7" w:rsidP="000750E7">
      <w:pPr>
        <w:pStyle w:val="Text1"/>
        <w:spacing w:before="0"/>
        <w:ind w:left="851"/>
        <w:rPr>
          <w:b/>
          <w:bCs/>
          <w:noProof/>
        </w:rPr>
      </w:pPr>
    </w:p>
    <w:p w14:paraId="34942FE2" w14:textId="77777777" w:rsidR="00C937A7" w:rsidRPr="00562D16" w:rsidRDefault="00C937A7" w:rsidP="00C937A7">
      <w:pPr>
        <w:spacing w:before="120" w:after="120" w:line="240" w:lineRule="auto"/>
        <w:ind w:left="850"/>
        <w:jc w:val="both"/>
        <w:rPr>
          <w:rFonts w:ascii="Times New Roman" w:eastAsia="Calibri" w:hAnsi="Times New Roman" w:cs="Times New Roman"/>
          <w:b/>
          <w:bCs/>
          <w:noProof/>
          <w:sz w:val="24"/>
          <w:szCs w:val="24"/>
          <w:u w:val="single"/>
        </w:rPr>
      </w:pPr>
      <w:r>
        <w:rPr>
          <w:rFonts w:ascii="Times New Roman" w:hAnsi="Times New Roman"/>
          <w:b/>
          <w:noProof/>
          <w:sz w:val="24"/>
          <w:u w:val="single"/>
        </w:rPr>
        <w:t xml:space="preserve">Ж.2. </w:t>
      </w:r>
      <w:r>
        <w:rPr>
          <w:rFonts w:ascii="Times New Roman" w:hAnsi="Times New Roman"/>
          <w:b/>
          <w:noProof/>
          <w:sz w:val="24"/>
          <w:u w:val="single"/>
        </w:rPr>
        <w:tab/>
        <w:t>Ключови етапи, цели, показатели и график за мониторинг и изпълнение на безвъзмездната финансова подкрепа</w:t>
      </w:r>
    </w:p>
    <w:p w14:paraId="33FDC6F8" w14:textId="77777777" w:rsidR="00C937A7" w:rsidRPr="008A0F8A" w:rsidRDefault="00C937A7" w:rsidP="00C937A7">
      <w:pPr>
        <w:spacing w:before="120" w:after="120" w:line="240" w:lineRule="auto"/>
        <w:ind w:left="709"/>
        <w:jc w:val="both"/>
        <w:rPr>
          <w:rFonts w:ascii="Times New Roman" w:eastAsia="Calibri" w:hAnsi="Times New Roman" w:cs="Times New Roman"/>
          <w:noProof/>
          <w:sz w:val="24"/>
          <w:lang w:val="ru-RU"/>
        </w:rPr>
        <w:sectPr w:rsidR="00C937A7" w:rsidRPr="008A0F8A" w:rsidSect="001D3B37">
          <w:headerReference w:type="even" r:id="rId90"/>
          <w:headerReference w:type="default" r:id="rId91"/>
          <w:footerReference w:type="even" r:id="rId92"/>
          <w:footerReference w:type="default" r:id="rId93"/>
          <w:headerReference w:type="first" r:id="rId94"/>
          <w:footerReference w:type="first" r:id="rId95"/>
          <w:pgSz w:w="11907" w:h="16839"/>
          <w:pgMar w:top="1418" w:right="1418" w:bottom="1418" w:left="1418" w:header="709" w:footer="709" w:gutter="0"/>
          <w:cols w:space="720"/>
          <w:docGrid w:linePitch="360"/>
        </w:sectPr>
      </w:pPr>
    </w:p>
    <w:tbl>
      <w:tblPr>
        <w:tblW w:w="15026" w:type="dxa"/>
        <w:tblInd w:w="108" w:type="dxa"/>
        <w:tblLayout w:type="fixed"/>
        <w:tblLook w:val="04A0" w:firstRow="1" w:lastRow="0" w:firstColumn="1" w:lastColumn="0" w:noHBand="0" w:noVBand="1"/>
      </w:tblPr>
      <w:tblGrid>
        <w:gridCol w:w="708"/>
        <w:gridCol w:w="1842"/>
        <w:gridCol w:w="1267"/>
        <w:gridCol w:w="1786"/>
        <w:gridCol w:w="1791"/>
        <w:gridCol w:w="1099"/>
        <w:gridCol w:w="1005"/>
        <w:gridCol w:w="921"/>
        <w:gridCol w:w="921"/>
        <w:gridCol w:w="709"/>
        <w:gridCol w:w="2977"/>
      </w:tblGrid>
      <w:tr w:rsidR="00C937A7" w:rsidRPr="005241FC" w14:paraId="5FAD1D38" w14:textId="77777777" w:rsidTr="00374E07">
        <w:trPr>
          <w:trHeight w:val="927"/>
          <w:tblHeader/>
        </w:trPr>
        <w:tc>
          <w:tcPr>
            <w:tcW w:w="70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9C6F814" w14:textId="6173A746" w:rsidR="00C937A7" w:rsidRPr="001C00FB" w:rsidRDefault="00C937A7" w:rsidP="004148C8">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Пореден номер</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127E4E4" w14:textId="77777777" w:rsidR="00C937A7" w:rsidRPr="001C00FB" w:rsidRDefault="00C937A7" w:rsidP="00C937A7">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Свързана мярка (реформа или инвестиция)</w:t>
            </w:r>
          </w:p>
        </w:tc>
        <w:tc>
          <w:tcPr>
            <w:tcW w:w="126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284DF91" w14:textId="77777777" w:rsidR="00C937A7" w:rsidRPr="001C00FB" w:rsidRDefault="00C937A7" w:rsidP="00C937A7">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Ключов етап / Цел</w:t>
            </w:r>
          </w:p>
        </w:tc>
        <w:tc>
          <w:tcPr>
            <w:tcW w:w="178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E815DE5" w14:textId="77777777" w:rsidR="00C937A7" w:rsidRPr="001C00FB" w:rsidRDefault="00C937A7" w:rsidP="00C937A7">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Наименование</w:t>
            </w:r>
          </w:p>
        </w:tc>
        <w:tc>
          <w:tcPr>
            <w:tcW w:w="179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3FBF815" w14:textId="77777777" w:rsidR="00C937A7" w:rsidRPr="001C00FB" w:rsidRDefault="00C937A7" w:rsidP="00C937A7">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Качествени показатели </w:t>
            </w:r>
            <w:r>
              <w:rPr>
                <w:rFonts w:ascii="Times New Roman" w:hAnsi="Times New Roman"/>
                <w:noProof/>
                <w:sz w:val="18"/>
              </w:rPr>
              <w:br/>
            </w:r>
            <w:r>
              <w:rPr>
                <w:rFonts w:ascii="Times New Roman" w:hAnsi="Times New Roman"/>
                <w:b/>
                <w:noProof/>
                <w:sz w:val="18"/>
              </w:rPr>
              <w:t>(за ключовите етапи)</w:t>
            </w:r>
          </w:p>
        </w:tc>
        <w:tc>
          <w:tcPr>
            <w:tcW w:w="3025"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7468F898" w14:textId="77777777" w:rsidR="00C937A7" w:rsidRPr="001C00FB" w:rsidRDefault="00C937A7" w:rsidP="00C937A7">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Количествени показатели </w:t>
            </w:r>
            <w:r>
              <w:rPr>
                <w:rFonts w:ascii="Times New Roman" w:hAnsi="Times New Roman"/>
                <w:noProof/>
                <w:sz w:val="18"/>
              </w:rPr>
              <w:br/>
            </w:r>
            <w:r>
              <w:rPr>
                <w:rFonts w:ascii="Times New Roman" w:hAnsi="Times New Roman"/>
                <w:b/>
                <w:noProof/>
                <w:sz w:val="18"/>
              </w:rPr>
              <w:t>(за целите)</w:t>
            </w:r>
          </w:p>
        </w:tc>
        <w:tc>
          <w:tcPr>
            <w:tcW w:w="1630" w:type="dxa"/>
            <w:gridSpan w:val="2"/>
            <w:tcBorders>
              <w:top w:val="single" w:sz="4" w:space="0" w:color="auto"/>
              <w:left w:val="nil"/>
              <w:bottom w:val="single" w:sz="4" w:space="0" w:color="auto"/>
              <w:right w:val="single" w:sz="4" w:space="0" w:color="auto"/>
            </w:tcBorders>
            <w:shd w:val="clear" w:color="auto" w:fill="BDD7EE"/>
            <w:vAlign w:val="center"/>
            <w:hideMark/>
          </w:tcPr>
          <w:p w14:paraId="7A15DD8B" w14:textId="77777777" w:rsidR="00C937A7" w:rsidRPr="001C00FB" w:rsidRDefault="00C937A7" w:rsidP="00C937A7">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Ориентировъчен график за приключване </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3E1274A" w14:textId="77777777" w:rsidR="00C937A7" w:rsidRPr="001C00FB" w:rsidRDefault="00C937A7" w:rsidP="00C937A7">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Описание на всеки ключов етап и цел</w:t>
            </w:r>
          </w:p>
        </w:tc>
      </w:tr>
      <w:tr w:rsidR="00A41235" w:rsidRPr="00562D16" w14:paraId="431A858F" w14:textId="77777777" w:rsidTr="00374E07">
        <w:trPr>
          <w:trHeight w:val="338"/>
          <w:tblHeader/>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0F46D74C" w14:textId="77777777" w:rsidR="00C937A7" w:rsidRPr="008A0F8A" w:rsidRDefault="00C937A7" w:rsidP="00C937A7">
            <w:pPr>
              <w:spacing w:after="0" w:line="240" w:lineRule="auto"/>
              <w:rPr>
                <w:rFonts w:ascii="Times New Roman" w:eastAsia="Times New Roman" w:hAnsi="Times New Roman" w:cs="Times New Roman"/>
                <w:b/>
                <w:bCs/>
                <w:noProof/>
                <w:sz w:val="20"/>
                <w:szCs w:val="20"/>
                <w:lang w:val="ru-RU" w:eastAsia="en-GB"/>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2BBE2BF1" w14:textId="77777777" w:rsidR="00C937A7" w:rsidRPr="008A0F8A" w:rsidRDefault="00C937A7" w:rsidP="00C937A7">
            <w:pPr>
              <w:spacing w:after="0" w:line="240" w:lineRule="auto"/>
              <w:rPr>
                <w:rFonts w:ascii="Times New Roman" w:eastAsia="Times New Roman" w:hAnsi="Times New Roman" w:cs="Times New Roman"/>
                <w:b/>
                <w:bCs/>
                <w:noProof/>
                <w:sz w:val="20"/>
                <w:szCs w:val="20"/>
                <w:lang w:val="ru-RU" w:eastAsia="en-GB"/>
              </w:rPr>
            </w:pPr>
          </w:p>
        </w:tc>
        <w:tc>
          <w:tcPr>
            <w:tcW w:w="1267" w:type="dxa"/>
            <w:vMerge/>
            <w:tcBorders>
              <w:top w:val="single" w:sz="4" w:space="0" w:color="auto"/>
              <w:left w:val="single" w:sz="4" w:space="0" w:color="auto"/>
              <w:bottom w:val="single" w:sz="4" w:space="0" w:color="auto"/>
              <w:right w:val="single" w:sz="4" w:space="0" w:color="auto"/>
            </w:tcBorders>
            <w:vAlign w:val="center"/>
            <w:hideMark/>
          </w:tcPr>
          <w:p w14:paraId="39A89245" w14:textId="77777777" w:rsidR="00C937A7" w:rsidRPr="008A0F8A" w:rsidRDefault="00C937A7" w:rsidP="00C937A7">
            <w:pPr>
              <w:spacing w:after="0" w:line="240" w:lineRule="auto"/>
              <w:rPr>
                <w:rFonts w:ascii="Times New Roman" w:eastAsia="Times New Roman" w:hAnsi="Times New Roman" w:cs="Times New Roman"/>
                <w:b/>
                <w:bCs/>
                <w:noProof/>
                <w:sz w:val="20"/>
                <w:szCs w:val="20"/>
                <w:lang w:val="ru-RU" w:eastAsia="en-GB"/>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14:paraId="1300331E" w14:textId="77777777" w:rsidR="00C937A7" w:rsidRPr="008A0F8A" w:rsidRDefault="00C937A7" w:rsidP="00C937A7">
            <w:pPr>
              <w:spacing w:after="0" w:line="240" w:lineRule="auto"/>
              <w:rPr>
                <w:rFonts w:ascii="Times New Roman" w:eastAsia="Times New Roman" w:hAnsi="Times New Roman" w:cs="Times New Roman"/>
                <w:b/>
                <w:bCs/>
                <w:noProof/>
                <w:sz w:val="20"/>
                <w:szCs w:val="20"/>
                <w:lang w:val="ru-RU" w:eastAsia="en-GB"/>
              </w:rPr>
            </w:pPr>
          </w:p>
        </w:tc>
        <w:tc>
          <w:tcPr>
            <w:tcW w:w="1791" w:type="dxa"/>
            <w:vMerge/>
            <w:tcBorders>
              <w:top w:val="single" w:sz="4" w:space="0" w:color="auto"/>
              <w:left w:val="single" w:sz="4" w:space="0" w:color="auto"/>
              <w:bottom w:val="single" w:sz="4" w:space="0" w:color="auto"/>
              <w:right w:val="single" w:sz="4" w:space="0" w:color="auto"/>
            </w:tcBorders>
            <w:vAlign w:val="center"/>
            <w:hideMark/>
          </w:tcPr>
          <w:p w14:paraId="09B5B568" w14:textId="77777777" w:rsidR="00C937A7" w:rsidRPr="008A0F8A" w:rsidRDefault="00C937A7" w:rsidP="00C937A7">
            <w:pPr>
              <w:spacing w:after="0" w:line="240" w:lineRule="auto"/>
              <w:rPr>
                <w:rFonts w:ascii="Times New Roman" w:eastAsia="Times New Roman" w:hAnsi="Times New Roman" w:cs="Times New Roman"/>
                <w:b/>
                <w:bCs/>
                <w:noProof/>
                <w:sz w:val="20"/>
                <w:szCs w:val="20"/>
                <w:lang w:val="ru-RU" w:eastAsia="en-GB"/>
              </w:rPr>
            </w:pPr>
          </w:p>
        </w:tc>
        <w:tc>
          <w:tcPr>
            <w:tcW w:w="1099" w:type="dxa"/>
            <w:tcBorders>
              <w:top w:val="nil"/>
              <w:left w:val="single" w:sz="4" w:space="0" w:color="auto"/>
              <w:bottom w:val="single" w:sz="4" w:space="0" w:color="auto"/>
              <w:right w:val="single" w:sz="4" w:space="0" w:color="auto"/>
            </w:tcBorders>
            <w:shd w:val="clear" w:color="auto" w:fill="BDD7EE"/>
            <w:vAlign w:val="center"/>
            <w:hideMark/>
          </w:tcPr>
          <w:p w14:paraId="1AFD1067" w14:textId="77777777" w:rsidR="00C937A7" w:rsidRPr="001C00FB" w:rsidRDefault="00C937A7" w:rsidP="00C937A7">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Мерна единица</w:t>
            </w:r>
          </w:p>
        </w:tc>
        <w:tc>
          <w:tcPr>
            <w:tcW w:w="1005" w:type="dxa"/>
            <w:tcBorders>
              <w:top w:val="nil"/>
              <w:left w:val="nil"/>
              <w:bottom w:val="single" w:sz="4" w:space="0" w:color="auto"/>
              <w:right w:val="single" w:sz="4" w:space="0" w:color="auto"/>
            </w:tcBorders>
            <w:shd w:val="clear" w:color="auto" w:fill="BDD7EE"/>
            <w:vAlign w:val="center"/>
            <w:hideMark/>
          </w:tcPr>
          <w:p w14:paraId="796B0D0A" w14:textId="77777777" w:rsidR="00C937A7" w:rsidRPr="001C00FB" w:rsidRDefault="00C937A7" w:rsidP="00C937A7">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Базова линия </w:t>
            </w:r>
          </w:p>
        </w:tc>
        <w:tc>
          <w:tcPr>
            <w:tcW w:w="921" w:type="dxa"/>
            <w:tcBorders>
              <w:top w:val="nil"/>
              <w:left w:val="nil"/>
              <w:bottom w:val="single" w:sz="4" w:space="0" w:color="auto"/>
              <w:right w:val="single" w:sz="4" w:space="0" w:color="auto"/>
            </w:tcBorders>
            <w:shd w:val="clear" w:color="auto" w:fill="BDD7EE"/>
            <w:vAlign w:val="center"/>
            <w:hideMark/>
          </w:tcPr>
          <w:p w14:paraId="1AE03FBB" w14:textId="77777777" w:rsidR="00C937A7" w:rsidRPr="001C00FB" w:rsidRDefault="00C937A7" w:rsidP="00C937A7">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Цел </w:t>
            </w:r>
          </w:p>
        </w:tc>
        <w:tc>
          <w:tcPr>
            <w:tcW w:w="921" w:type="dxa"/>
            <w:tcBorders>
              <w:top w:val="nil"/>
              <w:left w:val="nil"/>
              <w:bottom w:val="single" w:sz="4" w:space="0" w:color="auto"/>
              <w:right w:val="single" w:sz="4" w:space="0" w:color="auto"/>
            </w:tcBorders>
            <w:shd w:val="clear" w:color="auto" w:fill="BDD7EE"/>
            <w:vAlign w:val="center"/>
            <w:hideMark/>
          </w:tcPr>
          <w:p w14:paraId="27F9AF98" w14:textId="77777777" w:rsidR="00C937A7" w:rsidRPr="001C00FB" w:rsidRDefault="00C937A7" w:rsidP="00C937A7">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Тримесечие</w:t>
            </w:r>
          </w:p>
        </w:tc>
        <w:tc>
          <w:tcPr>
            <w:tcW w:w="709" w:type="dxa"/>
            <w:tcBorders>
              <w:top w:val="nil"/>
              <w:left w:val="nil"/>
              <w:bottom w:val="single" w:sz="4" w:space="0" w:color="auto"/>
              <w:right w:val="single" w:sz="4" w:space="0" w:color="auto"/>
            </w:tcBorders>
            <w:shd w:val="clear" w:color="auto" w:fill="BDD7EE"/>
            <w:vAlign w:val="center"/>
            <w:hideMark/>
          </w:tcPr>
          <w:p w14:paraId="30D218B6" w14:textId="77777777" w:rsidR="00C937A7" w:rsidRPr="001C00FB" w:rsidRDefault="00C937A7" w:rsidP="00C937A7">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Година</w:t>
            </w:r>
          </w:p>
        </w:tc>
        <w:tc>
          <w:tcPr>
            <w:tcW w:w="2977" w:type="dxa"/>
            <w:vMerge/>
            <w:tcBorders>
              <w:top w:val="single" w:sz="4" w:space="0" w:color="auto"/>
              <w:bottom w:val="single" w:sz="4" w:space="0" w:color="auto"/>
              <w:right w:val="single" w:sz="4" w:space="0" w:color="auto"/>
            </w:tcBorders>
            <w:vAlign w:val="center"/>
            <w:hideMark/>
          </w:tcPr>
          <w:p w14:paraId="070AC454" w14:textId="77777777" w:rsidR="00C937A7" w:rsidRPr="004148C8" w:rsidRDefault="00C937A7" w:rsidP="00C937A7">
            <w:pPr>
              <w:spacing w:after="0" w:line="240" w:lineRule="auto"/>
              <w:rPr>
                <w:rFonts w:ascii="Times New Roman" w:eastAsia="Times New Roman" w:hAnsi="Times New Roman" w:cs="Times New Roman"/>
                <w:b/>
                <w:bCs/>
                <w:noProof/>
                <w:sz w:val="20"/>
                <w:szCs w:val="20"/>
                <w:lang w:val="en-GB" w:eastAsia="en-GB"/>
              </w:rPr>
            </w:pPr>
          </w:p>
        </w:tc>
      </w:tr>
      <w:tr w:rsidR="00A41235" w:rsidRPr="005241FC" w14:paraId="6AD36897" w14:textId="77777777" w:rsidTr="00374E07">
        <w:trPr>
          <w:trHeight w:val="309"/>
        </w:trPr>
        <w:tc>
          <w:tcPr>
            <w:tcW w:w="708" w:type="dxa"/>
            <w:tcBorders>
              <w:top w:val="single" w:sz="4" w:space="0" w:color="auto"/>
              <w:left w:val="single" w:sz="4" w:space="0" w:color="auto"/>
              <w:bottom w:val="single" w:sz="4" w:space="0" w:color="auto"/>
              <w:right w:val="single" w:sz="4" w:space="0" w:color="auto"/>
            </w:tcBorders>
            <w:shd w:val="clear" w:color="auto" w:fill="C6EFCE"/>
            <w:noWrap/>
          </w:tcPr>
          <w:p w14:paraId="6B829DE2" w14:textId="39CDB947" w:rsidR="00C937A7" w:rsidRPr="00C06CD5" w:rsidRDefault="00212532" w:rsidP="00C937A7">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137</w:t>
            </w:r>
          </w:p>
        </w:tc>
        <w:tc>
          <w:tcPr>
            <w:tcW w:w="1842" w:type="dxa"/>
            <w:tcBorders>
              <w:top w:val="single" w:sz="4" w:space="0" w:color="auto"/>
              <w:left w:val="nil"/>
              <w:bottom w:val="single" w:sz="4" w:space="0" w:color="auto"/>
              <w:right w:val="single" w:sz="4" w:space="0" w:color="auto"/>
            </w:tcBorders>
            <w:shd w:val="clear" w:color="auto" w:fill="C6EFCE"/>
            <w:noWrap/>
          </w:tcPr>
          <w:p w14:paraId="3082AD73" w14:textId="77777777" w:rsidR="003B02A1" w:rsidRPr="00C06CD5" w:rsidRDefault="00152560" w:rsidP="00C937A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C7.R2: </w:t>
            </w:r>
          </w:p>
          <w:p w14:paraId="0CEFC644" w14:textId="218CC588" w:rsidR="00C937A7" w:rsidRPr="00C06CD5" w:rsidRDefault="00C937A7" w:rsidP="00C937A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Ефективно използване на радиочестотния спектър</w:t>
            </w:r>
          </w:p>
        </w:tc>
        <w:tc>
          <w:tcPr>
            <w:tcW w:w="1267" w:type="dxa"/>
            <w:tcBorders>
              <w:top w:val="single" w:sz="4" w:space="0" w:color="auto"/>
              <w:left w:val="nil"/>
              <w:bottom w:val="single" w:sz="4" w:space="0" w:color="auto"/>
              <w:right w:val="single" w:sz="4" w:space="0" w:color="auto"/>
            </w:tcBorders>
            <w:shd w:val="clear" w:color="auto" w:fill="C6EFCE"/>
            <w:noWrap/>
          </w:tcPr>
          <w:p w14:paraId="6595C630" w14:textId="77777777" w:rsidR="00C937A7" w:rsidRPr="00C06CD5" w:rsidRDefault="00C937A7" w:rsidP="00C937A7">
            <w:pPr>
              <w:spacing w:after="0" w:line="276"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p w14:paraId="3DE11513" w14:textId="77777777" w:rsidR="00C937A7" w:rsidRPr="00C06CD5" w:rsidRDefault="00C937A7" w:rsidP="00C937A7">
            <w:pPr>
              <w:spacing w:after="0" w:line="240" w:lineRule="auto"/>
              <w:rPr>
                <w:rFonts w:ascii="Times New Roman" w:eastAsia="Times New Roman" w:hAnsi="Times New Roman" w:cs="Times New Roman"/>
                <w:noProof/>
                <w:color w:val="006100"/>
                <w:sz w:val="20"/>
                <w:szCs w:val="20"/>
                <w:lang w:val="en-GB" w:eastAsia="en-GB"/>
              </w:rPr>
            </w:pPr>
          </w:p>
        </w:tc>
        <w:tc>
          <w:tcPr>
            <w:tcW w:w="1786" w:type="dxa"/>
            <w:tcBorders>
              <w:top w:val="single" w:sz="4" w:space="0" w:color="auto"/>
              <w:left w:val="nil"/>
              <w:bottom w:val="single" w:sz="4" w:space="0" w:color="auto"/>
              <w:right w:val="single" w:sz="4" w:space="0" w:color="auto"/>
            </w:tcBorders>
            <w:shd w:val="clear" w:color="auto" w:fill="C6EFCE"/>
            <w:noWrap/>
          </w:tcPr>
          <w:p w14:paraId="7EF25A7B" w14:textId="77777777" w:rsidR="00C937A7" w:rsidRPr="00C06CD5" w:rsidRDefault="00C937A7" w:rsidP="00C937A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Влизане в сила на постановлението за намаляване на таксите за радиочестотен спектър</w:t>
            </w:r>
          </w:p>
        </w:tc>
        <w:tc>
          <w:tcPr>
            <w:tcW w:w="1791" w:type="dxa"/>
            <w:tcBorders>
              <w:top w:val="single" w:sz="4" w:space="0" w:color="auto"/>
              <w:left w:val="nil"/>
              <w:bottom w:val="single" w:sz="4" w:space="0" w:color="auto"/>
              <w:right w:val="single" w:sz="4" w:space="0" w:color="auto"/>
            </w:tcBorders>
            <w:shd w:val="clear" w:color="auto" w:fill="C6EFCE"/>
            <w:noWrap/>
          </w:tcPr>
          <w:p w14:paraId="3286260F" w14:textId="28F6D213" w:rsidR="00C937A7" w:rsidRPr="00C06CD5" w:rsidRDefault="00C937A7" w:rsidP="00C937A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Разпоредба в постановлението на Министерския съвет, указваща влизането в сила на намаляването на таксите за радиочестотен спектър</w:t>
            </w:r>
          </w:p>
        </w:tc>
        <w:tc>
          <w:tcPr>
            <w:tcW w:w="1099" w:type="dxa"/>
            <w:tcBorders>
              <w:top w:val="nil"/>
              <w:left w:val="nil"/>
              <w:bottom w:val="single" w:sz="4" w:space="0" w:color="auto"/>
              <w:right w:val="single" w:sz="4" w:space="0" w:color="auto"/>
            </w:tcBorders>
            <w:shd w:val="clear" w:color="auto" w:fill="C6EFCE"/>
            <w:noWrap/>
          </w:tcPr>
          <w:p w14:paraId="5F6ECD36" w14:textId="77777777" w:rsidR="00C937A7" w:rsidRPr="008A0F8A" w:rsidRDefault="00C937A7" w:rsidP="00C937A7">
            <w:pPr>
              <w:spacing w:after="0" w:line="240" w:lineRule="auto"/>
              <w:rPr>
                <w:rFonts w:ascii="Times New Roman" w:eastAsia="Times New Roman" w:hAnsi="Times New Roman" w:cs="Times New Roman"/>
                <w:noProof/>
                <w:color w:val="006100"/>
                <w:sz w:val="20"/>
                <w:szCs w:val="20"/>
                <w:lang w:val="ru-RU" w:eastAsia="en-GB"/>
              </w:rPr>
            </w:pPr>
          </w:p>
        </w:tc>
        <w:tc>
          <w:tcPr>
            <w:tcW w:w="1005" w:type="dxa"/>
            <w:tcBorders>
              <w:top w:val="nil"/>
              <w:left w:val="nil"/>
              <w:bottom w:val="single" w:sz="4" w:space="0" w:color="auto"/>
              <w:right w:val="single" w:sz="4" w:space="0" w:color="auto"/>
            </w:tcBorders>
            <w:shd w:val="clear" w:color="auto" w:fill="C6EFCE"/>
            <w:noWrap/>
          </w:tcPr>
          <w:p w14:paraId="38C38090" w14:textId="77777777" w:rsidR="00C937A7" w:rsidRPr="008A0F8A" w:rsidRDefault="00C937A7" w:rsidP="00C937A7">
            <w:pPr>
              <w:spacing w:after="0" w:line="240" w:lineRule="auto"/>
              <w:rPr>
                <w:rFonts w:ascii="Times New Roman" w:eastAsia="Times New Roman" w:hAnsi="Times New Roman" w:cs="Times New Roman"/>
                <w:noProof/>
                <w:color w:val="006100"/>
                <w:sz w:val="20"/>
                <w:szCs w:val="20"/>
                <w:lang w:val="ru-RU" w:eastAsia="en-GB"/>
              </w:rPr>
            </w:pPr>
          </w:p>
        </w:tc>
        <w:tc>
          <w:tcPr>
            <w:tcW w:w="921" w:type="dxa"/>
            <w:tcBorders>
              <w:top w:val="nil"/>
              <w:left w:val="nil"/>
              <w:bottom w:val="single" w:sz="4" w:space="0" w:color="auto"/>
              <w:right w:val="single" w:sz="4" w:space="0" w:color="auto"/>
            </w:tcBorders>
            <w:shd w:val="clear" w:color="auto" w:fill="C6EFCE"/>
            <w:noWrap/>
          </w:tcPr>
          <w:p w14:paraId="3F27D606" w14:textId="77777777" w:rsidR="00C937A7" w:rsidRPr="008A0F8A" w:rsidRDefault="00C937A7" w:rsidP="00C937A7">
            <w:pPr>
              <w:spacing w:after="0" w:line="240" w:lineRule="auto"/>
              <w:rPr>
                <w:rFonts w:ascii="Times New Roman" w:eastAsia="Times New Roman" w:hAnsi="Times New Roman" w:cs="Times New Roman"/>
                <w:noProof/>
                <w:color w:val="006100"/>
                <w:sz w:val="20"/>
                <w:szCs w:val="20"/>
                <w:lang w:val="ru-RU" w:eastAsia="en-GB"/>
              </w:rPr>
            </w:pPr>
          </w:p>
        </w:tc>
        <w:tc>
          <w:tcPr>
            <w:tcW w:w="921" w:type="dxa"/>
            <w:tcBorders>
              <w:top w:val="nil"/>
              <w:left w:val="nil"/>
              <w:bottom w:val="single" w:sz="4" w:space="0" w:color="auto"/>
              <w:right w:val="single" w:sz="4" w:space="0" w:color="auto"/>
            </w:tcBorders>
            <w:shd w:val="clear" w:color="auto" w:fill="C6EFCE"/>
            <w:noWrap/>
          </w:tcPr>
          <w:p w14:paraId="764A897B" w14:textId="77777777" w:rsidR="00C937A7" w:rsidRPr="00C06CD5" w:rsidRDefault="00C937A7" w:rsidP="00C937A7">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T1</w:t>
            </w:r>
          </w:p>
        </w:tc>
        <w:tc>
          <w:tcPr>
            <w:tcW w:w="709" w:type="dxa"/>
            <w:tcBorders>
              <w:top w:val="nil"/>
              <w:left w:val="nil"/>
              <w:bottom w:val="single" w:sz="4" w:space="0" w:color="auto"/>
              <w:right w:val="single" w:sz="4" w:space="0" w:color="auto"/>
            </w:tcBorders>
            <w:shd w:val="clear" w:color="auto" w:fill="C6EFCE"/>
            <w:noWrap/>
          </w:tcPr>
          <w:p w14:paraId="248923B4" w14:textId="77777777" w:rsidR="00C937A7" w:rsidRPr="00C06CD5" w:rsidRDefault="00C937A7" w:rsidP="00C937A7">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2021</w:t>
            </w:r>
          </w:p>
        </w:tc>
        <w:tc>
          <w:tcPr>
            <w:tcW w:w="2977" w:type="dxa"/>
            <w:tcBorders>
              <w:top w:val="single" w:sz="4" w:space="0" w:color="auto"/>
              <w:left w:val="nil"/>
              <w:bottom w:val="single" w:sz="4" w:space="0" w:color="auto"/>
              <w:right w:val="single" w:sz="4" w:space="0" w:color="auto"/>
            </w:tcBorders>
            <w:shd w:val="clear" w:color="auto" w:fill="C6EFCE"/>
            <w:noWrap/>
          </w:tcPr>
          <w:p w14:paraId="3C2B7926" w14:textId="77777777" w:rsidR="00C937A7" w:rsidRPr="00C06CD5" w:rsidRDefault="00C937A7" w:rsidP="00C937A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С постановлението на Министерския съвет се установява намаление на еднократната такса за ползване на радиочестотния спектър с 50 % и намаление на годишната такса за ползване на радиочестотния спектър с 35 %. Това се отнася до таксите по Закона за електронните съобщения, събирани от Комисията за регулиране на съобщенията.</w:t>
            </w:r>
          </w:p>
        </w:tc>
      </w:tr>
      <w:tr w:rsidR="00A41235" w:rsidRPr="005241FC" w14:paraId="3878B92E" w14:textId="77777777" w:rsidTr="78112151">
        <w:trPr>
          <w:trHeight w:val="309"/>
        </w:trPr>
        <w:tc>
          <w:tcPr>
            <w:tcW w:w="708" w:type="dxa"/>
            <w:tcBorders>
              <w:top w:val="nil"/>
              <w:left w:val="single" w:sz="4" w:space="0" w:color="auto"/>
              <w:bottom w:val="single" w:sz="4" w:space="0" w:color="auto"/>
              <w:right w:val="single" w:sz="4" w:space="0" w:color="auto"/>
            </w:tcBorders>
            <w:shd w:val="clear" w:color="auto" w:fill="C6EFCE"/>
            <w:noWrap/>
          </w:tcPr>
          <w:p w14:paraId="4B605520" w14:textId="6F14D7F2" w:rsidR="00C937A7" w:rsidRPr="00C06CD5" w:rsidRDefault="00212532" w:rsidP="00C937A7">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138</w:t>
            </w:r>
          </w:p>
        </w:tc>
        <w:tc>
          <w:tcPr>
            <w:tcW w:w="1842" w:type="dxa"/>
            <w:tcBorders>
              <w:top w:val="nil"/>
              <w:left w:val="nil"/>
              <w:bottom w:val="single" w:sz="4" w:space="0" w:color="auto"/>
              <w:right w:val="single" w:sz="4" w:space="0" w:color="auto"/>
            </w:tcBorders>
            <w:shd w:val="clear" w:color="auto" w:fill="C6EFCE"/>
            <w:noWrap/>
          </w:tcPr>
          <w:p w14:paraId="41464933" w14:textId="77777777" w:rsidR="003B02A1" w:rsidRPr="00C06CD5" w:rsidRDefault="00152560" w:rsidP="00C937A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C7.R2: </w:t>
            </w:r>
          </w:p>
          <w:p w14:paraId="49AE9899" w14:textId="3BF8579F" w:rsidR="00C937A7" w:rsidRPr="00C06CD5" w:rsidRDefault="00C937A7" w:rsidP="00C937A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Ефективно използване на радиочестотния спектър</w:t>
            </w:r>
          </w:p>
        </w:tc>
        <w:tc>
          <w:tcPr>
            <w:tcW w:w="1267" w:type="dxa"/>
            <w:tcBorders>
              <w:top w:val="nil"/>
              <w:left w:val="nil"/>
              <w:bottom w:val="single" w:sz="4" w:space="0" w:color="auto"/>
              <w:right w:val="single" w:sz="4" w:space="0" w:color="auto"/>
            </w:tcBorders>
            <w:shd w:val="clear" w:color="auto" w:fill="C6EFCE"/>
            <w:noWrap/>
          </w:tcPr>
          <w:p w14:paraId="4A20F59B" w14:textId="77777777" w:rsidR="00C937A7" w:rsidRPr="00C06CD5" w:rsidRDefault="00C937A7" w:rsidP="00C937A7">
            <w:pPr>
              <w:spacing w:after="0" w:line="276"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Ключов етап </w:t>
            </w:r>
          </w:p>
        </w:tc>
        <w:tc>
          <w:tcPr>
            <w:tcW w:w="1786" w:type="dxa"/>
            <w:tcBorders>
              <w:top w:val="nil"/>
              <w:left w:val="nil"/>
              <w:bottom w:val="single" w:sz="4" w:space="0" w:color="auto"/>
              <w:right w:val="single" w:sz="4" w:space="0" w:color="auto"/>
            </w:tcBorders>
            <w:shd w:val="clear" w:color="auto" w:fill="C6EFCE"/>
            <w:noWrap/>
          </w:tcPr>
          <w:p w14:paraId="6D7B14D8" w14:textId="77777777" w:rsidR="00C937A7" w:rsidRPr="00C06CD5" w:rsidRDefault="00C937A7" w:rsidP="00C937A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Изпълнение на разпределението на радиочестотен спектър в радиочестотната лента 26 GHz </w:t>
            </w:r>
          </w:p>
        </w:tc>
        <w:tc>
          <w:tcPr>
            <w:tcW w:w="1791" w:type="dxa"/>
            <w:tcBorders>
              <w:top w:val="nil"/>
              <w:left w:val="nil"/>
              <w:bottom w:val="single" w:sz="4" w:space="0" w:color="auto"/>
              <w:right w:val="single" w:sz="4" w:space="0" w:color="auto"/>
            </w:tcBorders>
            <w:shd w:val="clear" w:color="auto" w:fill="C6EFCE"/>
            <w:noWrap/>
          </w:tcPr>
          <w:p w14:paraId="25DBA4FF" w14:textId="77777777" w:rsidR="00C937A7" w:rsidRPr="00C06CD5" w:rsidDel="00F403BF" w:rsidRDefault="00C937A7" w:rsidP="00C937A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Съобщаване за предоставянето на права за ползване в обхвата 26 GHz и подписване на договори</w:t>
            </w:r>
          </w:p>
        </w:tc>
        <w:tc>
          <w:tcPr>
            <w:tcW w:w="1099" w:type="dxa"/>
            <w:tcBorders>
              <w:top w:val="nil"/>
              <w:left w:val="nil"/>
              <w:bottom w:val="single" w:sz="4" w:space="0" w:color="auto"/>
              <w:right w:val="single" w:sz="4" w:space="0" w:color="auto"/>
            </w:tcBorders>
            <w:shd w:val="clear" w:color="auto" w:fill="C6EFCE"/>
            <w:noWrap/>
          </w:tcPr>
          <w:p w14:paraId="76558E4B" w14:textId="77777777" w:rsidR="00C937A7" w:rsidRPr="008A0F8A" w:rsidRDefault="00C937A7" w:rsidP="00C937A7">
            <w:pPr>
              <w:spacing w:after="0" w:line="240" w:lineRule="auto"/>
              <w:rPr>
                <w:rFonts w:ascii="Times New Roman" w:eastAsia="Times New Roman" w:hAnsi="Times New Roman" w:cs="Times New Roman"/>
                <w:noProof/>
                <w:color w:val="006100"/>
                <w:sz w:val="20"/>
                <w:szCs w:val="20"/>
                <w:lang w:val="ru-RU" w:eastAsia="en-GB"/>
              </w:rPr>
            </w:pPr>
          </w:p>
        </w:tc>
        <w:tc>
          <w:tcPr>
            <w:tcW w:w="1005" w:type="dxa"/>
            <w:tcBorders>
              <w:top w:val="nil"/>
              <w:left w:val="nil"/>
              <w:bottom w:val="single" w:sz="4" w:space="0" w:color="auto"/>
              <w:right w:val="single" w:sz="4" w:space="0" w:color="auto"/>
            </w:tcBorders>
            <w:shd w:val="clear" w:color="auto" w:fill="C6EFCE"/>
            <w:noWrap/>
          </w:tcPr>
          <w:p w14:paraId="4B40D446" w14:textId="77777777" w:rsidR="00C937A7" w:rsidRPr="008A0F8A" w:rsidRDefault="00C937A7" w:rsidP="00C937A7">
            <w:pPr>
              <w:spacing w:after="0" w:line="240" w:lineRule="auto"/>
              <w:rPr>
                <w:rFonts w:ascii="Times New Roman" w:eastAsia="Times New Roman" w:hAnsi="Times New Roman" w:cs="Times New Roman"/>
                <w:noProof/>
                <w:color w:val="006100"/>
                <w:sz w:val="20"/>
                <w:szCs w:val="20"/>
                <w:lang w:val="ru-RU" w:eastAsia="en-GB"/>
              </w:rPr>
            </w:pPr>
          </w:p>
        </w:tc>
        <w:tc>
          <w:tcPr>
            <w:tcW w:w="921" w:type="dxa"/>
            <w:tcBorders>
              <w:top w:val="nil"/>
              <w:left w:val="nil"/>
              <w:bottom w:val="single" w:sz="4" w:space="0" w:color="auto"/>
              <w:right w:val="single" w:sz="4" w:space="0" w:color="auto"/>
            </w:tcBorders>
            <w:shd w:val="clear" w:color="auto" w:fill="C6EFCE"/>
            <w:noWrap/>
          </w:tcPr>
          <w:p w14:paraId="111C532E" w14:textId="77777777" w:rsidR="00C937A7" w:rsidRPr="008A0F8A" w:rsidRDefault="00C937A7" w:rsidP="00C937A7">
            <w:pPr>
              <w:spacing w:after="0" w:line="240" w:lineRule="auto"/>
              <w:rPr>
                <w:rFonts w:ascii="Times New Roman" w:eastAsia="Times New Roman" w:hAnsi="Times New Roman" w:cs="Times New Roman"/>
                <w:noProof/>
                <w:color w:val="006100"/>
                <w:sz w:val="20"/>
                <w:szCs w:val="20"/>
                <w:lang w:val="ru-RU" w:eastAsia="en-GB"/>
              </w:rPr>
            </w:pPr>
          </w:p>
        </w:tc>
        <w:tc>
          <w:tcPr>
            <w:tcW w:w="921" w:type="dxa"/>
            <w:tcBorders>
              <w:top w:val="nil"/>
              <w:left w:val="nil"/>
              <w:bottom w:val="single" w:sz="4" w:space="0" w:color="auto"/>
              <w:right w:val="single" w:sz="4" w:space="0" w:color="auto"/>
            </w:tcBorders>
            <w:shd w:val="clear" w:color="auto" w:fill="C6EFCE"/>
            <w:noWrap/>
          </w:tcPr>
          <w:p w14:paraId="06AFC5B6" w14:textId="77777777" w:rsidR="00C937A7" w:rsidRPr="00C06CD5" w:rsidRDefault="00C937A7" w:rsidP="00C937A7">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T4</w:t>
            </w:r>
          </w:p>
        </w:tc>
        <w:tc>
          <w:tcPr>
            <w:tcW w:w="709" w:type="dxa"/>
            <w:tcBorders>
              <w:top w:val="nil"/>
              <w:left w:val="nil"/>
              <w:bottom w:val="single" w:sz="4" w:space="0" w:color="auto"/>
              <w:right w:val="single" w:sz="4" w:space="0" w:color="auto"/>
            </w:tcBorders>
            <w:shd w:val="clear" w:color="auto" w:fill="C6EFCE"/>
            <w:noWrap/>
          </w:tcPr>
          <w:p w14:paraId="20407ADC" w14:textId="77777777" w:rsidR="00C937A7" w:rsidRPr="00C06CD5" w:rsidRDefault="00C937A7" w:rsidP="00C937A7">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2022</w:t>
            </w:r>
          </w:p>
        </w:tc>
        <w:tc>
          <w:tcPr>
            <w:tcW w:w="2977" w:type="dxa"/>
            <w:tcBorders>
              <w:top w:val="nil"/>
              <w:left w:val="nil"/>
              <w:bottom w:val="single" w:sz="4" w:space="0" w:color="auto"/>
              <w:right w:val="single" w:sz="4" w:space="0" w:color="auto"/>
            </w:tcBorders>
            <w:shd w:val="clear" w:color="auto" w:fill="C6EFCE"/>
            <w:noWrap/>
          </w:tcPr>
          <w:p w14:paraId="64B6160C" w14:textId="77777777" w:rsidR="00C937A7" w:rsidRPr="00C06CD5" w:rsidRDefault="00C937A7" w:rsidP="00C937A7">
            <w:pPr>
              <w:spacing w:after="0" w:line="240" w:lineRule="auto"/>
              <w:rPr>
                <w:rFonts w:ascii="Times New Roman" w:eastAsia="Calibri" w:hAnsi="Times New Roman" w:cs="Times New Roman"/>
                <w:noProof/>
                <w:color w:val="006100"/>
                <w:sz w:val="20"/>
                <w:szCs w:val="20"/>
              </w:rPr>
            </w:pPr>
            <w:r>
              <w:rPr>
                <w:rFonts w:ascii="Times New Roman" w:hAnsi="Times New Roman"/>
                <w:noProof/>
                <w:color w:val="006100"/>
                <w:sz w:val="20"/>
              </w:rPr>
              <w:t>Подписването на договорите се предшества от стартирането и приключването на търговете и съобщаването за отдаване на спектър на операторите в обхвата 26 GHz. Радиочестотната лента се определя въз основа на критерии, гарантиращи прозрачност и насърчаване на конкуренцията при мрежите и основните услуги.</w:t>
            </w:r>
          </w:p>
        </w:tc>
      </w:tr>
      <w:tr w:rsidR="00A41235" w:rsidRPr="005241FC" w14:paraId="5FEF3834" w14:textId="77777777" w:rsidTr="78112151">
        <w:trPr>
          <w:trHeight w:val="309"/>
        </w:trPr>
        <w:tc>
          <w:tcPr>
            <w:tcW w:w="708" w:type="dxa"/>
            <w:tcBorders>
              <w:top w:val="nil"/>
              <w:left w:val="single" w:sz="4" w:space="0" w:color="auto"/>
              <w:bottom w:val="single" w:sz="4" w:space="0" w:color="auto"/>
              <w:right w:val="single" w:sz="4" w:space="0" w:color="auto"/>
            </w:tcBorders>
            <w:shd w:val="clear" w:color="auto" w:fill="C6EFCE"/>
            <w:noWrap/>
          </w:tcPr>
          <w:p w14:paraId="0A64E5FE" w14:textId="4550E685" w:rsidR="00C937A7" w:rsidRPr="00C06CD5" w:rsidRDefault="00212532" w:rsidP="00C937A7">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139</w:t>
            </w:r>
          </w:p>
        </w:tc>
        <w:tc>
          <w:tcPr>
            <w:tcW w:w="1842" w:type="dxa"/>
            <w:tcBorders>
              <w:top w:val="nil"/>
              <w:left w:val="nil"/>
              <w:bottom w:val="single" w:sz="4" w:space="0" w:color="auto"/>
              <w:right w:val="single" w:sz="4" w:space="0" w:color="auto"/>
            </w:tcBorders>
            <w:shd w:val="clear" w:color="auto" w:fill="C6EFCE"/>
            <w:noWrap/>
          </w:tcPr>
          <w:p w14:paraId="5666B719" w14:textId="77777777" w:rsidR="003B02A1" w:rsidRPr="00C06CD5" w:rsidRDefault="00152560" w:rsidP="00C937A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C7.R2: </w:t>
            </w:r>
          </w:p>
          <w:p w14:paraId="5BD7F14D" w14:textId="1EBD11F5" w:rsidR="00C937A7" w:rsidRPr="00C06CD5" w:rsidRDefault="00C937A7" w:rsidP="00C937A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Ефективно използване на радиочестотния спектър</w:t>
            </w:r>
          </w:p>
        </w:tc>
        <w:tc>
          <w:tcPr>
            <w:tcW w:w="1267" w:type="dxa"/>
            <w:tcBorders>
              <w:top w:val="nil"/>
              <w:left w:val="nil"/>
              <w:bottom w:val="single" w:sz="4" w:space="0" w:color="auto"/>
              <w:right w:val="single" w:sz="4" w:space="0" w:color="auto"/>
            </w:tcBorders>
            <w:shd w:val="clear" w:color="auto" w:fill="C6EFCE"/>
            <w:noWrap/>
          </w:tcPr>
          <w:p w14:paraId="06510160" w14:textId="77777777" w:rsidR="00C937A7" w:rsidRPr="00C06CD5" w:rsidRDefault="00C937A7" w:rsidP="00C937A7">
            <w:pPr>
              <w:spacing w:after="0" w:line="276"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p w14:paraId="6CAE70A7" w14:textId="77777777" w:rsidR="00C937A7" w:rsidRPr="00C06CD5" w:rsidRDefault="00C937A7" w:rsidP="00C937A7">
            <w:pPr>
              <w:spacing w:after="0" w:line="276" w:lineRule="auto"/>
              <w:rPr>
                <w:rFonts w:ascii="Times New Roman" w:eastAsia="Times New Roman" w:hAnsi="Times New Roman" w:cs="Times New Roman"/>
                <w:noProof/>
                <w:color w:val="006100"/>
                <w:sz w:val="20"/>
                <w:szCs w:val="20"/>
                <w:lang w:val="en-GB" w:eastAsia="en-GB"/>
              </w:rPr>
            </w:pPr>
          </w:p>
        </w:tc>
        <w:tc>
          <w:tcPr>
            <w:tcW w:w="1786" w:type="dxa"/>
            <w:tcBorders>
              <w:top w:val="nil"/>
              <w:left w:val="nil"/>
              <w:bottom w:val="single" w:sz="4" w:space="0" w:color="auto"/>
              <w:right w:val="single" w:sz="4" w:space="0" w:color="auto"/>
            </w:tcBorders>
            <w:shd w:val="clear" w:color="auto" w:fill="C6EFCE"/>
            <w:noWrap/>
          </w:tcPr>
          <w:p w14:paraId="7B249A05" w14:textId="4F65B1C7" w:rsidR="00C937A7" w:rsidRPr="00C06CD5" w:rsidRDefault="00C937A7" w:rsidP="00C937A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Завършване на предоставянето на наличния честотен ресурс в радиочестотните ленти 700 MHz и 800 MHz</w:t>
            </w:r>
          </w:p>
        </w:tc>
        <w:tc>
          <w:tcPr>
            <w:tcW w:w="1791" w:type="dxa"/>
            <w:tcBorders>
              <w:top w:val="nil"/>
              <w:left w:val="nil"/>
              <w:bottom w:val="single" w:sz="4" w:space="0" w:color="auto"/>
              <w:right w:val="single" w:sz="4" w:space="0" w:color="auto"/>
            </w:tcBorders>
            <w:shd w:val="clear" w:color="auto" w:fill="C6EFCE"/>
            <w:noWrap/>
          </w:tcPr>
          <w:p w14:paraId="4635ACA0" w14:textId="77777777" w:rsidR="00C937A7" w:rsidRPr="00C06CD5" w:rsidRDefault="00C937A7" w:rsidP="00C937A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Съобщаване за предоставянето на права за ползване в обхватите 700 MHz и 800 MHz и подписване на договори </w:t>
            </w:r>
          </w:p>
        </w:tc>
        <w:tc>
          <w:tcPr>
            <w:tcW w:w="1099" w:type="dxa"/>
            <w:tcBorders>
              <w:top w:val="nil"/>
              <w:left w:val="nil"/>
              <w:bottom w:val="single" w:sz="4" w:space="0" w:color="auto"/>
              <w:right w:val="single" w:sz="4" w:space="0" w:color="auto"/>
            </w:tcBorders>
            <w:shd w:val="clear" w:color="auto" w:fill="C6EFCE"/>
            <w:noWrap/>
          </w:tcPr>
          <w:p w14:paraId="142C44E1" w14:textId="77777777" w:rsidR="00C937A7" w:rsidRPr="008A0F8A" w:rsidRDefault="00C937A7" w:rsidP="00C937A7">
            <w:pPr>
              <w:spacing w:after="0" w:line="240" w:lineRule="auto"/>
              <w:rPr>
                <w:rFonts w:ascii="Times New Roman" w:eastAsia="Times New Roman" w:hAnsi="Times New Roman" w:cs="Times New Roman"/>
                <w:noProof/>
                <w:color w:val="006100"/>
                <w:sz w:val="20"/>
                <w:szCs w:val="20"/>
                <w:lang w:val="ru-RU" w:eastAsia="en-GB"/>
              </w:rPr>
            </w:pPr>
          </w:p>
        </w:tc>
        <w:tc>
          <w:tcPr>
            <w:tcW w:w="1005" w:type="dxa"/>
            <w:tcBorders>
              <w:top w:val="nil"/>
              <w:left w:val="nil"/>
              <w:bottom w:val="single" w:sz="4" w:space="0" w:color="auto"/>
              <w:right w:val="single" w:sz="4" w:space="0" w:color="auto"/>
            </w:tcBorders>
            <w:shd w:val="clear" w:color="auto" w:fill="C6EFCE"/>
            <w:noWrap/>
          </w:tcPr>
          <w:p w14:paraId="015B1B8C" w14:textId="77777777" w:rsidR="00C937A7" w:rsidRPr="008A0F8A" w:rsidRDefault="00C937A7" w:rsidP="00C937A7">
            <w:pPr>
              <w:spacing w:after="0" w:line="240" w:lineRule="auto"/>
              <w:rPr>
                <w:rFonts w:ascii="Times New Roman" w:eastAsia="Times New Roman" w:hAnsi="Times New Roman" w:cs="Times New Roman"/>
                <w:noProof/>
                <w:color w:val="006100"/>
                <w:sz w:val="20"/>
                <w:szCs w:val="20"/>
                <w:lang w:val="ru-RU" w:eastAsia="en-GB"/>
              </w:rPr>
            </w:pPr>
          </w:p>
        </w:tc>
        <w:tc>
          <w:tcPr>
            <w:tcW w:w="921" w:type="dxa"/>
            <w:tcBorders>
              <w:top w:val="nil"/>
              <w:left w:val="nil"/>
              <w:bottom w:val="single" w:sz="4" w:space="0" w:color="auto"/>
              <w:right w:val="single" w:sz="4" w:space="0" w:color="auto"/>
            </w:tcBorders>
            <w:shd w:val="clear" w:color="auto" w:fill="C6EFCE"/>
            <w:noWrap/>
          </w:tcPr>
          <w:p w14:paraId="1F3C78FE" w14:textId="77777777" w:rsidR="00C937A7" w:rsidRPr="008A0F8A" w:rsidRDefault="00C937A7" w:rsidP="00C937A7">
            <w:pPr>
              <w:spacing w:after="0" w:line="240" w:lineRule="auto"/>
              <w:rPr>
                <w:rFonts w:ascii="Times New Roman" w:eastAsia="Times New Roman" w:hAnsi="Times New Roman" w:cs="Times New Roman"/>
                <w:noProof/>
                <w:color w:val="006100"/>
                <w:sz w:val="20"/>
                <w:szCs w:val="20"/>
                <w:lang w:val="ru-RU" w:eastAsia="en-GB"/>
              </w:rPr>
            </w:pPr>
          </w:p>
        </w:tc>
        <w:tc>
          <w:tcPr>
            <w:tcW w:w="921" w:type="dxa"/>
            <w:tcBorders>
              <w:top w:val="nil"/>
              <w:left w:val="nil"/>
              <w:bottom w:val="single" w:sz="4" w:space="0" w:color="auto"/>
              <w:right w:val="single" w:sz="4" w:space="0" w:color="auto"/>
            </w:tcBorders>
            <w:shd w:val="clear" w:color="auto" w:fill="C6EFCE"/>
            <w:noWrap/>
          </w:tcPr>
          <w:p w14:paraId="6DFA656A" w14:textId="77777777" w:rsidR="00C937A7" w:rsidRPr="00C06CD5" w:rsidRDefault="00C937A7" w:rsidP="00C937A7">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T1</w:t>
            </w:r>
          </w:p>
        </w:tc>
        <w:tc>
          <w:tcPr>
            <w:tcW w:w="709" w:type="dxa"/>
            <w:tcBorders>
              <w:top w:val="nil"/>
              <w:left w:val="nil"/>
              <w:bottom w:val="single" w:sz="4" w:space="0" w:color="auto"/>
              <w:right w:val="single" w:sz="4" w:space="0" w:color="auto"/>
            </w:tcBorders>
            <w:shd w:val="clear" w:color="auto" w:fill="C6EFCE"/>
            <w:noWrap/>
          </w:tcPr>
          <w:p w14:paraId="3A11813E" w14:textId="77777777" w:rsidR="00C937A7" w:rsidRPr="00C06CD5" w:rsidRDefault="00C937A7" w:rsidP="00C937A7">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2023</w:t>
            </w:r>
          </w:p>
        </w:tc>
        <w:tc>
          <w:tcPr>
            <w:tcW w:w="2977" w:type="dxa"/>
            <w:tcBorders>
              <w:top w:val="nil"/>
              <w:left w:val="nil"/>
              <w:bottom w:val="single" w:sz="4" w:space="0" w:color="auto"/>
              <w:right w:val="single" w:sz="4" w:space="0" w:color="auto"/>
            </w:tcBorders>
            <w:shd w:val="clear" w:color="auto" w:fill="C6EFCE"/>
            <w:noWrap/>
          </w:tcPr>
          <w:p w14:paraId="4C97EEC8" w14:textId="4A7C898E" w:rsidR="00C937A7" w:rsidRPr="00C06CD5" w:rsidRDefault="00C937A7" w:rsidP="00C937A7">
            <w:pPr>
              <w:spacing w:after="0" w:line="240" w:lineRule="auto"/>
              <w:rPr>
                <w:rFonts w:ascii="Times New Roman" w:eastAsia="Calibri" w:hAnsi="Times New Roman" w:cs="Times New Roman"/>
                <w:noProof/>
                <w:color w:val="006100"/>
                <w:sz w:val="20"/>
                <w:szCs w:val="20"/>
              </w:rPr>
            </w:pPr>
            <w:r>
              <w:rPr>
                <w:rFonts w:ascii="Times New Roman" w:hAnsi="Times New Roman"/>
                <w:noProof/>
                <w:color w:val="006100"/>
                <w:sz w:val="20"/>
              </w:rPr>
              <w:t xml:space="preserve">Подписването на договорите се предшества от стартирането и приключването на търг, както и уведомление за предоставянето на права за ползване на операторите на обхватите 700 MHz и 800 MHz. Търгът обхваща поне честотен ресурс от 3x2x10 MHz в обхвата 700 MHz и честотен ресурс от 3x2x10 MHz в обхвата 800 MHz, при условие че се създадат санитарни зони около военните летища. </w:t>
            </w:r>
          </w:p>
          <w:p w14:paraId="7BB03E87" w14:textId="77777777" w:rsidR="00C937A7" w:rsidRPr="00C06CD5" w:rsidRDefault="00C937A7" w:rsidP="00C937A7">
            <w:pPr>
              <w:spacing w:after="0" w:line="240" w:lineRule="auto"/>
              <w:rPr>
                <w:rFonts w:ascii="Times New Roman" w:eastAsia="Calibri" w:hAnsi="Times New Roman" w:cs="Times New Roman"/>
                <w:noProof/>
                <w:color w:val="006100"/>
                <w:sz w:val="20"/>
                <w:szCs w:val="20"/>
              </w:rPr>
            </w:pPr>
            <w:r>
              <w:rPr>
                <w:rFonts w:ascii="Times New Roman" w:hAnsi="Times New Roman"/>
                <w:noProof/>
                <w:color w:val="006100"/>
                <w:sz w:val="20"/>
              </w:rPr>
              <w:t>Ресурсът за военна употреба и санитарните зони се договарят и признават от съответните държавни органи и мобилни оператори. Всеки от трите мобилни оператора в България трябва да разполага с 10+10 MHz в права и в обратна посока както в обхвата 700 MHz, така и в обхвата 800 MHz.</w:t>
            </w:r>
          </w:p>
          <w:p w14:paraId="335BB303" w14:textId="77777777" w:rsidR="00C937A7" w:rsidRPr="00C06CD5" w:rsidRDefault="00C937A7" w:rsidP="00C937A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Радиочестотната лента се определя въз основа на критерии, гарантиращи прозрачност и насърчаване на конкуренцията при мрежите и основните услуги. Процесът включва предварителен преглед на тръжните условия от Европейската комисия.</w:t>
            </w:r>
          </w:p>
        </w:tc>
      </w:tr>
      <w:tr w:rsidR="00A41235" w:rsidRPr="005241FC" w14:paraId="424D07E1" w14:textId="77777777" w:rsidTr="78112151">
        <w:trPr>
          <w:trHeight w:val="309"/>
        </w:trPr>
        <w:tc>
          <w:tcPr>
            <w:tcW w:w="708" w:type="dxa"/>
            <w:tcBorders>
              <w:top w:val="nil"/>
              <w:left w:val="single" w:sz="4" w:space="0" w:color="auto"/>
              <w:bottom w:val="single" w:sz="4" w:space="0" w:color="auto"/>
              <w:right w:val="single" w:sz="4" w:space="0" w:color="auto"/>
            </w:tcBorders>
            <w:shd w:val="clear" w:color="auto" w:fill="C6EFCE"/>
            <w:noWrap/>
            <w:hideMark/>
          </w:tcPr>
          <w:p w14:paraId="774C12FB" w14:textId="40C54FA5" w:rsidR="00C937A7" w:rsidRPr="00C06CD5" w:rsidRDefault="00212532" w:rsidP="00C937A7">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140</w:t>
            </w:r>
          </w:p>
        </w:tc>
        <w:tc>
          <w:tcPr>
            <w:tcW w:w="1842" w:type="dxa"/>
            <w:tcBorders>
              <w:top w:val="nil"/>
              <w:left w:val="nil"/>
              <w:bottom w:val="single" w:sz="4" w:space="0" w:color="auto"/>
              <w:right w:val="single" w:sz="4" w:space="0" w:color="auto"/>
            </w:tcBorders>
            <w:shd w:val="clear" w:color="auto" w:fill="C6EFCE"/>
            <w:noWrap/>
            <w:hideMark/>
          </w:tcPr>
          <w:p w14:paraId="6D5EE25B" w14:textId="77777777" w:rsidR="003B02A1" w:rsidRPr="00C06CD5" w:rsidRDefault="00152560" w:rsidP="0015256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C7.R3: </w:t>
            </w:r>
          </w:p>
          <w:p w14:paraId="3C811D32" w14:textId="62C652AF" w:rsidR="00C937A7" w:rsidRPr="00C06CD5" w:rsidRDefault="00C937A7" w:rsidP="0015256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Създаване на благоприятна инвестиционна среда</w:t>
            </w:r>
          </w:p>
        </w:tc>
        <w:tc>
          <w:tcPr>
            <w:tcW w:w="1267" w:type="dxa"/>
            <w:tcBorders>
              <w:top w:val="nil"/>
              <w:left w:val="nil"/>
              <w:bottom w:val="single" w:sz="4" w:space="0" w:color="auto"/>
              <w:right w:val="single" w:sz="4" w:space="0" w:color="auto"/>
            </w:tcBorders>
            <w:shd w:val="clear" w:color="auto" w:fill="C6EFCE"/>
            <w:noWrap/>
            <w:hideMark/>
          </w:tcPr>
          <w:p w14:paraId="4049E44D" w14:textId="77777777" w:rsidR="00C937A7" w:rsidRPr="00C06CD5" w:rsidRDefault="00C937A7" w:rsidP="00C937A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786" w:type="dxa"/>
            <w:tcBorders>
              <w:top w:val="nil"/>
              <w:left w:val="nil"/>
              <w:bottom w:val="single" w:sz="4" w:space="0" w:color="auto"/>
              <w:right w:val="single" w:sz="4" w:space="0" w:color="auto"/>
            </w:tcBorders>
            <w:shd w:val="clear" w:color="auto" w:fill="C6EFCE"/>
            <w:noWrap/>
            <w:hideMark/>
          </w:tcPr>
          <w:p w14:paraId="6DC82F58" w14:textId="77777777" w:rsidR="00C937A7" w:rsidRPr="00C06CD5" w:rsidRDefault="00C937A7" w:rsidP="00C937A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Влизане в сила на законодателни промени за изпълнение на препоръките по Инструментариума за свързаност</w:t>
            </w:r>
          </w:p>
        </w:tc>
        <w:tc>
          <w:tcPr>
            <w:tcW w:w="1791" w:type="dxa"/>
            <w:tcBorders>
              <w:top w:val="nil"/>
              <w:left w:val="nil"/>
              <w:bottom w:val="single" w:sz="4" w:space="0" w:color="auto"/>
              <w:right w:val="single" w:sz="4" w:space="0" w:color="auto"/>
            </w:tcBorders>
            <w:shd w:val="clear" w:color="auto" w:fill="C6EFCE"/>
            <w:noWrap/>
            <w:hideMark/>
          </w:tcPr>
          <w:p w14:paraId="33CD26D9" w14:textId="77777777" w:rsidR="00C937A7" w:rsidRPr="00C06CD5" w:rsidRDefault="00C937A7" w:rsidP="00C937A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Разпоредба в Закона за устройство на територията и в Решение 558 на Министерския съвет за влизане в сила на законодателните промени</w:t>
            </w:r>
          </w:p>
        </w:tc>
        <w:tc>
          <w:tcPr>
            <w:tcW w:w="1099" w:type="dxa"/>
            <w:tcBorders>
              <w:top w:val="nil"/>
              <w:left w:val="nil"/>
              <w:bottom w:val="single" w:sz="4" w:space="0" w:color="auto"/>
              <w:right w:val="single" w:sz="4" w:space="0" w:color="auto"/>
            </w:tcBorders>
            <w:shd w:val="clear" w:color="auto" w:fill="C6EFCE"/>
            <w:noWrap/>
            <w:hideMark/>
          </w:tcPr>
          <w:p w14:paraId="6058319D" w14:textId="77777777" w:rsidR="00C937A7" w:rsidRPr="00C06CD5" w:rsidRDefault="00C937A7" w:rsidP="00C937A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1005" w:type="dxa"/>
            <w:tcBorders>
              <w:top w:val="nil"/>
              <w:left w:val="nil"/>
              <w:bottom w:val="single" w:sz="4" w:space="0" w:color="auto"/>
              <w:right w:val="single" w:sz="4" w:space="0" w:color="auto"/>
            </w:tcBorders>
            <w:shd w:val="clear" w:color="auto" w:fill="C6EFCE"/>
            <w:noWrap/>
            <w:hideMark/>
          </w:tcPr>
          <w:p w14:paraId="32744B9F" w14:textId="77777777" w:rsidR="00C937A7" w:rsidRPr="00C06CD5" w:rsidRDefault="00C937A7" w:rsidP="00C937A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921" w:type="dxa"/>
            <w:tcBorders>
              <w:top w:val="nil"/>
              <w:left w:val="nil"/>
              <w:bottom w:val="single" w:sz="4" w:space="0" w:color="auto"/>
              <w:right w:val="single" w:sz="4" w:space="0" w:color="auto"/>
            </w:tcBorders>
            <w:shd w:val="clear" w:color="auto" w:fill="C6EFCE"/>
            <w:noWrap/>
            <w:hideMark/>
          </w:tcPr>
          <w:p w14:paraId="3285E8B5" w14:textId="77777777" w:rsidR="00C937A7" w:rsidRPr="00C06CD5" w:rsidRDefault="00C937A7" w:rsidP="00C937A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921" w:type="dxa"/>
            <w:tcBorders>
              <w:top w:val="nil"/>
              <w:left w:val="nil"/>
              <w:bottom w:val="single" w:sz="4" w:space="0" w:color="auto"/>
              <w:right w:val="single" w:sz="4" w:space="0" w:color="auto"/>
            </w:tcBorders>
            <w:shd w:val="clear" w:color="auto" w:fill="C6EFCE"/>
            <w:noWrap/>
            <w:hideMark/>
          </w:tcPr>
          <w:p w14:paraId="563D2857" w14:textId="77777777" w:rsidR="00C937A7" w:rsidRPr="00C06CD5" w:rsidRDefault="00C937A7" w:rsidP="00C937A7">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T4</w:t>
            </w:r>
          </w:p>
        </w:tc>
        <w:tc>
          <w:tcPr>
            <w:tcW w:w="709" w:type="dxa"/>
            <w:tcBorders>
              <w:top w:val="nil"/>
              <w:left w:val="nil"/>
              <w:bottom w:val="single" w:sz="4" w:space="0" w:color="auto"/>
              <w:right w:val="single" w:sz="4" w:space="0" w:color="auto"/>
            </w:tcBorders>
            <w:shd w:val="clear" w:color="auto" w:fill="C6EFCE"/>
            <w:noWrap/>
            <w:hideMark/>
          </w:tcPr>
          <w:p w14:paraId="0341817A" w14:textId="77777777" w:rsidR="00C937A7" w:rsidRPr="00C06CD5" w:rsidRDefault="00C937A7" w:rsidP="00C937A7">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2020</w:t>
            </w:r>
          </w:p>
        </w:tc>
        <w:tc>
          <w:tcPr>
            <w:tcW w:w="2977" w:type="dxa"/>
            <w:tcBorders>
              <w:top w:val="nil"/>
              <w:left w:val="nil"/>
              <w:bottom w:val="single" w:sz="4" w:space="0" w:color="auto"/>
              <w:right w:val="single" w:sz="4" w:space="0" w:color="auto"/>
            </w:tcBorders>
            <w:shd w:val="clear" w:color="auto" w:fill="C6EFCE"/>
            <w:noWrap/>
            <w:hideMark/>
          </w:tcPr>
          <w:p w14:paraId="0310E011" w14:textId="77777777" w:rsidR="00C937A7" w:rsidRPr="00C06CD5" w:rsidRDefault="00C937A7" w:rsidP="00C937A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Законодателните промени гарантират, че:</w:t>
            </w:r>
          </w:p>
          <w:p w14:paraId="3970AF3D" w14:textId="77777777" w:rsidR="00C937A7" w:rsidRPr="00C06CD5" w:rsidRDefault="00C937A7" w:rsidP="008B0F39">
            <w:pPr>
              <w:pStyle w:val="ListParagraph"/>
              <w:numPr>
                <w:ilvl w:val="0"/>
                <w:numId w:val="28"/>
              </w:numPr>
              <w:spacing w:after="0" w:line="240" w:lineRule="auto"/>
              <w:ind w:left="359"/>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Не се изисква разрешително за строеж за поддръжката, оборудването и/или подобряването на елементи на радиопредавателните системи, както и за тяхната подмяна; </w:t>
            </w:r>
          </w:p>
          <w:p w14:paraId="32FF9770" w14:textId="77777777" w:rsidR="00C937A7" w:rsidRPr="00C06CD5" w:rsidRDefault="00C937A7" w:rsidP="008B0F39">
            <w:pPr>
              <w:pStyle w:val="ListParagraph"/>
              <w:numPr>
                <w:ilvl w:val="0"/>
                <w:numId w:val="28"/>
              </w:numPr>
              <w:spacing w:after="0" w:line="240" w:lineRule="auto"/>
              <w:ind w:left="359"/>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Свободният капацитет на оптичните мрежи, контролирани от органи от публичния сектор, може да бъде предоставен за използване от търговски оператори; </w:t>
            </w:r>
          </w:p>
          <w:p w14:paraId="1261858C" w14:textId="77777777" w:rsidR="00C937A7" w:rsidRPr="00C06CD5" w:rsidRDefault="00C937A7" w:rsidP="008B0F39">
            <w:pPr>
              <w:pStyle w:val="ListParagraph"/>
              <w:numPr>
                <w:ilvl w:val="0"/>
                <w:numId w:val="28"/>
              </w:numPr>
              <w:spacing w:after="0" w:line="240" w:lineRule="auto"/>
              <w:ind w:left="359"/>
              <w:rPr>
                <w:rFonts w:ascii="Times New Roman" w:eastAsia="Times New Roman" w:hAnsi="Times New Roman" w:cs="Times New Roman"/>
                <w:noProof/>
                <w:color w:val="006100"/>
                <w:sz w:val="20"/>
                <w:szCs w:val="20"/>
              </w:rPr>
            </w:pPr>
            <w:r>
              <w:rPr>
                <w:rFonts w:ascii="Times New Roman" w:hAnsi="Times New Roman"/>
                <w:noProof/>
                <w:color w:val="006100"/>
                <w:sz w:val="20"/>
              </w:rPr>
              <w:t>Публично финансираните инфраструктурни проекти трябва по подразбиране да изграждат защитни тръби и кабелни шахти по начин, който е отворен за ползване от всички оператори.</w:t>
            </w:r>
          </w:p>
        </w:tc>
      </w:tr>
      <w:tr w:rsidR="00A41235" w:rsidRPr="005241FC" w14:paraId="2962FBC6" w14:textId="77777777" w:rsidTr="78112151">
        <w:trPr>
          <w:trHeight w:val="309"/>
        </w:trPr>
        <w:tc>
          <w:tcPr>
            <w:tcW w:w="708" w:type="dxa"/>
            <w:tcBorders>
              <w:top w:val="single" w:sz="4" w:space="0" w:color="auto"/>
              <w:left w:val="single" w:sz="4" w:space="0" w:color="auto"/>
              <w:bottom w:val="single" w:sz="4" w:space="0" w:color="auto"/>
              <w:right w:val="single" w:sz="4" w:space="0" w:color="auto"/>
            </w:tcBorders>
            <w:shd w:val="clear" w:color="auto" w:fill="C6EFCE"/>
            <w:noWrap/>
          </w:tcPr>
          <w:p w14:paraId="2034092C" w14:textId="265D2CFC" w:rsidR="00C937A7" w:rsidRPr="00C06CD5" w:rsidRDefault="00212532" w:rsidP="00C937A7">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141</w:t>
            </w:r>
          </w:p>
        </w:tc>
        <w:tc>
          <w:tcPr>
            <w:tcW w:w="1842" w:type="dxa"/>
            <w:tcBorders>
              <w:top w:val="single" w:sz="4" w:space="0" w:color="auto"/>
              <w:left w:val="nil"/>
              <w:bottom w:val="single" w:sz="4" w:space="0" w:color="auto"/>
              <w:right w:val="single" w:sz="4" w:space="0" w:color="auto"/>
            </w:tcBorders>
            <w:shd w:val="clear" w:color="auto" w:fill="C6EFCE"/>
            <w:noWrap/>
          </w:tcPr>
          <w:p w14:paraId="5A5915CE" w14:textId="77777777" w:rsidR="003B02A1" w:rsidRPr="00C06CD5" w:rsidRDefault="00152560" w:rsidP="0015256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C7.I1: </w:t>
            </w:r>
          </w:p>
          <w:p w14:paraId="0750ACF0" w14:textId="28798E69" w:rsidR="00C937A7" w:rsidRPr="00C06CD5" w:rsidRDefault="00C937A7" w:rsidP="0015256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Широкомащабно разгръщане на цифрова инфраструктура</w:t>
            </w:r>
          </w:p>
        </w:tc>
        <w:tc>
          <w:tcPr>
            <w:tcW w:w="1267" w:type="dxa"/>
            <w:tcBorders>
              <w:top w:val="single" w:sz="4" w:space="0" w:color="auto"/>
              <w:left w:val="nil"/>
              <w:bottom w:val="single" w:sz="4" w:space="0" w:color="auto"/>
              <w:right w:val="single" w:sz="4" w:space="0" w:color="auto"/>
            </w:tcBorders>
            <w:shd w:val="clear" w:color="auto" w:fill="C6EFCE"/>
            <w:noWrap/>
          </w:tcPr>
          <w:p w14:paraId="3D071F65" w14:textId="77777777" w:rsidR="00C937A7" w:rsidRPr="00C06CD5" w:rsidRDefault="00C937A7" w:rsidP="00C937A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Цел</w:t>
            </w:r>
          </w:p>
        </w:tc>
        <w:tc>
          <w:tcPr>
            <w:tcW w:w="1786" w:type="dxa"/>
            <w:tcBorders>
              <w:top w:val="single" w:sz="4" w:space="0" w:color="auto"/>
              <w:left w:val="nil"/>
              <w:bottom w:val="single" w:sz="4" w:space="0" w:color="auto"/>
              <w:right w:val="single" w:sz="4" w:space="0" w:color="auto"/>
            </w:tcBorders>
            <w:shd w:val="clear" w:color="auto" w:fill="C6EFCE"/>
            <w:noWrap/>
          </w:tcPr>
          <w:p w14:paraId="554C45F9" w14:textId="77777777" w:rsidR="00C937A7" w:rsidRPr="00C06CD5" w:rsidRDefault="00C937A7" w:rsidP="00C937A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Точки за достъп с 1Gbps до държавната мрежа за доставчиците на услуги от общ интерес</w:t>
            </w:r>
          </w:p>
        </w:tc>
        <w:tc>
          <w:tcPr>
            <w:tcW w:w="1791" w:type="dxa"/>
            <w:tcBorders>
              <w:top w:val="single" w:sz="4" w:space="0" w:color="auto"/>
              <w:left w:val="nil"/>
              <w:bottom w:val="single" w:sz="4" w:space="0" w:color="auto"/>
              <w:right w:val="single" w:sz="4" w:space="0" w:color="auto"/>
            </w:tcBorders>
            <w:shd w:val="clear" w:color="auto" w:fill="C6EFCE"/>
            <w:noWrap/>
          </w:tcPr>
          <w:p w14:paraId="6A254AF4" w14:textId="552B1F71" w:rsidR="00C937A7" w:rsidRPr="008A0F8A" w:rsidRDefault="00C937A7" w:rsidP="00C937A7">
            <w:pPr>
              <w:spacing w:after="0" w:line="240" w:lineRule="auto"/>
              <w:rPr>
                <w:rFonts w:ascii="Times New Roman" w:eastAsia="Times New Roman" w:hAnsi="Times New Roman" w:cs="Times New Roman"/>
                <w:noProof/>
                <w:color w:val="006100"/>
                <w:sz w:val="20"/>
                <w:szCs w:val="20"/>
                <w:lang w:val="ru-RU" w:eastAsia="en-GB"/>
              </w:rPr>
            </w:pPr>
          </w:p>
        </w:tc>
        <w:tc>
          <w:tcPr>
            <w:tcW w:w="1099" w:type="dxa"/>
            <w:tcBorders>
              <w:top w:val="single" w:sz="4" w:space="0" w:color="auto"/>
              <w:left w:val="nil"/>
              <w:bottom w:val="single" w:sz="4" w:space="0" w:color="auto"/>
              <w:right w:val="single" w:sz="4" w:space="0" w:color="auto"/>
            </w:tcBorders>
            <w:shd w:val="clear" w:color="auto" w:fill="C6EFCE"/>
            <w:noWrap/>
          </w:tcPr>
          <w:p w14:paraId="33B96941" w14:textId="77777777" w:rsidR="00C937A7" w:rsidRPr="00C06CD5" w:rsidRDefault="00C937A7" w:rsidP="00C937A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Брой</w:t>
            </w:r>
          </w:p>
        </w:tc>
        <w:tc>
          <w:tcPr>
            <w:tcW w:w="1005" w:type="dxa"/>
            <w:tcBorders>
              <w:top w:val="single" w:sz="4" w:space="0" w:color="auto"/>
              <w:left w:val="nil"/>
              <w:bottom w:val="single" w:sz="4" w:space="0" w:color="auto"/>
              <w:right w:val="single" w:sz="4" w:space="0" w:color="auto"/>
            </w:tcBorders>
            <w:shd w:val="clear" w:color="auto" w:fill="C6EFCE"/>
            <w:noWrap/>
          </w:tcPr>
          <w:p w14:paraId="6B07AAB1" w14:textId="77777777" w:rsidR="00C937A7" w:rsidRPr="00C06CD5" w:rsidRDefault="00C937A7" w:rsidP="00C937A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0</w:t>
            </w:r>
          </w:p>
        </w:tc>
        <w:tc>
          <w:tcPr>
            <w:tcW w:w="921" w:type="dxa"/>
            <w:tcBorders>
              <w:top w:val="single" w:sz="4" w:space="0" w:color="auto"/>
              <w:left w:val="nil"/>
              <w:bottom w:val="single" w:sz="4" w:space="0" w:color="auto"/>
              <w:right w:val="single" w:sz="4" w:space="0" w:color="auto"/>
            </w:tcBorders>
            <w:shd w:val="clear" w:color="auto" w:fill="C6EFCE"/>
            <w:noWrap/>
          </w:tcPr>
          <w:p w14:paraId="202C3E77" w14:textId="77777777" w:rsidR="00C937A7" w:rsidRPr="00C06CD5" w:rsidRDefault="00C937A7" w:rsidP="00C937A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1200</w:t>
            </w:r>
          </w:p>
        </w:tc>
        <w:tc>
          <w:tcPr>
            <w:tcW w:w="921" w:type="dxa"/>
            <w:tcBorders>
              <w:top w:val="single" w:sz="4" w:space="0" w:color="auto"/>
              <w:left w:val="nil"/>
              <w:bottom w:val="single" w:sz="4" w:space="0" w:color="auto"/>
              <w:right w:val="single" w:sz="4" w:space="0" w:color="auto"/>
            </w:tcBorders>
            <w:shd w:val="clear" w:color="auto" w:fill="C6EFCE"/>
            <w:noWrap/>
          </w:tcPr>
          <w:p w14:paraId="5C651FF0" w14:textId="77777777" w:rsidR="00C937A7" w:rsidRPr="00C06CD5" w:rsidRDefault="00C937A7" w:rsidP="00C937A7">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T4</w:t>
            </w:r>
          </w:p>
        </w:tc>
        <w:tc>
          <w:tcPr>
            <w:tcW w:w="709" w:type="dxa"/>
            <w:tcBorders>
              <w:top w:val="single" w:sz="4" w:space="0" w:color="auto"/>
              <w:left w:val="nil"/>
              <w:bottom w:val="single" w:sz="4" w:space="0" w:color="auto"/>
              <w:right w:val="single" w:sz="4" w:space="0" w:color="auto"/>
            </w:tcBorders>
            <w:shd w:val="clear" w:color="auto" w:fill="C6EFCE"/>
            <w:noWrap/>
          </w:tcPr>
          <w:p w14:paraId="2E8729AF" w14:textId="77777777" w:rsidR="00C937A7" w:rsidRPr="00C06CD5" w:rsidRDefault="00C937A7" w:rsidP="00C937A7">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2023</w:t>
            </w:r>
          </w:p>
        </w:tc>
        <w:tc>
          <w:tcPr>
            <w:tcW w:w="2977" w:type="dxa"/>
            <w:tcBorders>
              <w:top w:val="single" w:sz="4" w:space="0" w:color="auto"/>
              <w:left w:val="nil"/>
              <w:bottom w:val="single" w:sz="4" w:space="0" w:color="auto"/>
              <w:right w:val="single" w:sz="4" w:space="0" w:color="auto"/>
            </w:tcBorders>
            <w:shd w:val="clear" w:color="auto" w:fill="C6EFCE"/>
            <w:noWrap/>
          </w:tcPr>
          <w:p w14:paraId="1256DCD8" w14:textId="77777777" w:rsidR="00C937A7" w:rsidRPr="00C06CD5" w:rsidRDefault="00C937A7" w:rsidP="00C937A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1200 доставчиците на услуги от общ интерес трябва да получат достъп до точки за достъп със скорост 1 Gbps. Доставчиците на услуги от общ интерес включват, наред с другото, административни органи, органи по сигурността и безопасността, образователни институции, агенции по труда, органи за социално подпомагане, здравни институции и органи за гражданска защита.</w:t>
            </w:r>
          </w:p>
        </w:tc>
      </w:tr>
      <w:tr w:rsidR="00A41235" w:rsidRPr="005241FC" w14:paraId="74697624" w14:textId="77777777" w:rsidTr="78112151">
        <w:trPr>
          <w:trHeight w:val="309"/>
        </w:trPr>
        <w:tc>
          <w:tcPr>
            <w:tcW w:w="708" w:type="dxa"/>
            <w:tcBorders>
              <w:top w:val="single" w:sz="4" w:space="0" w:color="auto"/>
              <w:left w:val="single" w:sz="4" w:space="0" w:color="auto"/>
              <w:bottom w:val="single" w:sz="4" w:space="0" w:color="auto"/>
              <w:right w:val="single" w:sz="4" w:space="0" w:color="auto"/>
            </w:tcBorders>
            <w:shd w:val="clear" w:color="auto" w:fill="C6EFCE"/>
            <w:noWrap/>
          </w:tcPr>
          <w:p w14:paraId="5561A256" w14:textId="3A60DC06" w:rsidR="00C937A7" w:rsidRPr="00C06CD5" w:rsidRDefault="00212532" w:rsidP="00C937A7">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142</w:t>
            </w:r>
          </w:p>
        </w:tc>
        <w:tc>
          <w:tcPr>
            <w:tcW w:w="1842" w:type="dxa"/>
            <w:tcBorders>
              <w:top w:val="single" w:sz="4" w:space="0" w:color="auto"/>
              <w:left w:val="nil"/>
              <w:bottom w:val="single" w:sz="4" w:space="0" w:color="auto"/>
              <w:right w:val="single" w:sz="4" w:space="0" w:color="auto"/>
            </w:tcBorders>
            <w:shd w:val="clear" w:color="auto" w:fill="C6EFCE"/>
            <w:noWrap/>
          </w:tcPr>
          <w:p w14:paraId="3B7DDF53" w14:textId="77777777" w:rsidR="003B02A1" w:rsidRPr="00C06CD5" w:rsidRDefault="00152560" w:rsidP="0015256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C7.I1: </w:t>
            </w:r>
          </w:p>
          <w:p w14:paraId="1D9D9B0E" w14:textId="280AA58D" w:rsidR="00C937A7" w:rsidRPr="00C06CD5" w:rsidRDefault="00C937A7" w:rsidP="0015256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Широкомащабно разгръщане на цифрова инфраструктура</w:t>
            </w:r>
          </w:p>
        </w:tc>
        <w:tc>
          <w:tcPr>
            <w:tcW w:w="1267" w:type="dxa"/>
            <w:tcBorders>
              <w:top w:val="single" w:sz="4" w:space="0" w:color="auto"/>
              <w:left w:val="nil"/>
              <w:bottom w:val="single" w:sz="4" w:space="0" w:color="auto"/>
              <w:right w:val="single" w:sz="4" w:space="0" w:color="auto"/>
            </w:tcBorders>
            <w:shd w:val="clear" w:color="auto" w:fill="C6EFCE"/>
            <w:noWrap/>
          </w:tcPr>
          <w:p w14:paraId="42522B72" w14:textId="77777777" w:rsidR="00C937A7" w:rsidRPr="00C06CD5" w:rsidRDefault="00C937A7" w:rsidP="00C937A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Цел</w:t>
            </w:r>
          </w:p>
        </w:tc>
        <w:tc>
          <w:tcPr>
            <w:tcW w:w="1786" w:type="dxa"/>
            <w:tcBorders>
              <w:top w:val="single" w:sz="4" w:space="0" w:color="auto"/>
              <w:left w:val="nil"/>
              <w:bottom w:val="single" w:sz="4" w:space="0" w:color="auto"/>
              <w:right w:val="single" w:sz="4" w:space="0" w:color="auto"/>
            </w:tcBorders>
            <w:shd w:val="clear" w:color="auto" w:fill="C6EFCE"/>
            <w:noWrap/>
          </w:tcPr>
          <w:p w14:paraId="65599991" w14:textId="77777777" w:rsidR="00C937A7" w:rsidRPr="00C06CD5" w:rsidRDefault="00C937A7" w:rsidP="00C937A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Точки за достъп с 10Gbps до държавната мрежа за доставчиците на услуги от общ интерес</w:t>
            </w:r>
          </w:p>
        </w:tc>
        <w:tc>
          <w:tcPr>
            <w:tcW w:w="1791" w:type="dxa"/>
            <w:tcBorders>
              <w:top w:val="single" w:sz="4" w:space="0" w:color="auto"/>
              <w:left w:val="nil"/>
              <w:bottom w:val="single" w:sz="4" w:space="0" w:color="auto"/>
              <w:right w:val="single" w:sz="4" w:space="0" w:color="auto"/>
            </w:tcBorders>
            <w:shd w:val="clear" w:color="auto" w:fill="C6EFCE"/>
            <w:noWrap/>
          </w:tcPr>
          <w:p w14:paraId="396531C2" w14:textId="56ED4142" w:rsidR="00C937A7" w:rsidRPr="008A0F8A" w:rsidRDefault="00C937A7" w:rsidP="00C937A7">
            <w:pPr>
              <w:spacing w:after="0" w:line="240" w:lineRule="auto"/>
              <w:rPr>
                <w:rFonts w:ascii="Times New Roman" w:eastAsia="Times New Roman" w:hAnsi="Times New Roman" w:cs="Times New Roman"/>
                <w:noProof/>
                <w:color w:val="006100"/>
                <w:sz w:val="20"/>
                <w:szCs w:val="20"/>
                <w:lang w:val="ru-RU" w:eastAsia="en-GB"/>
              </w:rPr>
            </w:pPr>
          </w:p>
        </w:tc>
        <w:tc>
          <w:tcPr>
            <w:tcW w:w="1099" w:type="dxa"/>
            <w:tcBorders>
              <w:top w:val="single" w:sz="4" w:space="0" w:color="auto"/>
              <w:left w:val="nil"/>
              <w:bottom w:val="single" w:sz="4" w:space="0" w:color="auto"/>
              <w:right w:val="single" w:sz="4" w:space="0" w:color="auto"/>
            </w:tcBorders>
            <w:shd w:val="clear" w:color="auto" w:fill="C6EFCE"/>
            <w:noWrap/>
          </w:tcPr>
          <w:p w14:paraId="7A32B065" w14:textId="77777777" w:rsidR="00C937A7" w:rsidRPr="00C06CD5" w:rsidRDefault="00C937A7" w:rsidP="00C937A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Брой</w:t>
            </w:r>
          </w:p>
        </w:tc>
        <w:tc>
          <w:tcPr>
            <w:tcW w:w="1005" w:type="dxa"/>
            <w:tcBorders>
              <w:top w:val="single" w:sz="4" w:space="0" w:color="auto"/>
              <w:left w:val="nil"/>
              <w:bottom w:val="single" w:sz="4" w:space="0" w:color="auto"/>
              <w:right w:val="single" w:sz="4" w:space="0" w:color="auto"/>
            </w:tcBorders>
            <w:shd w:val="clear" w:color="auto" w:fill="C6EFCE"/>
            <w:noWrap/>
          </w:tcPr>
          <w:p w14:paraId="05A6197E" w14:textId="77777777" w:rsidR="00C937A7" w:rsidRPr="00C06CD5" w:rsidRDefault="00C937A7" w:rsidP="00C937A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0</w:t>
            </w:r>
          </w:p>
        </w:tc>
        <w:tc>
          <w:tcPr>
            <w:tcW w:w="921" w:type="dxa"/>
            <w:tcBorders>
              <w:top w:val="single" w:sz="4" w:space="0" w:color="auto"/>
              <w:left w:val="nil"/>
              <w:bottom w:val="single" w:sz="4" w:space="0" w:color="auto"/>
              <w:right w:val="single" w:sz="4" w:space="0" w:color="auto"/>
            </w:tcBorders>
            <w:shd w:val="clear" w:color="auto" w:fill="C6EFCE"/>
            <w:noWrap/>
          </w:tcPr>
          <w:p w14:paraId="502CA18F" w14:textId="77777777" w:rsidR="00C937A7" w:rsidRPr="00C06CD5" w:rsidRDefault="00C937A7" w:rsidP="00C937A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300</w:t>
            </w:r>
          </w:p>
        </w:tc>
        <w:tc>
          <w:tcPr>
            <w:tcW w:w="921" w:type="dxa"/>
            <w:tcBorders>
              <w:top w:val="single" w:sz="4" w:space="0" w:color="auto"/>
              <w:left w:val="nil"/>
              <w:bottom w:val="single" w:sz="4" w:space="0" w:color="auto"/>
              <w:right w:val="single" w:sz="4" w:space="0" w:color="auto"/>
            </w:tcBorders>
            <w:shd w:val="clear" w:color="auto" w:fill="C6EFCE"/>
            <w:noWrap/>
          </w:tcPr>
          <w:p w14:paraId="5B3EB9EC" w14:textId="77777777" w:rsidR="00C937A7" w:rsidRPr="00C06CD5" w:rsidRDefault="00C937A7" w:rsidP="00C937A7">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T2</w:t>
            </w:r>
          </w:p>
        </w:tc>
        <w:tc>
          <w:tcPr>
            <w:tcW w:w="709" w:type="dxa"/>
            <w:tcBorders>
              <w:top w:val="single" w:sz="4" w:space="0" w:color="auto"/>
              <w:left w:val="nil"/>
              <w:bottom w:val="single" w:sz="4" w:space="0" w:color="auto"/>
              <w:right w:val="single" w:sz="4" w:space="0" w:color="auto"/>
            </w:tcBorders>
            <w:shd w:val="clear" w:color="auto" w:fill="C6EFCE"/>
            <w:noWrap/>
          </w:tcPr>
          <w:p w14:paraId="106F7DCF" w14:textId="77777777" w:rsidR="00C937A7" w:rsidRPr="00C06CD5" w:rsidRDefault="00C937A7" w:rsidP="00C937A7">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2024</w:t>
            </w:r>
          </w:p>
        </w:tc>
        <w:tc>
          <w:tcPr>
            <w:tcW w:w="2977" w:type="dxa"/>
            <w:tcBorders>
              <w:top w:val="single" w:sz="4" w:space="0" w:color="auto"/>
              <w:left w:val="nil"/>
              <w:bottom w:val="single" w:sz="4" w:space="0" w:color="auto"/>
              <w:right w:val="single" w:sz="4" w:space="0" w:color="auto"/>
            </w:tcBorders>
            <w:shd w:val="clear" w:color="auto" w:fill="C6EFCE"/>
            <w:noWrap/>
          </w:tcPr>
          <w:p w14:paraId="203A3755" w14:textId="77777777" w:rsidR="00C937A7" w:rsidRPr="00C06CD5" w:rsidRDefault="00C937A7" w:rsidP="00C937A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300 доставчиците на услуги от общ интерес трябва да получат достъп до точки за достъп със скорост 10 Gbps. Доставчиците на услуги от общ интерес включват, наред с другото, административни органи, органи по сигурността и безопасността, образователни институции, агенции по труда, органи за социално подпомагане, здравни институции и органи за гражданска защита.</w:t>
            </w:r>
          </w:p>
        </w:tc>
      </w:tr>
      <w:tr w:rsidR="00A41235" w:rsidRPr="005241FC" w14:paraId="04EFBC5F" w14:textId="77777777" w:rsidTr="78112151">
        <w:trPr>
          <w:trHeight w:val="309"/>
        </w:trPr>
        <w:tc>
          <w:tcPr>
            <w:tcW w:w="708" w:type="dxa"/>
            <w:tcBorders>
              <w:top w:val="single" w:sz="4" w:space="0" w:color="auto"/>
              <w:left w:val="single" w:sz="4" w:space="0" w:color="auto"/>
              <w:bottom w:val="single" w:sz="4" w:space="0" w:color="auto"/>
              <w:right w:val="single" w:sz="4" w:space="0" w:color="auto"/>
            </w:tcBorders>
            <w:shd w:val="clear" w:color="auto" w:fill="C6EFCE"/>
            <w:noWrap/>
          </w:tcPr>
          <w:p w14:paraId="0CE6411C" w14:textId="225AF420" w:rsidR="00C937A7" w:rsidRPr="00C06CD5" w:rsidRDefault="00212532" w:rsidP="00C937A7">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143</w:t>
            </w:r>
          </w:p>
        </w:tc>
        <w:tc>
          <w:tcPr>
            <w:tcW w:w="1842" w:type="dxa"/>
            <w:tcBorders>
              <w:top w:val="single" w:sz="4" w:space="0" w:color="auto"/>
              <w:left w:val="nil"/>
              <w:bottom w:val="single" w:sz="4" w:space="0" w:color="auto"/>
              <w:right w:val="single" w:sz="4" w:space="0" w:color="auto"/>
            </w:tcBorders>
            <w:shd w:val="clear" w:color="auto" w:fill="C6EFCE"/>
            <w:noWrap/>
          </w:tcPr>
          <w:p w14:paraId="39DE3D15" w14:textId="77777777" w:rsidR="003B02A1" w:rsidRPr="00C06CD5" w:rsidRDefault="00152560" w:rsidP="0015256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C7.I1: </w:t>
            </w:r>
          </w:p>
          <w:p w14:paraId="785C96BA" w14:textId="72D6EA0F" w:rsidR="00C937A7" w:rsidRPr="00C06CD5" w:rsidRDefault="00C937A7" w:rsidP="0015256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Широкомащабно разгръщане на цифрова инфраструктура</w:t>
            </w:r>
          </w:p>
        </w:tc>
        <w:tc>
          <w:tcPr>
            <w:tcW w:w="1267" w:type="dxa"/>
            <w:tcBorders>
              <w:top w:val="single" w:sz="4" w:space="0" w:color="auto"/>
              <w:left w:val="nil"/>
              <w:bottom w:val="single" w:sz="4" w:space="0" w:color="auto"/>
              <w:right w:val="single" w:sz="4" w:space="0" w:color="auto"/>
            </w:tcBorders>
            <w:shd w:val="clear" w:color="auto" w:fill="C6EFCE"/>
            <w:noWrap/>
          </w:tcPr>
          <w:p w14:paraId="130F4952" w14:textId="77777777" w:rsidR="00C937A7" w:rsidRPr="00C06CD5" w:rsidRDefault="00C937A7" w:rsidP="00C937A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Цел</w:t>
            </w:r>
          </w:p>
        </w:tc>
        <w:tc>
          <w:tcPr>
            <w:tcW w:w="1786" w:type="dxa"/>
            <w:tcBorders>
              <w:top w:val="single" w:sz="4" w:space="0" w:color="auto"/>
              <w:left w:val="nil"/>
              <w:bottom w:val="single" w:sz="4" w:space="0" w:color="auto"/>
              <w:right w:val="single" w:sz="4" w:space="0" w:color="auto"/>
            </w:tcBorders>
            <w:shd w:val="clear" w:color="auto" w:fill="C6EFCE"/>
            <w:noWrap/>
          </w:tcPr>
          <w:p w14:paraId="4C7C8A0F" w14:textId="77777777" w:rsidR="00C937A7" w:rsidRPr="00C06CD5" w:rsidRDefault="00C937A7" w:rsidP="00C937A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Точки за достъп с 200Gbps в университети и научни институти, свързани с мрежата GEANT</w:t>
            </w:r>
          </w:p>
        </w:tc>
        <w:tc>
          <w:tcPr>
            <w:tcW w:w="1791" w:type="dxa"/>
            <w:tcBorders>
              <w:top w:val="single" w:sz="4" w:space="0" w:color="auto"/>
              <w:left w:val="nil"/>
              <w:bottom w:val="single" w:sz="4" w:space="0" w:color="auto"/>
              <w:right w:val="single" w:sz="4" w:space="0" w:color="auto"/>
            </w:tcBorders>
            <w:shd w:val="clear" w:color="auto" w:fill="C6EFCE"/>
            <w:noWrap/>
          </w:tcPr>
          <w:p w14:paraId="60C92EEC" w14:textId="144AFB8D" w:rsidR="00C937A7" w:rsidRPr="008A0F8A" w:rsidRDefault="00C937A7" w:rsidP="00C937A7">
            <w:pPr>
              <w:spacing w:after="0" w:line="240" w:lineRule="auto"/>
              <w:rPr>
                <w:rFonts w:ascii="Times New Roman" w:eastAsia="Times New Roman" w:hAnsi="Times New Roman" w:cs="Times New Roman"/>
                <w:noProof/>
                <w:color w:val="006100"/>
                <w:sz w:val="20"/>
                <w:szCs w:val="20"/>
                <w:lang w:val="ru-RU" w:eastAsia="en-GB"/>
              </w:rPr>
            </w:pPr>
          </w:p>
        </w:tc>
        <w:tc>
          <w:tcPr>
            <w:tcW w:w="1099" w:type="dxa"/>
            <w:tcBorders>
              <w:top w:val="single" w:sz="4" w:space="0" w:color="auto"/>
              <w:left w:val="nil"/>
              <w:bottom w:val="single" w:sz="4" w:space="0" w:color="auto"/>
              <w:right w:val="single" w:sz="4" w:space="0" w:color="auto"/>
            </w:tcBorders>
            <w:shd w:val="clear" w:color="auto" w:fill="C6EFCE"/>
            <w:noWrap/>
          </w:tcPr>
          <w:p w14:paraId="211A0CE5" w14:textId="77777777" w:rsidR="00C937A7" w:rsidRPr="00C06CD5" w:rsidRDefault="00C937A7" w:rsidP="00C937A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Брой</w:t>
            </w:r>
          </w:p>
        </w:tc>
        <w:tc>
          <w:tcPr>
            <w:tcW w:w="1005" w:type="dxa"/>
            <w:tcBorders>
              <w:top w:val="single" w:sz="4" w:space="0" w:color="auto"/>
              <w:left w:val="nil"/>
              <w:bottom w:val="single" w:sz="4" w:space="0" w:color="auto"/>
              <w:right w:val="single" w:sz="4" w:space="0" w:color="auto"/>
            </w:tcBorders>
            <w:shd w:val="clear" w:color="auto" w:fill="C6EFCE"/>
            <w:noWrap/>
          </w:tcPr>
          <w:p w14:paraId="7F6D7C03" w14:textId="77777777" w:rsidR="00C937A7" w:rsidRPr="00C06CD5" w:rsidRDefault="00C937A7" w:rsidP="00C937A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10</w:t>
            </w:r>
          </w:p>
        </w:tc>
        <w:tc>
          <w:tcPr>
            <w:tcW w:w="921" w:type="dxa"/>
            <w:tcBorders>
              <w:top w:val="single" w:sz="4" w:space="0" w:color="auto"/>
              <w:left w:val="nil"/>
              <w:bottom w:val="single" w:sz="4" w:space="0" w:color="auto"/>
              <w:right w:val="single" w:sz="4" w:space="0" w:color="auto"/>
            </w:tcBorders>
            <w:shd w:val="clear" w:color="auto" w:fill="C6EFCE"/>
            <w:noWrap/>
          </w:tcPr>
          <w:p w14:paraId="263B8297" w14:textId="77777777" w:rsidR="00C937A7" w:rsidRPr="00C06CD5" w:rsidRDefault="00C937A7" w:rsidP="00C937A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24</w:t>
            </w:r>
          </w:p>
        </w:tc>
        <w:tc>
          <w:tcPr>
            <w:tcW w:w="921" w:type="dxa"/>
            <w:tcBorders>
              <w:top w:val="single" w:sz="4" w:space="0" w:color="auto"/>
              <w:left w:val="nil"/>
              <w:bottom w:val="single" w:sz="4" w:space="0" w:color="auto"/>
              <w:right w:val="single" w:sz="4" w:space="0" w:color="auto"/>
            </w:tcBorders>
            <w:shd w:val="clear" w:color="auto" w:fill="C6EFCE"/>
            <w:noWrap/>
          </w:tcPr>
          <w:p w14:paraId="540DAC4D" w14:textId="77777777" w:rsidR="00C937A7" w:rsidRPr="00C06CD5" w:rsidRDefault="00C937A7" w:rsidP="00C937A7">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T2</w:t>
            </w:r>
          </w:p>
        </w:tc>
        <w:tc>
          <w:tcPr>
            <w:tcW w:w="709" w:type="dxa"/>
            <w:tcBorders>
              <w:top w:val="single" w:sz="4" w:space="0" w:color="auto"/>
              <w:left w:val="nil"/>
              <w:bottom w:val="single" w:sz="4" w:space="0" w:color="auto"/>
              <w:right w:val="single" w:sz="4" w:space="0" w:color="auto"/>
            </w:tcBorders>
            <w:shd w:val="clear" w:color="auto" w:fill="C6EFCE"/>
            <w:noWrap/>
          </w:tcPr>
          <w:p w14:paraId="2B97F0D2" w14:textId="77777777" w:rsidR="00C937A7" w:rsidRPr="00C06CD5" w:rsidRDefault="00C937A7" w:rsidP="00C937A7">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2024</w:t>
            </w:r>
          </w:p>
        </w:tc>
        <w:tc>
          <w:tcPr>
            <w:tcW w:w="2977" w:type="dxa"/>
            <w:tcBorders>
              <w:top w:val="single" w:sz="4" w:space="0" w:color="auto"/>
              <w:left w:val="nil"/>
              <w:bottom w:val="single" w:sz="4" w:space="0" w:color="auto"/>
              <w:right w:val="single" w:sz="4" w:space="0" w:color="auto"/>
            </w:tcBorders>
            <w:shd w:val="clear" w:color="auto" w:fill="C6EFCE"/>
            <w:noWrap/>
          </w:tcPr>
          <w:p w14:paraId="7EFE82E0" w14:textId="26B5EC6C" w:rsidR="00C937A7" w:rsidRPr="00C06CD5" w:rsidRDefault="00C937A7" w:rsidP="00C937A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24 университета и научни института трябва да получат достъп до точки за достъп със скорост 200 Gbps. Точките за достъп за университетите и научните институти се разполагат в избрани комплекси и осигуряват 2x100 Gbps достъп до мрежовия портал GEANT в Българската академия на науките и до Националния суперкомпютърен център в София Хай Тек Парк.</w:t>
            </w:r>
          </w:p>
        </w:tc>
      </w:tr>
      <w:tr w:rsidR="00A41235" w:rsidRPr="005241FC" w14:paraId="2FFFC45C" w14:textId="77777777" w:rsidTr="78112151">
        <w:trPr>
          <w:trHeight w:val="309"/>
        </w:trPr>
        <w:tc>
          <w:tcPr>
            <w:tcW w:w="708" w:type="dxa"/>
            <w:tcBorders>
              <w:top w:val="single" w:sz="4" w:space="0" w:color="auto"/>
              <w:left w:val="single" w:sz="4" w:space="0" w:color="auto"/>
              <w:bottom w:val="single" w:sz="4" w:space="0" w:color="auto"/>
              <w:right w:val="single" w:sz="4" w:space="0" w:color="auto"/>
            </w:tcBorders>
            <w:shd w:val="clear" w:color="auto" w:fill="C6EFCE"/>
            <w:noWrap/>
          </w:tcPr>
          <w:p w14:paraId="7C1A38B0" w14:textId="10990DB9" w:rsidR="00C937A7" w:rsidRPr="00C06CD5" w:rsidRDefault="00212532" w:rsidP="00C937A7">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144</w:t>
            </w:r>
          </w:p>
        </w:tc>
        <w:tc>
          <w:tcPr>
            <w:tcW w:w="1842" w:type="dxa"/>
            <w:tcBorders>
              <w:top w:val="single" w:sz="4" w:space="0" w:color="auto"/>
              <w:left w:val="nil"/>
              <w:bottom w:val="single" w:sz="4" w:space="0" w:color="auto"/>
              <w:right w:val="single" w:sz="4" w:space="0" w:color="auto"/>
            </w:tcBorders>
            <w:shd w:val="clear" w:color="auto" w:fill="C6EFCE"/>
            <w:noWrap/>
          </w:tcPr>
          <w:p w14:paraId="620BD63E" w14:textId="77777777" w:rsidR="003B02A1" w:rsidRPr="00C06CD5" w:rsidRDefault="00152560" w:rsidP="0015256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C7.I1: </w:t>
            </w:r>
          </w:p>
          <w:p w14:paraId="14FDB046" w14:textId="108539EC" w:rsidR="00C937A7" w:rsidRPr="00C06CD5" w:rsidRDefault="00C937A7" w:rsidP="0015256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Широкомащабно разгръщане на цифрова инфраструктура</w:t>
            </w:r>
          </w:p>
        </w:tc>
        <w:tc>
          <w:tcPr>
            <w:tcW w:w="1267" w:type="dxa"/>
            <w:tcBorders>
              <w:top w:val="single" w:sz="4" w:space="0" w:color="auto"/>
              <w:left w:val="nil"/>
              <w:bottom w:val="single" w:sz="4" w:space="0" w:color="auto"/>
              <w:right w:val="single" w:sz="4" w:space="0" w:color="auto"/>
            </w:tcBorders>
            <w:shd w:val="clear" w:color="auto" w:fill="C6EFCE"/>
            <w:noWrap/>
          </w:tcPr>
          <w:p w14:paraId="63603C7A" w14:textId="77777777" w:rsidR="00C937A7" w:rsidRPr="00C06CD5" w:rsidRDefault="00C937A7" w:rsidP="00C937A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Цел</w:t>
            </w:r>
          </w:p>
        </w:tc>
        <w:tc>
          <w:tcPr>
            <w:tcW w:w="1786" w:type="dxa"/>
            <w:tcBorders>
              <w:top w:val="single" w:sz="4" w:space="0" w:color="auto"/>
              <w:left w:val="nil"/>
              <w:bottom w:val="single" w:sz="4" w:space="0" w:color="auto"/>
              <w:right w:val="single" w:sz="4" w:space="0" w:color="auto"/>
            </w:tcBorders>
            <w:shd w:val="clear" w:color="auto" w:fill="C6EFCE"/>
            <w:noWrap/>
          </w:tcPr>
          <w:p w14:paraId="7DFD065C" w14:textId="77777777" w:rsidR="00C937A7" w:rsidRPr="00C06CD5" w:rsidRDefault="00C937A7" w:rsidP="00C937A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Общински центрове с нови възли за достъп до </w:t>
            </w:r>
          </w:p>
          <w:p w14:paraId="6EE9E2CB" w14:textId="77777777" w:rsidR="00C937A7" w:rsidRPr="00C06CD5" w:rsidRDefault="00C937A7" w:rsidP="00C937A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мрежи с много голям капацитет </w:t>
            </w:r>
          </w:p>
        </w:tc>
        <w:tc>
          <w:tcPr>
            <w:tcW w:w="1791" w:type="dxa"/>
            <w:tcBorders>
              <w:top w:val="single" w:sz="4" w:space="0" w:color="auto"/>
              <w:left w:val="nil"/>
              <w:bottom w:val="single" w:sz="4" w:space="0" w:color="auto"/>
              <w:right w:val="single" w:sz="4" w:space="0" w:color="auto"/>
            </w:tcBorders>
            <w:shd w:val="clear" w:color="auto" w:fill="C6EFCE"/>
            <w:noWrap/>
          </w:tcPr>
          <w:p w14:paraId="1DAE6AD4" w14:textId="668F1852" w:rsidR="00C937A7" w:rsidRPr="008A0F8A" w:rsidRDefault="00C937A7" w:rsidP="00C937A7">
            <w:pPr>
              <w:spacing w:after="0" w:line="240" w:lineRule="auto"/>
              <w:rPr>
                <w:rFonts w:ascii="Times New Roman" w:eastAsia="Times New Roman" w:hAnsi="Times New Roman" w:cs="Times New Roman"/>
                <w:noProof/>
                <w:color w:val="006100"/>
                <w:sz w:val="20"/>
                <w:szCs w:val="20"/>
                <w:lang w:val="ru-RU" w:eastAsia="en-GB"/>
              </w:rPr>
            </w:pPr>
          </w:p>
        </w:tc>
        <w:tc>
          <w:tcPr>
            <w:tcW w:w="1099" w:type="dxa"/>
            <w:tcBorders>
              <w:top w:val="single" w:sz="4" w:space="0" w:color="auto"/>
              <w:left w:val="nil"/>
              <w:bottom w:val="single" w:sz="4" w:space="0" w:color="auto"/>
              <w:right w:val="single" w:sz="4" w:space="0" w:color="auto"/>
            </w:tcBorders>
            <w:shd w:val="clear" w:color="auto" w:fill="C6EFCE"/>
            <w:noWrap/>
          </w:tcPr>
          <w:p w14:paraId="4744FBD7" w14:textId="77777777" w:rsidR="00C937A7" w:rsidRPr="00C06CD5" w:rsidRDefault="00C937A7" w:rsidP="00C937A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Брой </w:t>
            </w:r>
          </w:p>
        </w:tc>
        <w:tc>
          <w:tcPr>
            <w:tcW w:w="1005" w:type="dxa"/>
            <w:tcBorders>
              <w:top w:val="single" w:sz="4" w:space="0" w:color="auto"/>
              <w:left w:val="nil"/>
              <w:bottom w:val="single" w:sz="4" w:space="0" w:color="auto"/>
              <w:right w:val="single" w:sz="4" w:space="0" w:color="auto"/>
            </w:tcBorders>
            <w:shd w:val="clear" w:color="auto" w:fill="C6EFCE"/>
            <w:noWrap/>
          </w:tcPr>
          <w:p w14:paraId="3C7E431E" w14:textId="77777777" w:rsidR="00C937A7" w:rsidRPr="00C06CD5" w:rsidRDefault="00C937A7" w:rsidP="00C937A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0</w:t>
            </w:r>
          </w:p>
        </w:tc>
        <w:tc>
          <w:tcPr>
            <w:tcW w:w="921" w:type="dxa"/>
            <w:tcBorders>
              <w:top w:val="single" w:sz="4" w:space="0" w:color="auto"/>
              <w:left w:val="nil"/>
              <w:bottom w:val="single" w:sz="4" w:space="0" w:color="auto"/>
              <w:right w:val="single" w:sz="4" w:space="0" w:color="auto"/>
            </w:tcBorders>
            <w:shd w:val="clear" w:color="auto" w:fill="C6EFCE"/>
            <w:noWrap/>
          </w:tcPr>
          <w:p w14:paraId="52E1B1D6" w14:textId="77777777" w:rsidR="00C937A7" w:rsidRPr="00C06CD5" w:rsidRDefault="00C937A7" w:rsidP="00C937A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100</w:t>
            </w:r>
          </w:p>
        </w:tc>
        <w:tc>
          <w:tcPr>
            <w:tcW w:w="921" w:type="dxa"/>
            <w:tcBorders>
              <w:top w:val="single" w:sz="4" w:space="0" w:color="auto"/>
              <w:left w:val="nil"/>
              <w:bottom w:val="single" w:sz="4" w:space="0" w:color="auto"/>
              <w:right w:val="single" w:sz="4" w:space="0" w:color="auto"/>
            </w:tcBorders>
            <w:shd w:val="clear" w:color="auto" w:fill="C6EFCE"/>
            <w:noWrap/>
          </w:tcPr>
          <w:p w14:paraId="377033B6" w14:textId="77777777" w:rsidR="00C937A7" w:rsidRPr="00C06CD5" w:rsidRDefault="00C937A7" w:rsidP="00C937A7">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T4</w:t>
            </w:r>
          </w:p>
        </w:tc>
        <w:tc>
          <w:tcPr>
            <w:tcW w:w="709" w:type="dxa"/>
            <w:tcBorders>
              <w:top w:val="single" w:sz="4" w:space="0" w:color="auto"/>
              <w:left w:val="nil"/>
              <w:bottom w:val="single" w:sz="4" w:space="0" w:color="auto"/>
              <w:right w:val="single" w:sz="4" w:space="0" w:color="auto"/>
            </w:tcBorders>
            <w:shd w:val="clear" w:color="auto" w:fill="C6EFCE"/>
            <w:noWrap/>
          </w:tcPr>
          <w:p w14:paraId="667CA634" w14:textId="77777777" w:rsidR="00C937A7" w:rsidRPr="00C06CD5" w:rsidRDefault="00C937A7" w:rsidP="00C937A7">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2024</w:t>
            </w:r>
          </w:p>
        </w:tc>
        <w:tc>
          <w:tcPr>
            <w:tcW w:w="2977" w:type="dxa"/>
            <w:tcBorders>
              <w:top w:val="single" w:sz="4" w:space="0" w:color="auto"/>
              <w:left w:val="nil"/>
              <w:bottom w:val="single" w:sz="4" w:space="0" w:color="auto"/>
              <w:right w:val="single" w:sz="4" w:space="0" w:color="auto"/>
            </w:tcBorders>
            <w:shd w:val="clear" w:color="auto" w:fill="C6EFCE"/>
            <w:noWrap/>
          </w:tcPr>
          <w:p w14:paraId="570117F8" w14:textId="77777777" w:rsidR="00C937A7" w:rsidRPr="00C06CD5" w:rsidRDefault="00C937A7" w:rsidP="00C937A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Възлите за достъп (PoP — Points-of-Presence), изградени в общинските центрове, са част от държавната мрежа и са свързани към обекти за агрегиране или предварително агрегиране чрез 2x40 Gbps или 2x100 Gbps канали в права посока.</w:t>
            </w:r>
          </w:p>
          <w:p w14:paraId="60016154" w14:textId="77777777" w:rsidR="00C937A7" w:rsidRPr="00C06CD5" w:rsidRDefault="00C937A7" w:rsidP="00C937A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Всеки възел за достъп дава възможност за ефективен достъп на едро до доставчици на услуги от общ интерес и телекомуникационни оператори. </w:t>
            </w:r>
          </w:p>
        </w:tc>
      </w:tr>
      <w:tr w:rsidR="00A41235" w:rsidRPr="005241FC" w14:paraId="29202779" w14:textId="77777777" w:rsidTr="78112151">
        <w:trPr>
          <w:trHeight w:val="309"/>
        </w:trPr>
        <w:tc>
          <w:tcPr>
            <w:tcW w:w="708" w:type="dxa"/>
            <w:tcBorders>
              <w:top w:val="single" w:sz="4" w:space="0" w:color="auto"/>
              <w:left w:val="single" w:sz="4" w:space="0" w:color="auto"/>
              <w:bottom w:val="single" w:sz="4" w:space="0" w:color="auto"/>
              <w:right w:val="single" w:sz="4" w:space="0" w:color="auto"/>
            </w:tcBorders>
            <w:shd w:val="clear" w:color="auto" w:fill="C6EFCE"/>
            <w:noWrap/>
          </w:tcPr>
          <w:p w14:paraId="021CC608" w14:textId="5F3DBA18" w:rsidR="00C937A7" w:rsidRPr="00C06CD5" w:rsidRDefault="00212532" w:rsidP="00C937A7">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145</w:t>
            </w:r>
          </w:p>
        </w:tc>
        <w:tc>
          <w:tcPr>
            <w:tcW w:w="1842" w:type="dxa"/>
            <w:tcBorders>
              <w:top w:val="single" w:sz="4" w:space="0" w:color="auto"/>
              <w:left w:val="nil"/>
              <w:bottom w:val="single" w:sz="4" w:space="0" w:color="auto"/>
              <w:right w:val="single" w:sz="4" w:space="0" w:color="auto"/>
            </w:tcBorders>
            <w:shd w:val="clear" w:color="auto" w:fill="C6EFCE"/>
            <w:noWrap/>
          </w:tcPr>
          <w:p w14:paraId="7A7C4C93" w14:textId="77777777" w:rsidR="003B02A1" w:rsidRPr="00C06CD5" w:rsidRDefault="00152560" w:rsidP="0015256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C7.I1: </w:t>
            </w:r>
          </w:p>
          <w:p w14:paraId="24E5D4C2" w14:textId="416C8021" w:rsidR="00C937A7" w:rsidRPr="00C06CD5" w:rsidRDefault="00C937A7" w:rsidP="0015256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Широкомащабно разгръщане на цифрова инфраструктура</w:t>
            </w:r>
          </w:p>
        </w:tc>
        <w:tc>
          <w:tcPr>
            <w:tcW w:w="1267" w:type="dxa"/>
            <w:tcBorders>
              <w:top w:val="single" w:sz="4" w:space="0" w:color="auto"/>
              <w:left w:val="nil"/>
              <w:bottom w:val="single" w:sz="4" w:space="0" w:color="auto"/>
              <w:right w:val="single" w:sz="4" w:space="0" w:color="auto"/>
            </w:tcBorders>
            <w:shd w:val="clear" w:color="auto" w:fill="C6EFCE"/>
            <w:noWrap/>
          </w:tcPr>
          <w:p w14:paraId="201FE4A2" w14:textId="77777777" w:rsidR="00C937A7" w:rsidRPr="00C06CD5" w:rsidRDefault="00C937A7" w:rsidP="00C937A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Цел</w:t>
            </w:r>
          </w:p>
        </w:tc>
        <w:tc>
          <w:tcPr>
            <w:tcW w:w="1786" w:type="dxa"/>
            <w:tcBorders>
              <w:top w:val="single" w:sz="4" w:space="0" w:color="auto"/>
              <w:left w:val="nil"/>
              <w:bottom w:val="single" w:sz="4" w:space="0" w:color="auto"/>
              <w:right w:val="single" w:sz="4" w:space="0" w:color="auto"/>
            </w:tcBorders>
            <w:shd w:val="clear" w:color="auto" w:fill="C6EFCE"/>
            <w:noWrap/>
          </w:tcPr>
          <w:p w14:paraId="0292D048" w14:textId="4C0A24A1" w:rsidR="00C937A7" w:rsidRPr="00C06CD5" w:rsidRDefault="00C937A7" w:rsidP="00C937A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Население с достъп до мрежи с много голям капацитет със скорост от 1 Gbps или по-висока</w:t>
            </w:r>
          </w:p>
        </w:tc>
        <w:tc>
          <w:tcPr>
            <w:tcW w:w="1791" w:type="dxa"/>
            <w:tcBorders>
              <w:top w:val="single" w:sz="4" w:space="0" w:color="auto"/>
              <w:left w:val="nil"/>
              <w:bottom w:val="single" w:sz="4" w:space="0" w:color="auto"/>
              <w:right w:val="single" w:sz="4" w:space="0" w:color="auto"/>
            </w:tcBorders>
            <w:shd w:val="clear" w:color="auto" w:fill="C6EFCE"/>
            <w:noWrap/>
          </w:tcPr>
          <w:p w14:paraId="554CFAD3" w14:textId="351BC8DA" w:rsidR="00C937A7" w:rsidRPr="008A0F8A" w:rsidRDefault="00C937A7" w:rsidP="00C937A7">
            <w:pPr>
              <w:spacing w:after="0" w:line="240" w:lineRule="auto"/>
              <w:rPr>
                <w:rFonts w:ascii="Times New Roman" w:eastAsia="Times New Roman" w:hAnsi="Times New Roman" w:cs="Times New Roman"/>
                <w:noProof/>
                <w:color w:val="006100"/>
                <w:sz w:val="20"/>
                <w:szCs w:val="20"/>
                <w:lang w:val="ru-RU" w:eastAsia="en-GB"/>
              </w:rPr>
            </w:pPr>
          </w:p>
        </w:tc>
        <w:tc>
          <w:tcPr>
            <w:tcW w:w="1099" w:type="dxa"/>
            <w:tcBorders>
              <w:top w:val="single" w:sz="4" w:space="0" w:color="auto"/>
              <w:left w:val="nil"/>
              <w:bottom w:val="single" w:sz="4" w:space="0" w:color="auto"/>
              <w:right w:val="single" w:sz="4" w:space="0" w:color="auto"/>
            </w:tcBorders>
            <w:shd w:val="clear" w:color="auto" w:fill="C6EFCE"/>
            <w:noWrap/>
          </w:tcPr>
          <w:p w14:paraId="053F51FE" w14:textId="77777777" w:rsidR="00C937A7" w:rsidRPr="00C06CD5" w:rsidRDefault="00C937A7" w:rsidP="00C937A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Брой</w:t>
            </w:r>
          </w:p>
        </w:tc>
        <w:tc>
          <w:tcPr>
            <w:tcW w:w="1005" w:type="dxa"/>
            <w:tcBorders>
              <w:top w:val="single" w:sz="4" w:space="0" w:color="auto"/>
              <w:left w:val="nil"/>
              <w:bottom w:val="single" w:sz="4" w:space="0" w:color="auto"/>
              <w:right w:val="single" w:sz="4" w:space="0" w:color="auto"/>
            </w:tcBorders>
            <w:shd w:val="clear" w:color="auto" w:fill="C6EFCE"/>
            <w:noWrap/>
          </w:tcPr>
          <w:p w14:paraId="69391F83" w14:textId="77777777" w:rsidR="00C937A7" w:rsidRPr="00C06CD5" w:rsidRDefault="00C937A7" w:rsidP="00C937A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0</w:t>
            </w:r>
          </w:p>
        </w:tc>
        <w:tc>
          <w:tcPr>
            <w:tcW w:w="921" w:type="dxa"/>
            <w:tcBorders>
              <w:top w:val="single" w:sz="4" w:space="0" w:color="auto"/>
              <w:left w:val="nil"/>
              <w:bottom w:val="single" w:sz="4" w:space="0" w:color="auto"/>
              <w:right w:val="single" w:sz="4" w:space="0" w:color="auto"/>
            </w:tcBorders>
            <w:shd w:val="clear" w:color="auto" w:fill="C6EFCE"/>
            <w:noWrap/>
          </w:tcPr>
          <w:p w14:paraId="4F7AE52B" w14:textId="5DF275C2" w:rsidR="00C937A7" w:rsidRPr="00C06CD5" w:rsidRDefault="001C00FB" w:rsidP="00C937A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100000</w:t>
            </w:r>
          </w:p>
        </w:tc>
        <w:tc>
          <w:tcPr>
            <w:tcW w:w="921" w:type="dxa"/>
            <w:tcBorders>
              <w:top w:val="single" w:sz="4" w:space="0" w:color="auto"/>
              <w:left w:val="nil"/>
              <w:bottom w:val="single" w:sz="4" w:space="0" w:color="auto"/>
              <w:right w:val="single" w:sz="4" w:space="0" w:color="auto"/>
            </w:tcBorders>
            <w:shd w:val="clear" w:color="auto" w:fill="C6EFCE"/>
            <w:noWrap/>
          </w:tcPr>
          <w:p w14:paraId="38B670C6" w14:textId="77777777" w:rsidR="00C937A7" w:rsidRPr="00C06CD5" w:rsidRDefault="00C937A7" w:rsidP="00C937A7">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T4</w:t>
            </w:r>
          </w:p>
        </w:tc>
        <w:tc>
          <w:tcPr>
            <w:tcW w:w="709" w:type="dxa"/>
            <w:tcBorders>
              <w:top w:val="single" w:sz="4" w:space="0" w:color="auto"/>
              <w:left w:val="nil"/>
              <w:bottom w:val="single" w:sz="4" w:space="0" w:color="auto"/>
              <w:right w:val="single" w:sz="4" w:space="0" w:color="auto"/>
            </w:tcBorders>
            <w:shd w:val="clear" w:color="auto" w:fill="C6EFCE"/>
            <w:noWrap/>
          </w:tcPr>
          <w:p w14:paraId="4A1120B7" w14:textId="77777777" w:rsidR="00C937A7" w:rsidRPr="00C06CD5" w:rsidRDefault="00C937A7" w:rsidP="00C937A7">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2024</w:t>
            </w:r>
          </w:p>
        </w:tc>
        <w:tc>
          <w:tcPr>
            <w:tcW w:w="2977" w:type="dxa"/>
            <w:tcBorders>
              <w:top w:val="single" w:sz="4" w:space="0" w:color="auto"/>
              <w:left w:val="nil"/>
              <w:bottom w:val="single" w:sz="4" w:space="0" w:color="auto"/>
              <w:right w:val="single" w:sz="4" w:space="0" w:color="auto"/>
            </w:tcBorders>
            <w:shd w:val="clear" w:color="auto" w:fill="C6EFCE"/>
            <w:noWrap/>
          </w:tcPr>
          <w:p w14:paraId="0E20DC95" w14:textId="77777777" w:rsidR="00C937A7" w:rsidRPr="00C06CD5" w:rsidRDefault="00C937A7" w:rsidP="00C937A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Целта трябва да даде възможност на 100 000 допълнителни хора да получат достъп до услуги със скорост най-малко 1 Gbps. </w:t>
            </w:r>
          </w:p>
          <w:p w14:paraId="1DBAFA47" w14:textId="77777777" w:rsidR="00C937A7" w:rsidRPr="00C06CD5" w:rsidRDefault="00C937A7" w:rsidP="00C937A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Населените места, засегнати от тази мярка, трябва да са в селски и слабо населени райони, където няма пазарен интерес за изграждането на ММГК.</w:t>
            </w:r>
          </w:p>
        </w:tc>
      </w:tr>
      <w:tr w:rsidR="00A41235" w:rsidRPr="005241FC" w14:paraId="749E8789" w14:textId="77777777" w:rsidTr="78112151">
        <w:trPr>
          <w:trHeight w:val="309"/>
        </w:trPr>
        <w:tc>
          <w:tcPr>
            <w:tcW w:w="708" w:type="dxa"/>
            <w:tcBorders>
              <w:top w:val="single" w:sz="4" w:space="0" w:color="auto"/>
              <w:left w:val="single" w:sz="4" w:space="0" w:color="auto"/>
              <w:bottom w:val="single" w:sz="4" w:space="0" w:color="auto"/>
              <w:right w:val="single" w:sz="4" w:space="0" w:color="auto"/>
            </w:tcBorders>
            <w:shd w:val="clear" w:color="auto" w:fill="C6EFCE"/>
            <w:noWrap/>
          </w:tcPr>
          <w:p w14:paraId="519710D7" w14:textId="2F1FCD41" w:rsidR="00C937A7" w:rsidRPr="00C06CD5" w:rsidRDefault="00212532" w:rsidP="00C937A7">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146</w:t>
            </w:r>
          </w:p>
        </w:tc>
        <w:tc>
          <w:tcPr>
            <w:tcW w:w="1842" w:type="dxa"/>
            <w:tcBorders>
              <w:top w:val="single" w:sz="4" w:space="0" w:color="auto"/>
              <w:left w:val="nil"/>
              <w:bottom w:val="single" w:sz="4" w:space="0" w:color="auto"/>
              <w:right w:val="single" w:sz="4" w:space="0" w:color="auto"/>
            </w:tcBorders>
            <w:shd w:val="clear" w:color="auto" w:fill="C6EFCE"/>
            <w:noWrap/>
          </w:tcPr>
          <w:p w14:paraId="10F38F95" w14:textId="77777777" w:rsidR="003B02A1" w:rsidRPr="00C06CD5" w:rsidRDefault="00152560" w:rsidP="0015256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C7.I1:</w:t>
            </w:r>
          </w:p>
          <w:p w14:paraId="2B6DF7AD" w14:textId="0CD88CCF" w:rsidR="00C937A7" w:rsidRPr="00C06CD5" w:rsidRDefault="00C937A7" w:rsidP="0015256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Широкомащабно разгръщане на цифрова инфраструктура</w:t>
            </w:r>
          </w:p>
        </w:tc>
        <w:tc>
          <w:tcPr>
            <w:tcW w:w="1267" w:type="dxa"/>
            <w:tcBorders>
              <w:top w:val="single" w:sz="4" w:space="0" w:color="auto"/>
              <w:left w:val="nil"/>
              <w:bottom w:val="single" w:sz="4" w:space="0" w:color="auto"/>
              <w:right w:val="single" w:sz="4" w:space="0" w:color="auto"/>
            </w:tcBorders>
            <w:shd w:val="clear" w:color="auto" w:fill="C6EFCE"/>
            <w:noWrap/>
          </w:tcPr>
          <w:p w14:paraId="34C36D15" w14:textId="77777777" w:rsidR="00C937A7" w:rsidRPr="00C06CD5" w:rsidRDefault="00C937A7" w:rsidP="00C937A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Цел</w:t>
            </w:r>
          </w:p>
        </w:tc>
        <w:tc>
          <w:tcPr>
            <w:tcW w:w="1786" w:type="dxa"/>
            <w:tcBorders>
              <w:top w:val="single" w:sz="4" w:space="0" w:color="auto"/>
              <w:left w:val="nil"/>
              <w:bottom w:val="single" w:sz="4" w:space="0" w:color="auto"/>
              <w:right w:val="single" w:sz="4" w:space="0" w:color="auto"/>
            </w:tcBorders>
            <w:shd w:val="clear" w:color="auto" w:fill="C6EFCE"/>
            <w:noWrap/>
          </w:tcPr>
          <w:p w14:paraId="483C922C" w14:textId="77777777" w:rsidR="00C937A7" w:rsidRPr="00C06CD5" w:rsidRDefault="00C937A7" w:rsidP="00C937A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Общински центрове с нови възли за достъп до </w:t>
            </w:r>
          </w:p>
          <w:p w14:paraId="56C09021" w14:textId="77777777" w:rsidR="00C937A7" w:rsidRPr="00C06CD5" w:rsidRDefault="00C937A7" w:rsidP="00C937A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мрежи с много голям капацитет </w:t>
            </w:r>
          </w:p>
        </w:tc>
        <w:tc>
          <w:tcPr>
            <w:tcW w:w="1791" w:type="dxa"/>
            <w:tcBorders>
              <w:top w:val="single" w:sz="4" w:space="0" w:color="auto"/>
              <w:left w:val="nil"/>
              <w:bottom w:val="single" w:sz="4" w:space="0" w:color="auto"/>
              <w:right w:val="single" w:sz="4" w:space="0" w:color="auto"/>
            </w:tcBorders>
            <w:shd w:val="clear" w:color="auto" w:fill="C6EFCE"/>
            <w:noWrap/>
          </w:tcPr>
          <w:p w14:paraId="34661C47" w14:textId="534334B2" w:rsidR="00C937A7" w:rsidRPr="008A0F8A" w:rsidRDefault="00C937A7" w:rsidP="00C937A7">
            <w:pPr>
              <w:spacing w:after="0" w:line="240" w:lineRule="auto"/>
              <w:rPr>
                <w:rFonts w:ascii="Times New Roman" w:eastAsia="Times New Roman" w:hAnsi="Times New Roman" w:cs="Times New Roman"/>
                <w:noProof/>
                <w:color w:val="006100"/>
                <w:sz w:val="20"/>
                <w:szCs w:val="20"/>
                <w:lang w:val="ru-RU" w:eastAsia="en-GB"/>
              </w:rPr>
            </w:pPr>
          </w:p>
        </w:tc>
        <w:tc>
          <w:tcPr>
            <w:tcW w:w="1099" w:type="dxa"/>
            <w:tcBorders>
              <w:top w:val="single" w:sz="4" w:space="0" w:color="auto"/>
              <w:left w:val="nil"/>
              <w:bottom w:val="single" w:sz="4" w:space="0" w:color="auto"/>
              <w:right w:val="single" w:sz="4" w:space="0" w:color="auto"/>
            </w:tcBorders>
            <w:shd w:val="clear" w:color="auto" w:fill="C6EFCE"/>
            <w:noWrap/>
          </w:tcPr>
          <w:p w14:paraId="4C57A4E9" w14:textId="77777777" w:rsidR="00C937A7" w:rsidRPr="00C06CD5" w:rsidRDefault="00C937A7" w:rsidP="00C937A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Брой </w:t>
            </w:r>
          </w:p>
        </w:tc>
        <w:tc>
          <w:tcPr>
            <w:tcW w:w="1005" w:type="dxa"/>
            <w:tcBorders>
              <w:top w:val="single" w:sz="4" w:space="0" w:color="auto"/>
              <w:left w:val="nil"/>
              <w:bottom w:val="single" w:sz="4" w:space="0" w:color="auto"/>
              <w:right w:val="single" w:sz="4" w:space="0" w:color="auto"/>
            </w:tcBorders>
            <w:shd w:val="clear" w:color="auto" w:fill="C6EFCE"/>
            <w:noWrap/>
          </w:tcPr>
          <w:p w14:paraId="595E65AB" w14:textId="77777777" w:rsidR="00C937A7" w:rsidRPr="00C06CD5" w:rsidRDefault="00C937A7" w:rsidP="00C937A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100</w:t>
            </w:r>
          </w:p>
        </w:tc>
        <w:tc>
          <w:tcPr>
            <w:tcW w:w="921" w:type="dxa"/>
            <w:tcBorders>
              <w:top w:val="single" w:sz="4" w:space="0" w:color="auto"/>
              <w:left w:val="nil"/>
              <w:bottom w:val="single" w:sz="4" w:space="0" w:color="auto"/>
              <w:right w:val="single" w:sz="4" w:space="0" w:color="auto"/>
            </w:tcBorders>
            <w:shd w:val="clear" w:color="auto" w:fill="C6EFCE"/>
            <w:noWrap/>
          </w:tcPr>
          <w:p w14:paraId="156F47F6" w14:textId="77777777" w:rsidR="00C937A7" w:rsidRPr="00C06CD5" w:rsidRDefault="00C937A7" w:rsidP="00C937A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185</w:t>
            </w:r>
          </w:p>
        </w:tc>
        <w:tc>
          <w:tcPr>
            <w:tcW w:w="921" w:type="dxa"/>
            <w:tcBorders>
              <w:top w:val="single" w:sz="4" w:space="0" w:color="auto"/>
              <w:left w:val="nil"/>
              <w:bottom w:val="single" w:sz="4" w:space="0" w:color="auto"/>
              <w:right w:val="single" w:sz="4" w:space="0" w:color="auto"/>
            </w:tcBorders>
            <w:shd w:val="clear" w:color="auto" w:fill="C6EFCE"/>
            <w:noWrap/>
          </w:tcPr>
          <w:p w14:paraId="69285EFD" w14:textId="77777777" w:rsidR="00C937A7" w:rsidRPr="00C06CD5" w:rsidRDefault="00C937A7" w:rsidP="00C937A7">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T2</w:t>
            </w:r>
          </w:p>
        </w:tc>
        <w:tc>
          <w:tcPr>
            <w:tcW w:w="709" w:type="dxa"/>
            <w:tcBorders>
              <w:top w:val="single" w:sz="4" w:space="0" w:color="auto"/>
              <w:left w:val="nil"/>
              <w:bottom w:val="single" w:sz="4" w:space="0" w:color="auto"/>
              <w:right w:val="single" w:sz="4" w:space="0" w:color="auto"/>
            </w:tcBorders>
            <w:shd w:val="clear" w:color="auto" w:fill="C6EFCE"/>
            <w:noWrap/>
          </w:tcPr>
          <w:p w14:paraId="4CD0F9B5" w14:textId="77777777" w:rsidR="00C937A7" w:rsidRPr="00C06CD5" w:rsidRDefault="00C937A7" w:rsidP="00C937A7">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2026</w:t>
            </w:r>
          </w:p>
        </w:tc>
        <w:tc>
          <w:tcPr>
            <w:tcW w:w="2977" w:type="dxa"/>
            <w:tcBorders>
              <w:top w:val="single" w:sz="4" w:space="0" w:color="auto"/>
              <w:left w:val="nil"/>
              <w:bottom w:val="single" w:sz="4" w:space="0" w:color="auto"/>
              <w:right w:val="single" w:sz="4" w:space="0" w:color="auto"/>
            </w:tcBorders>
            <w:shd w:val="clear" w:color="auto" w:fill="C6EFCE"/>
            <w:noWrap/>
          </w:tcPr>
          <w:p w14:paraId="080880E1" w14:textId="77777777" w:rsidR="00C937A7" w:rsidRPr="00C06CD5" w:rsidRDefault="00C937A7" w:rsidP="00C937A7">
            <w:pPr>
              <w:spacing w:after="0" w:line="240" w:lineRule="auto"/>
              <w:rPr>
                <w:rFonts w:ascii="Times New Roman" w:hAnsi="Times New Roman" w:cs="Times New Roman"/>
                <w:noProof/>
                <w:sz w:val="20"/>
                <w:szCs w:val="20"/>
              </w:rPr>
            </w:pPr>
            <w:r>
              <w:rPr>
                <w:rFonts w:ascii="Times New Roman" w:hAnsi="Times New Roman"/>
                <w:noProof/>
                <w:color w:val="006100"/>
                <w:sz w:val="20"/>
              </w:rPr>
              <w:t>Възлите за достъп (PoP — Points-of-Presence), изградени в общинските центрове, са част от държавната мрежа и са свързани към обекти за агрегиране или предварително агрегиране чрез 2x40 Gbps или 2x100 Gbps канали в права посока.</w:t>
            </w:r>
            <w:r>
              <w:rPr>
                <w:rFonts w:ascii="Times New Roman" w:hAnsi="Times New Roman"/>
                <w:noProof/>
                <w:sz w:val="20"/>
              </w:rPr>
              <w:t xml:space="preserve"> </w:t>
            </w:r>
          </w:p>
          <w:p w14:paraId="4944EF56" w14:textId="77777777" w:rsidR="00C937A7" w:rsidRPr="00C06CD5" w:rsidRDefault="00C937A7" w:rsidP="00C937A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Всеки възел за достъп дава възможност за ефективен достъп на едро до доставчици на услуги от общ интерес и телекомуникационни оператори.</w:t>
            </w:r>
          </w:p>
        </w:tc>
      </w:tr>
      <w:tr w:rsidR="00A41235" w:rsidRPr="005241FC" w14:paraId="15E85818" w14:textId="77777777" w:rsidTr="78112151">
        <w:trPr>
          <w:trHeight w:val="309"/>
        </w:trPr>
        <w:tc>
          <w:tcPr>
            <w:tcW w:w="708" w:type="dxa"/>
            <w:tcBorders>
              <w:top w:val="single" w:sz="4" w:space="0" w:color="auto"/>
              <w:left w:val="single" w:sz="4" w:space="0" w:color="auto"/>
              <w:bottom w:val="single" w:sz="4" w:space="0" w:color="auto"/>
              <w:right w:val="single" w:sz="4" w:space="0" w:color="auto"/>
            </w:tcBorders>
            <w:shd w:val="clear" w:color="auto" w:fill="C6EFCE"/>
            <w:noWrap/>
          </w:tcPr>
          <w:p w14:paraId="00C2960C" w14:textId="0D90E905" w:rsidR="00C937A7" w:rsidRPr="00C06CD5" w:rsidRDefault="00212532" w:rsidP="00C937A7">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147</w:t>
            </w:r>
          </w:p>
        </w:tc>
        <w:tc>
          <w:tcPr>
            <w:tcW w:w="1842" w:type="dxa"/>
            <w:tcBorders>
              <w:top w:val="single" w:sz="4" w:space="0" w:color="auto"/>
              <w:left w:val="nil"/>
              <w:bottom w:val="single" w:sz="4" w:space="0" w:color="auto"/>
              <w:right w:val="single" w:sz="4" w:space="0" w:color="auto"/>
            </w:tcBorders>
            <w:shd w:val="clear" w:color="auto" w:fill="C6EFCE"/>
            <w:noWrap/>
          </w:tcPr>
          <w:p w14:paraId="7EE61603" w14:textId="77777777" w:rsidR="003B02A1" w:rsidRPr="00C06CD5" w:rsidRDefault="00152560" w:rsidP="0015256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C7.I1: </w:t>
            </w:r>
          </w:p>
          <w:p w14:paraId="440306D4" w14:textId="151C6F4A" w:rsidR="00C937A7" w:rsidRPr="00C06CD5" w:rsidRDefault="00C937A7" w:rsidP="0015256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Широкомащабно разгръщане на цифрова инфраструктура</w:t>
            </w:r>
          </w:p>
        </w:tc>
        <w:tc>
          <w:tcPr>
            <w:tcW w:w="1267" w:type="dxa"/>
            <w:tcBorders>
              <w:top w:val="single" w:sz="4" w:space="0" w:color="auto"/>
              <w:left w:val="nil"/>
              <w:bottom w:val="single" w:sz="4" w:space="0" w:color="auto"/>
              <w:right w:val="single" w:sz="4" w:space="0" w:color="auto"/>
            </w:tcBorders>
            <w:shd w:val="clear" w:color="auto" w:fill="C6EFCE"/>
            <w:noWrap/>
          </w:tcPr>
          <w:p w14:paraId="4329BCE5" w14:textId="77777777" w:rsidR="00C937A7" w:rsidRPr="00C06CD5" w:rsidRDefault="00C937A7" w:rsidP="00C937A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Цел</w:t>
            </w:r>
          </w:p>
        </w:tc>
        <w:tc>
          <w:tcPr>
            <w:tcW w:w="1786" w:type="dxa"/>
            <w:tcBorders>
              <w:top w:val="single" w:sz="4" w:space="0" w:color="auto"/>
              <w:left w:val="nil"/>
              <w:bottom w:val="single" w:sz="4" w:space="0" w:color="auto"/>
              <w:right w:val="single" w:sz="4" w:space="0" w:color="auto"/>
            </w:tcBorders>
            <w:shd w:val="clear" w:color="auto" w:fill="C6EFCE"/>
            <w:noWrap/>
          </w:tcPr>
          <w:p w14:paraId="3340863E" w14:textId="24FC5BF3" w:rsidR="00C937A7" w:rsidRPr="00C06CD5" w:rsidRDefault="00C937A7" w:rsidP="00C937A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Население с достъп до мрежи с много голям капацитет със скорост от 1 Gbps или по-висока</w:t>
            </w:r>
          </w:p>
        </w:tc>
        <w:tc>
          <w:tcPr>
            <w:tcW w:w="1791" w:type="dxa"/>
            <w:tcBorders>
              <w:top w:val="single" w:sz="4" w:space="0" w:color="auto"/>
              <w:left w:val="nil"/>
              <w:bottom w:val="single" w:sz="4" w:space="0" w:color="auto"/>
              <w:right w:val="single" w:sz="4" w:space="0" w:color="auto"/>
            </w:tcBorders>
            <w:shd w:val="clear" w:color="auto" w:fill="C6EFCE"/>
            <w:noWrap/>
          </w:tcPr>
          <w:p w14:paraId="4D6AC553" w14:textId="6A77709A" w:rsidR="00C937A7" w:rsidRPr="008A0F8A" w:rsidRDefault="00C937A7" w:rsidP="00C937A7">
            <w:pPr>
              <w:spacing w:after="0" w:line="240" w:lineRule="auto"/>
              <w:rPr>
                <w:rFonts w:ascii="Times New Roman" w:eastAsia="Times New Roman" w:hAnsi="Times New Roman" w:cs="Times New Roman"/>
                <w:noProof/>
                <w:color w:val="006100"/>
                <w:sz w:val="20"/>
                <w:szCs w:val="20"/>
                <w:lang w:val="ru-RU" w:eastAsia="en-GB"/>
              </w:rPr>
            </w:pPr>
          </w:p>
        </w:tc>
        <w:tc>
          <w:tcPr>
            <w:tcW w:w="1099" w:type="dxa"/>
            <w:tcBorders>
              <w:top w:val="single" w:sz="4" w:space="0" w:color="auto"/>
              <w:left w:val="nil"/>
              <w:bottom w:val="single" w:sz="4" w:space="0" w:color="auto"/>
              <w:right w:val="single" w:sz="4" w:space="0" w:color="auto"/>
            </w:tcBorders>
            <w:shd w:val="clear" w:color="auto" w:fill="C6EFCE"/>
            <w:noWrap/>
          </w:tcPr>
          <w:p w14:paraId="1420E1F6" w14:textId="77777777" w:rsidR="00C937A7" w:rsidRPr="00C06CD5" w:rsidRDefault="00C937A7" w:rsidP="00C937A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Брой</w:t>
            </w:r>
          </w:p>
        </w:tc>
        <w:tc>
          <w:tcPr>
            <w:tcW w:w="1005" w:type="dxa"/>
            <w:tcBorders>
              <w:top w:val="single" w:sz="4" w:space="0" w:color="auto"/>
              <w:left w:val="nil"/>
              <w:bottom w:val="single" w:sz="4" w:space="0" w:color="auto"/>
              <w:right w:val="single" w:sz="4" w:space="0" w:color="auto"/>
            </w:tcBorders>
            <w:shd w:val="clear" w:color="auto" w:fill="C6EFCE"/>
            <w:noWrap/>
          </w:tcPr>
          <w:p w14:paraId="4C8967EB" w14:textId="3CE38D2D" w:rsidR="00C937A7" w:rsidRPr="00C06CD5" w:rsidRDefault="001C00FB" w:rsidP="00C937A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100000</w:t>
            </w:r>
          </w:p>
        </w:tc>
        <w:tc>
          <w:tcPr>
            <w:tcW w:w="921" w:type="dxa"/>
            <w:tcBorders>
              <w:top w:val="single" w:sz="4" w:space="0" w:color="auto"/>
              <w:left w:val="nil"/>
              <w:bottom w:val="single" w:sz="4" w:space="0" w:color="auto"/>
              <w:right w:val="single" w:sz="4" w:space="0" w:color="auto"/>
            </w:tcBorders>
            <w:shd w:val="clear" w:color="auto" w:fill="C6EFCE"/>
            <w:noWrap/>
          </w:tcPr>
          <w:p w14:paraId="4E647C22" w14:textId="71809A11" w:rsidR="00C937A7" w:rsidRPr="00C06CD5" w:rsidRDefault="001C00FB" w:rsidP="00C937A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350000</w:t>
            </w:r>
          </w:p>
        </w:tc>
        <w:tc>
          <w:tcPr>
            <w:tcW w:w="921" w:type="dxa"/>
            <w:tcBorders>
              <w:top w:val="single" w:sz="4" w:space="0" w:color="auto"/>
              <w:left w:val="nil"/>
              <w:bottom w:val="single" w:sz="4" w:space="0" w:color="auto"/>
              <w:right w:val="single" w:sz="4" w:space="0" w:color="auto"/>
            </w:tcBorders>
            <w:shd w:val="clear" w:color="auto" w:fill="C6EFCE"/>
            <w:noWrap/>
          </w:tcPr>
          <w:p w14:paraId="7FFB156A" w14:textId="77777777" w:rsidR="00C937A7" w:rsidRPr="00C06CD5" w:rsidRDefault="00C937A7" w:rsidP="00C937A7">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T2</w:t>
            </w:r>
          </w:p>
        </w:tc>
        <w:tc>
          <w:tcPr>
            <w:tcW w:w="709" w:type="dxa"/>
            <w:tcBorders>
              <w:top w:val="single" w:sz="4" w:space="0" w:color="auto"/>
              <w:left w:val="nil"/>
              <w:bottom w:val="single" w:sz="4" w:space="0" w:color="auto"/>
              <w:right w:val="single" w:sz="4" w:space="0" w:color="auto"/>
            </w:tcBorders>
            <w:shd w:val="clear" w:color="auto" w:fill="C6EFCE"/>
            <w:noWrap/>
          </w:tcPr>
          <w:p w14:paraId="5E718761" w14:textId="77777777" w:rsidR="00C937A7" w:rsidRPr="00C06CD5" w:rsidRDefault="00C937A7" w:rsidP="00C937A7">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2026</w:t>
            </w:r>
          </w:p>
        </w:tc>
        <w:tc>
          <w:tcPr>
            <w:tcW w:w="2977" w:type="dxa"/>
            <w:tcBorders>
              <w:top w:val="single" w:sz="4" w:space="0" w:color="auto"/>
              <w:left w:val="nil"/>
              <w:bottom w:val="single" w:sz="4" w:space="0" w:color="auto"/>
              <w:right w:val="single" w:sz="4" w:space="0" w:color="auto"/>
            </w:tcBorders>
            <w:shd w:val="clear" w:color="auto" w:fill="C6EFCE"/>
            <w:noWrap/>
          </w:tcPr>
          <w:p w14:paraId="44638874" w14:textId="2BAD04E2" w:rsidR="00C937A7" w:rsidRPr="00C06CD5" w:rsidRDefault="00C937A7" w:rsidP="00C937A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Целта трябва да даде възможност на 250 000 допълнителни хора да получат достъп до услуги със скорост най-малко 1 Gbps, освен вече предвидените 100 000 души съгласно цел 145.</w:t>
            </w:r>
          </w:p>
          <w:p w14:paraId="3976996A" w14:textId="77777777" w:rsidR="00C937A7" w:rsidRPr="00C06CD5" w:rsidRDefault="00C937A7" w:rsidP="00C937A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Населените места, засегнати от тази мярка, трябва да са в селски и слабо населени райони, където няма пазарен интерес за изграждането на ММГК.</w:t>
            </w:r>
          </w:p>
        </w:tc>
      </w:tr>
      <w:tr w:rsidR="00A41235" w:rsidRPr="005241FC" w14:paraId="70D80E1E" w14:textId="77777777" w:rsidTr="78112151">
        <w:trPr>
          <w:trHeight w:val="309"/>
        </w:trPr>
        <w:tc>
          <w:tcPr>
            <w:tcW w:w="708" w:type="dxa"/>
            <w:tcBorders>
              <w:top w:val="single" w:sz="4" w:space="0" w:color="auto"/>
              <w:left w:val="single" w:sz="4" w:space="0" w:color="auto"/>
              <w:bottom w:val="single" w:sz="4" w:space="0" w:color="auto"/>
              <w:right w:val="single" w:sz="4" w:space="0" w:color="auto"/>
            </w:tcBorders>
            <w:shd w:val="clear" w:color="auto" w:fill="C6EFCE"/>
            <w:noWrap/>
          </w:tcPr>
          <w:p w14:paraId="0D88495E" w14:textId="0DBE797D" w:rsidR="00C937A7" w:rsidRPr="00C06CD5" w:rsidRDefault="00212532" w:rsidP="00C937A7">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148</w:t>
            </w:r>
          </w:p>
        </w:tc>
        <w:tc>
          <w:tcPr>
            <w:tcW w:w="1842" w:type="dxa"/>
            <w:tcBorders>
              <w:top w:val="single" w:sz="4" w:space="0" w:color="auto"/>
              <w:left w:val="nil"/>
              <w:bottom w:val="single" w:sz="4" w:space="0" w:color="auto"/>
              <w:right w:val="single" w:sz="4" w:space="0" w:color="auto"/>
            </w:tcBorders>
            <w:shd w:val="clear" w:color="auto" w:fill="C6EFCE"/>
            <w:noWrap/>
          </w:tcPr>
          <w:p w14:paraId="40735AEA" w14:textId="67C83E9F" w:rsidR="00C937A7" w:rsidRPr="00C06CD5" w:rsidRDefault="00152560" w:rsidP="0015256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C7.I2: Изграждане, развитие и оптимизиране на цифровата система TETRA и радиорелейната мрежа</w:t>
            </w:r>
          </w:p>
        </w:tc>
        <w:tc>
          <w:tcPr>
            <w:tcW w:w="1267" w:type="dxa"/>
            <w:tcBorders>
              <w:top w:val="single" w:sz="4" w:space="0" w:color="auto"/>
              <w:left w:val="nil"/>
              <w:bottom w:val="single" w:sz="4" w:space="0" w:color="auto"/>
              <w:right w:val="single" w:sz="4" w:space="0" w:color="auto"/>
            </w:tcBorders>
            <w:shd w:val="clear" w:color="auto" w:fill="C6EFCE"/>
            <w:noWrap/>
          </w:tcPr>
          <w:p w14:paraId="24738C97" w14:textId="77777777" w:rsidR="00C937A7" w:rsidRPr="00C06CD5" w:rsidRDefault="00C937A7" w:rsidP="00C937A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786" w:type="dxa"/>
            <w:tcBorders>
              <w:top w:val="single" w:sz="4" w:space="0" w:color="auto"/>
              <w:left w:val="nil"/>
              <w:bottom w:val="single" w:sz="4" w:space="0" w:color="auto"/>
              <w:right w:val="single" w:sz="4" w:space="0" w:color="auto"/>
            </w:tcBorders>
            <w:shd w:val="clear" w:color="auto" w:fill="C6EFCE"/>
            <w:noWrap/>
          </w:tcPr>
          <w:p w14:paraId="7FE53E90" w14:textId="77777777" w:rsidR="00C937A7" w:rsidRPr="00C06CD5" w:rsidRDefault="00C937A7" w:rsidP="00C937A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Възлагане на обществени поръчки за развитие на системата TETRA и на радиорелейна мрежа</w:t>
            </w:r>
          </w:p>
        </w:tc>
        <w:tc>
          <w:tcPr>
            <w:tcW w:w="1791" w:type="dxa"/>
            <w:tcBorders>
              <w:top w:val="single" w:sz="4" w:space="0" w:color="auto"/>
              <w:left w:val="nil"/>
              <w:bottom w:val="single" w:sz="4" w:space="0" w:color="auto"/>
              <w:right w:val="single" w:sz="4" w:space="0" w:color="auto"/>
            </w:tcBorders>
            <w:shd w:val="clear" w:color="auto" w:fill="C6EFCE"/>
            <w:noWrap/>
          </w:tcPr>
          <w:p w14:paraId="189E25FB" w14:textId="77777777" w:rsidR="00C937A7" w:rsidRPr="00C06CD5" w:rsidRDefault="00C937A7" w:rsidP="00C937A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Оповестяване на възлагането</w:t>
            </w:r>
          </w:p>
          <w:p w14:paraId="0623D7D8" w14:textId="77777777" w:rsidR="00C937A7" w:rsidRPr="00C06CD5" w:rsidRDefault="00C937A7" w:rsidP="00C937A7">
            <w:pPr>
              <w:spacing w:after="0" w:line="240" w:lineRule="auto"/>
              <w:rPr>
                <w:rFonts w:ascii="Times New Roman" w:eastAsia="Times New Roman" w:hAnsi="Times New Roman" w:cs="Times New Roman"/>
                <w:noProof/>
                <w:color w:val="006100"/>
                <w:sz w:val="20"/>
                <w:szCs w:val="20"/>
                <w:lang w:val="en-GB" w:eastAsia="en-GB"/>
              </w:rPr>
            </w:pPr>
          </w:p>
        </w:tc>
        <w:tc>
          <w:tcPr>
            <w:tcW w:w="1099" w:type="dxa"/>
            <w:tcBorders>
              <w:top w:val="single" w:sz="4" w:space="0" w:color="auto"/>
              <w:left w:val="nil"/>
              <w:bottom w:val="single" w:sz="4" w:space="0" w:color="auto"/>
              <w:right w:val="single" w:sz="4" w:space="0" w:color="auto"/>
            </w:tcBorders>
            <w:shd w:val="clear" w:color="auto" w:fill="C6EFCE"/>
            <w:noWrap/>
          </w:tcPr>
          <w:p w14:paraId="281C1BCA" w14:textId="77777777" w:rsidR="00C937A7" w:rsidRPr="00C06CD5" w:rsidRDefault="00C937A7" w:rsidP="00C937A7">
            <w:pPr>
              <w:spacing w:after="0" w:line="240" w:lineRule="auto"/>
              <w:rPr>
                <w:rFonts w:ascii="Times New Roman" w:eastAsia="Times New Roman" w:hAnsi="Times New Roman" w:cs="Times New Roman"/>
                <w:noProof/>
                <w:color w:val="006100"/>
                <w:sz w:val="20"/>
                <w:szCs w:val="20"/>
                <w:lang w:val="en-GB" w:eastAsia="en-GB"/>
              </w:rPr>
            </w:pPr>
          </w:p>
        </w:tc>
        <w:tc>
          <w:tcPr>
            <w:tcW w:w="1005" w:type="dxa"/>
            <w:tcBorders>
              <w:top w:val="single" w:sz="4" w:space="0" w:color="auto"/>
              <w:left w:val="nil"/>
              <w:bottom w:val="single" w:sz="4" w:space="0" w:color="auto"/>
              <w:right w:val="single" w:sz="4" w:space="0" w:color="auto"/>
            </w:tcBorders>
            <w:shd w:val="clear" w:color="auto" w:fill="C6EFCE"/>
            <w:noWrap/>
          </w:tcPr>
          <w:p w14:paraId="5962CF33" w14:textId="77777777" w:rsidR="00C937A7" w:rsidRPr="00C06CD5" w:rsidRDefault="00C937A7" w:rsidP="00C937A7">
            <w:pPr>
              <w:spacing w:after="0" w:line="240" w:lineRule="auto"/>
              <w:rPr>
                <w:rFonts w:ascii="Times New Roman" w:eastAsia="Times New Roman" w:hAnsi="Times New Roman" w:cs="Times New Roman"/>
                <w:noProof/>
                <w:color w:val="006100"/>
                <w:sz w:val="20"/>
                <w:szCs w:val="20"/>
                <w:lang w:val="en-GB" w:eastAsia="en-GB"/>
              </w:rPr>
            </w:pPr>
          </w:p>
        </w:tc>
        <w:tc>
          <w:tcPr>
            <w:tcW w:w="921" w:type="dxa"/>
            <w:tcBorders>
              <w:top w:val="single" w:sz="4" w:space="0" w:color="auto"/>
              <w:left w:val="nil"/>
              <w:bottom w:val="single" w:sz="4" w:space="0" w:color="auto"/>
              <w:right w:val="single" w:sz="4" w:space="0" w:color="auto"/>
            </w:tcBorders>
            <w:shd w:val="clear" w:color="auto" w:fill="C6EFCE"/>
            <w:noWrap/>
          </w:tcPr>
          <w:p w14:paraId="3EB3C7EC" w14:textId="77777777" w:rsidR="00C937A7" w:rsidRPr="00C06CD5" w:rsidRDefault="00C937A7" w:rsidP="00C937A7">
            <w:pPr>
              <w:spacing w:after="0" w:line="240" w:lineRule="auto"/>
              <w:rPr>
                <w:rFonts w:ascii="Times New Roman" w:eastAsia="Times New Roman" w:hAnsi="Times New Roman" w:cs="Times New Roman"/>
                <w:noProof/>
                <w:color w:val="006100"/>
                <w:sz w:val="20"/>
                <w:szCs w:val="20"/>
                <w:lang w:val="en-GB" w:eastAsia="en-GB"/>
              </w:rPr>
            </w:pPr>
          </w:p>
        </w:tc>
        <w:tc>
          <w:tcPr>
            <w:tcW w:w="921" w:type="dxa"/>
            <w:tcBorders>
              <w:top w:val="single" w:sz="4" w:space="0" w:color="auto"/>
              <w:left w:val="nil"/>
              <w:bottom w:val="single" w:sz="4" w:space="0" w:color="auto"/>
              <w:right w:val="single" w:sz="4" w:space="0" w:color="auto"/>
            </w:tcBorders>
            <w:shd w:val="clear" w:color="auto" w:fill="C6EFCE"/>
            <w:noWrap/>
          </w:tcPr>
          <w:p w14:paraId="12096DE5" w14:textId="77777777" w:rsidR="00C937A7" w:rsidRPr="00C06CD5" w:rsidRDefault="00C937A7" w:rsidP="00C937A7">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T2 </w:t>
            </w:r>
          </w:p>
        </w:tc>
        <w:tc>
          <w:tcPr>
            <w:tcW w:w="709" w:type="dxa"/>
            <w:tcBorders>
              <w:top w:val="single" w:sz="4" w:space="0" w:color="auto"/>
              <w:left w:val="nil"/>
              <w:bottom w:val="single" w:sz="4" w:space="0" w:color="auto"/>
              <w:right w:val="single" w:sz="4" w:space="0" w:color="auto"/>
            </w:tcBorders>
            <w:shd w:val="clear" w:color="auto" w:fill="C6EFCE"/>
            <w:noWrap/>
          </w:tcPr>
          <w:p w14:paraId="0EC9B6C5" w14:textId="77777777" w:rsidR="00C937A7" w:rsidRPr="00C06CD5" w:rsidRDefault="00C937A7" w:rsidP="00C937A7">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2022</w:t>
            </w:r>
          </w:p>
        </w:tc>
        <w:tc>
          <w:tcPr>
            <w:tcW w:w="2977" w:type="dxa"/>
            <w:tcBorders>
              <w:top w:val="single" w:sz="4" w:space="0" w:color="auto"/>
              <w:left w:val="nil"/>
              <w:bottom w:val="single" w:sz="4" w:space="0" w:color="auto"/>
              <w:right w:val="single" w:sz="4" w:space="0" w:color="auto"/>
            </w:tcBorders>
            <w:shd w:val="clear" w:color="auto" w:fill="C6EFCE"/>
            <w:noWrap/>
          </w:tcPr>
          <w:p w14:paraId="6B756F77" w14:textId="1832EE81" w:rsidR="00C937A7" w:rsidRPr="00C06CD5" w:rsidDel="007A20FD" w:rsidRDefault="00C937A7" w:rsidP="00C937A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Процедурите за възлагане на обществени поръчки се провеждат чрез открита и конкурентна тръжна процедура.</w:t>
            </w:r>
          </w:p>
          <w:p w14:paraId="13422883" w14:textId="77777777" w:rsidR="00C937A7" w:rsidRPr="00C06CD5" w:rsidRDefault="00C937A7" w:rsidP="00C937A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Провеждат се две процедури за възлагане на обществени поръчки със следните теми:</w:t>
            </w:r>
          </w:p>
          <w:p w14:paraId="6C18DBDD" w14:textId="1A2AA9A0" w:rsidR="00C937A7" w:rsidRPr="00C06CD5" w:rsidRDefault="00C937A7" w:rsidP="008B0F39">
            <w:pPr>
              <w:pStyle w:val="ListParagraph"/>
              <w:numPr>
                <w:ilvl w:val="0"/>
                <w:numId w:val="28"/>
              </w:numPr>
              <w:spacing w:after="0" w:line="240" w:lineRule="auto"/>
              <w:ind w:left="359"/>
              <w:rPr>
                <w:rFonts w:ascii="Times New Roman" w:eastAsia="Times New Roman" w:hAnsi="Times New Roman" w:cs="Times New Roman"/>
                <w:noProof/>
                <w:color w:val="006100"/>
                <w:sz w:val="20"/>
                <w:szCs w:val="20"/>
              </w:rPr>
            </w:pPr>
            <w:r>
              <w:rPr>
                <w:rFonts w:ascii="Times New Roman" w:hAnsi="Times New Roman"/>
                <w:noProof/>
                <w:color w:val="006100"/>
                <w:sz w:val="20"/>
              </w:rPr>
              <w:t>Изграждане, развитие и оптимизиране на цифровата система TETRA и микровълнова мрежа, управлявани от Министерството на вътрешните работи, необходими за изграждането ѝ като единна радиокомуникационна система за осигуряване на комуникационна среда за управление, взаимодействие и координация на държавните звена;</w:t>
            </w:r>
          </w:p>
          <w:p w14:paraId="10B7A8EC" w14:textId="77777777" w:rsidR="00C937A7" w:rsidRPr="00C06CD5" w:rsidRDefault="00C937A7" w:rsidP="008B0F39">
            <w:pPr>
              <w:pStyle w:val="ListParagraph"/>
              <w:numPr>
                <w:ilvl w:val="0"/>
                <w:numId w:val="28"/>
              </w:numPr>
              <w:spacing w:after="0" w:line="240" w:lineRule="auto"/>
              <w:ind w:left="359"/>
              <w:rPr>
                <w:rFonts w:ascii="Times New Roman" w:eastAsia="Times New Roman" w:hAnsi="Times New Roman" w:cs="Times New Roman"/>
                <w:noProof/>
                <w:color w:val="006100"/>
                <w:sz w:val="20"/>
                <w:szCs w:val="20"/>
              </w:rPr>
            </w:pPr>
            <w:r>
              <w:rPr>
                <w:rFonts w:ascii="Times New Roman" w:hAnsi="Times New Roman"/>
                <w:noProof/>
                <w:color w:val="006100"/>
                <w:sz w:val="20"/>
              </w:rPr>
              <w:t>Доставка на терминални устройства и оборудване, необходими за добавяне на 14 000 абонати от всички държавни институции към мрежата TETRA.</w:t>
            </w:r>
          </w:p>
        </w:tc>
      </w:tr>
      <w:tr w:rsidR="00A41235" w:rsidRPr="005241FC" w14:paraId="1B964241" w14:textId="77777777" w:rsidTr="78112151">
        <w:trPr>
          <w:trHeight w:val="309"/>
        </w:trPr>
        <w:tc>
          <w:tcPr>
            <w:tcW w:w="708" w:type="dxa"/>
            <w:tcBorders>
              <w:top w:val="single" w:sz="4" w:space="0" w:color="auto"/>
              <w:left w:val="single" w:sz="4" w:space="0" w:color="auto"/>
              <w:bottom w:val="single" w:sz="4" w:space="0" w:color="auto"/>
              <w:right w:val="single" w:sz="4" w:space="0" w:color="auto"/>
            </w:tcBorders>
            <w:shd w:val="clear" w:color="auto" w:fill="C6EFCE"/>
            <w:noWrap/>
          </w:tcPr>
          <w:p w14:paraId="2BA2916E" w14:textId="076C02E4" w:rsidR="00C937A7" w:rsidRPr="00C06CD5" w:rsidRDefault="00212532" w:rsidP="00C937A7">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149</w:t>
            </w:r>
          </w:p>
        </w:tc>
        <w:tc>
          <w:tcPr>
            <w:tcW w:w="1842" w:type="dxa"/>
            <w:tcBorders>
              <w:top w:val="single" w:sz="4" w:space="0" w:color="auto"/>
              <w:left w:val="nil"/>
              <w:bottom w:val="single" w:sz="4" w:space="0" w:color="auto"/>
              <w:right w:val="single" w:sz="4" w:space="0" w:color="auto"/>
            </w:tcBorders>
            <w:shd w:val="clear" w:color="auto" w:fill="C6EFCE"/>
            <w:noWrap/>
          </w:tcPr>
          <w:p w14:paraId="16B1FE9B" w14:textId="67D84126" w:rsidR="00C937A7" w:rsidRPr="00C06CD5" w:rsidRDefault="00152560" w:rsidP="00C937A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C7.I2: Изграждане, развитие и оптимизиране на цифровата система TETRA и радиорелейната мрежа</w:t>
            </w:r>
          </w:p>
        </w:tc>
        <w:tc>
          <w:tcPr>
            <w:tcW w:w="1267" w:type="dxa"/>
            <w:tcBorders>
              <w:top w:val="single" w:sz="4" w:space="0" w:color="auto"/>
              <w:left w:val="nil"/>
              <w:bottom w:val="single" w:sz="4" w:space="0" w:color="auto"/>
              <w:right w:val="single" w:sz="4" w:space="0" w:color="auto"/>
            </w:tcBorders>
            <w:shd w:val="clear" w:color="auto" w:fill="C6EFCE"/>
            <w:noWrap/>
          </w:tcPr>
          <w:p w14:paraId="45814B63" w14:textId="77777777" w:rsidR="00C937A7" w:rsidRPr="00C06CD5" w:rsidRDefault="00C937A7" w:rsidP="00C937A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Цел</w:t>
            </w:r>
          </w:p>
        </w:tc>
        <w:tc>
          <w:tcPr>
            <w:tcW w:w="1786" w:type="dxa"/>
            <w:tcBorders>
              <w:top w:val="single" w:sz="4" w:space="0" w:color="auto"/>
              <w:left w:val="nil"/>
              <w:bottom w:val="single" w:sz="4" w:space="0" w:color="auto"/>
              <w:right w:val="single" w:sz="4" w:space="0" w:color="auto"/>
            </w:tcBorders>
            <w:shd w:val="clear" w:color="auto" w:fill="C6EFCE"/>
            <w:noWrap/>
          </w:tcPr>
          <w:p w14:paraId="0C35EEF5" w14:textId="77777777" w:rsidR="00C937A7" w:rsidRPr="00C06CD5" w:rsidRDefault="00C937A7" w:rsidP="00C937A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Доставени устройства и оборудване за крайния потребител</w:t>
            </w:r>
          </w:p>
        </w:tc>
        <w:tc>
          <w:tcPr>
            <w:tcW w:w="1791" w:type="dxa"/>
            <w:tcBorders>
              <w:top w:val="single" w:sz="4" w:space="0" w:color="auto"/>
              <w:left w:val="nil"/>
              <w:bottom w:val="single" w:sz="4" w:space="0" w:color="auto"/>
              <w:right w:val="single" w:sz="4" w:space="0" w:color="auto"/>
            </w:tcBorders>
            <w:shd w:val="clear" w:color="auto" w:fill="C6EFCE"/>
            <w:noWrap/>
          </w:tcPr>
          <w:p w14:paraId="0C1CE641" w14:textId="1FE97895" w:rsidR="00C937A7" w:rsidRPr="008A0F8A" w:rsidRDefault="00C937A7" w:rsidP="00C937A7">
            <w:pPr>
              <w:spacing w:after="0" w:line="240" w:lineRule="auto"/>
              <w:rPr>
                <w:rFonts w:ascii="Times New Roman" w:eastAsia="Times New Roman" w:hAnsi="Times New Roman" w:cs="Times New Roman"/>
                <w:noProof/>
                <w:color w:val="006100"/>
                <w:sz w:val="20"/>
                <w:szCs w:val="20"/>
                <w:lang w:val="ru-RU" w:eastAsia="en-GB"/>
              </w:rPr>
            </w:pPr>
          </w:p>
        </w:tc>
        <w:tc>
          <w:tcPr>
            <w:tcW w:w="1099" w:type="dxa"/>
            <w:tcBorders>
              <w:top w:val="single" w:sz="4" w:space="0" w:color="auto"/>
              <w:left w:val="nil"/>
              <w:bottom w:val="single" w:sz="4" w:space="0" w:color="auto"/>
              <w:right w:val="single" w:sz="4" w:space="0" w:color="auto"/>
            </w:tcBorders>
            <w:shd w:val="clear" w:color="auto" w:fill="C6EFCE"/>
            <w:noWrap/>
          </w:tcPr>
          <w:p w14:paraId="4BB9F666" w14:textId="77777777" w:rsidR="00C937A7" w:rsidRPr="00C06CD5" w:rsidRDefault="00C937A7" w:rsidP="00C937A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Брой </w:t>
            </w:r>
          </w:p>
        </w:tc>
        <w:tc>
          <w:tcPr>
            <w:tcW w:w="1005" w:type="dxa"/>
            <w:tcBorders>
              <w:top w:val="single" w:sz="4" w:space="0" w:color="auto"/>
              <w:left w:val="nil"/>
              <w:bottom w:val="single" w:sz="4" w:space="0" w:color="auto"/>
              <w:right w:val="single" w:sz="4" w:space="0" w:color="auto"/>
            </w:tcBorders>
            <w:shd w:val="clear" w:color="auto" w:fill="C6EFCE"/>
            <w:noWrap/>
          </w:tcPr>
          <w:p w14:paraId="382E7608" w14:textId="5C574FEB" w:rsidR="00C937A7" w:rsidRPr="00C06CD5" w:rsidRDefault="001C00FB" w:rsidP="00C937A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20000</w:t>
            </w:r>
          </w:p>
        </w:tc>
        <w:tc>
          <w:tcPr>
            <w:tcW w:w="921" w:type="dxa"/>
            <w:tcBorders>
              <w:top w:val="single" w:sz="4" w:space="0" w:color="auto"/>
              <w:left w:val="nil"/>
              <w:bottom w:val="single" w:sz="4" w:space="0" w:color="auto"/>
              <w:right w:val="single" w:sz="4" w:space="0" w:color="auto"/>
            </w:tcBorders>
            <w:shd w:val="clear" w:color="auto" w:fill="C6EFCE"/>
            <w:noWrap/>
          </w:tcPr>
          <w:p w14:paraId="6972D59D" w14:textId="43CBF102" w:rsidR="00C937A7" w:rsidRPr="00C06CD5" w:rsidRDefault="001C00FB" w:rsidP="00C937A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34000</w:t>
            </w:r>
          </w:p>
        </w:tc>
        <w:tc>
          <w:tcPr>
            <w:tcW w:w="921" w:type="dxa"/>
            <w:tcBorders>
              <w:top w:val="single" w:sz="4" w:space="0" w:color="auto"/>
              <w:left w:val="nil"/>
              <w:bottom w:val="single" w:sz="4" w:space="0" w:color="auto"/>
              <w:right w:val="single" w:sz="4" w:space="0" w:color="auto"/>
            </w:tcBorders>
            <w:shd w:val="clear" w:color="auto" w:fill="C6EFCE"/>
            <w:noWrap/>
          </w:tcPr>
          <w:p w14:paraId="7579D787" w14:textId="77777777" w:rsidR="00C937A7" w:rsidRPr="00C06CD5" w:rsidRDefault="00C937A7" w:rsidP="00C937A7">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T2 </w:t>
            </w:r>
          </w:p>
        </w:tc>
        <w:tc>
          <w:tcPr>
            <w:tcW w:w="709" w:type="dxa"/>
            <w:tcBorders>
              <w:top w:val="single" w:sz="4" w:space="0" w:color="auto"/>
              <w:left w:val="nil"/>
              <w:bottom w:val="single" w:sz="4" w:space="0" w:color="auto"/>
              <w:right w:val="single" w:sz="4" w:space="0" w:color="auto"/>
            </w:tcBorders>
            <w:shd w:val="clear" w:color="auto" w:fill="C6EFCE"/>
            <w:noWrap/>
          </w:tcPr>
          <w:p w14:paraId="5E4E3AAC" w14:textId="77777777" w:rsidR="00C937A7" w:rsidRPr="00C06CD5" w:rsidRDefault="00C937A7" w:rsidP="00C937A7">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2024</w:t>
            </w:r>
          </w:p>
        </w:tc>
        <w:tc>
          <w:tcPr>
            <w:tcW w:w="2977" w:type="dxa"/>
            <w:tcBorders>
              <w:top w:val="single" w:sz="4" w:space="0" w:color="auto"/>
              <w:left w:val="nil"/>
              <w:bottom w:val="single" w:sz="4" w:space="0" w:color="auto"/>
              <w:right w:val="single" w:sz="4" w:space="0" w:color="auto"/>
            </w:tcBorders>
            <w:shd w:val="clear" w:color="auto" w:fill="C6EFCE"/>
            <w:noWrap/>
          </w:tcPr>
          <w:p w14:paraId="7A2DB039" w14:textId="77777777" w:rsidR="00C937A7" w:rsidRPr="00C06CD5" w:rsidRDefault="00C937A7" w:rsidP="00C937A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Предоставят се устройства и софтуер за крайни потребители за свързване на радиотерминалите TETRA за нуждите на всички държавни институции за работа в системата TETRA. Устройствата за крайни потребители се използват за добавяне на нови абонати от държавните институции.</w:t>
            </w:r>
          </w:p>
          <w:p w14:paraId="45CE6F72" w14:textId="77777777" w:rsidR="00C937A7" w:rsidRPr="00C06CD5" w:rsidRDefault="00C937A7" w:rsidP="00C937A7">
            <w:pPr>
              <w:spacing w:after="0" w:line="240" w:lineRule="auto"/>
              <w:rPr>
                <w:rFonts w:ascii="Times New Roman" w:eastAsia="Times New Roman" w:hAnsi="Times New Roman" w:cs="Times New Roman"/>
                <w:noProof/>
                <w:color w:val="385623"/>
                <w:sz w:val="20"/>
                <w:szCs w:val="20"/>
              </w:rPr>
            </w:pPr>
            <w:r>
              <w:rPr>
                <w:rFonts w:ascii="Times New Roman" w:hAnsi="Times New Roman"/>
                <w:noProof/>
                <w:color w:val="006100"/>
                <w:sz w:val="20"/>
              </w:rPr>
              <w:t>Базовата линия от 20 000 се отнася до броя на терминалите/устройствата за крайни потребители, доставени през първата половина на 2022 г.</w:t>
            </w:r>
            <w:r>
              <w:rPr>
                <w:rFonts w:ascii="Times New Roman" w:hAnsi="Times New Roman"/>
                <w:noProof/>
                <w:color w:val="385623"/>
                <w:sz w:val="20"/>
              </w:rPr>
              <w:t xml:space="preserve"> </w:t>
            </w:r>
          </w:p>
        </w:tc>
      </w:tr>
      <w:tr w:rsidR="00A41235" w:rsidRPr="00562D16" w14:paraId="54C92202" w14:textId="77777777" w:rsidTr="78112151">
        <w:trPr>
          <w:trHeight w:val="309"/>
        </w:trPr>
        <w:tc>
          <w:tcPr>
            <w:tcW w:w="708" w:type="dxa"/>
            <w:tcBorders>
              <w:top w:val="single" w:sz="4" w:space="0" w:color="auto"/>
              <w:left w:val="single" w:sz="4" w:space="0" w:color="auto"/>
              <w:bottom w:val="single" w:sz="4" w:space="0" w:color="auto"/>
              <w:right w:val="single" w:sz="4" w:space="0" w:color="auto"/>
            </w:tcBorders>
            <w:shd w:val="clear" w:color="auto" w:fill="C6EFCE"/>
            <w:noWrap/>
          </w:tcPr>
          <w:p w14:paraId="6E788948" w14:textId="212FA9F9" w:rsidR="00C937A7" w:rsidRPr="00C06CD5" w:rsidRDefault="00212532" w:rsidP="00C937A7">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150</w:t>
            </w:r>
          </w:p>
        </w:tc>
        <w:tc>
          <w:tcPr>
            <w:tcW w:w="1842" w:type="dxa"/>
            <w:tcBorders>
              <w:top w:val="single" w:sz="4" w:space="0" w:color="auto"/>
              <w:left w:val="nil"/>
              <w:bottom w:val="single" w:sz="4" w:space="0" w:color="auto"/>
              <w:right w:val="single" w:sz="4" w:space="0" w:color="auto"/>
            </w:tcBorders>
            <w:shd w:val="clear" w:color="auto" w:fill="C6EFCE"/>
            <w:noWrap/>
          </w:tcPr>
          <w:p w14:paraId="21378EE9" w14:textId="36312219" w:rsidR="00C937A7" w:rsidRPr="00C06CD5" w:rsidRDefault="00152560" w:rsidP="00C937A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C7.I2: Изграждане, развитие и оптимизиране на цифровата система TETRA и радиорелейната мрежа</w:t>
            </w:r>
          </w:p>
        </w:tc>
        <w:tc>
          <w:tcPr>
            <w:tcW w:w="1267" w:type="dxa"/>
            <w:tcBorders>
              <w:top w:val="single" w:sz="4" w:space="0" w:color="auto"/>
              <w:left w:val="nil"/>
              <w:bottom w:val="single" w:sz="4" w:space="0" w:color="auto"/>
              <w:right w:val="single" w:sz="4" w:space="0" w:color="auto"/>
            </w:tcBorders>
            <w:shd w:val="clear" w:color="auto" w:fill="C6EFCE"/>
            <w:noWrap/>
          </w:tcPr>
          <w:p w14:paraId="6B724EF1" w14:textId="77777777" w:rsidR="00C937A7" w:rsidRPr="00C06CD5" w:rsidRDefault="00C937A7" w:rsidP="00C937A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Цел</w:t>
            </w:r>
          </w:p>
        </w:tc>
        <w:tc>
          <w:tcPr>
            <w:tcW w:w="1786" w:type="dxa"/>
            <w:tcBorders>
              <w:top w:val="single" w:sz="4" w:space="0" w:color="auto"/>
              <w:left w:val="nil"/>
              <w:bottom w:val="single" w:sz="4" w:space="0" w:color="auto"/>
              <w:right w:val="single" w:sz="4" w:space="0" w:color="auto"/>
            </w:tcBorders>
            <w:shd w:val="clear" w:color="auto" w:fill="C6EFCE"/>
            <w:noWrap/>
          </w:tcPr>
          <w:p w14:paraId="1B4B6CA3" w14:textId="77777777" w:rsidR="00C937A7" w:rsidRPr="00C06CD5" w:rsidRDefault="00C937A7" w:rsidP="00C937A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Доставени, инсталирани, интегрирани и пуснати в експлоатация нови стационарни, компактни и мобилни базови станции</w:t>
            </w:r>
          </w:p>
        </w:tc>
        <w:tc>
          <w:tcPr>
            <w:tcW w:w="1791" w:type="dxa"/>
            <w:tcBorders>
              <w:top w:val="single" w:sz="4" w:space="0" w:color="auto"/>
              <w:left w:val="nil"/>
              <w:bottom w:val="single" w:sz="4" w:space="0" w:color="auto"/>
              <w:right w:val="single" w:sz="4" w:space="0" w:color="auto"/>
            </w:tcBorders>
            <w:shd w:val="clear" w:color="auto" w:fill="C6EFCE"/>
            <w:noWrap/>
          </w:tcPr>
          <w:p w14:paraId="37937112" w14:textId="4BEE5629" w:rsidR="00C937A7" w:rsidRPr="008A0F8A" w:rsidRDefault="00C937A7" w:rsidP="00C937A7">
            <w:pPr>
              <w:spacing w:after="0" w:line="240" w:lineRule="auto"/>
              <w:rPr>
                <w:rFonts w:ascii="Times New Roman" w:eastAsia="Times New Roman" w:hAnsi="Times New Roman" w:cs="Times New Roman"/>
                <w:noProof/>
                <w:color w:val="006100"/>
                <w:sz w:val="20"/>
                <w:szCs w:val="20"/>
                <w:lang w:val="ru-RU" w:eastAsia="en-GB"/>
              </w:rPr>
            </w:pPr>
          </w:p>
        </w:tc>
        <w:tc>
          <w:tcPr>
            <w:tcW w:w="1099" w:type="dxa"/>
            <w:tcBorders>
              <w:top w:val="single" w:sz="4" w:space="0" w:color="auto"/>
              <w:left w:val="nil"/>
              <w:bottom w:val="single" w:sz="4" w:space="0" w:color="auto"/>
              <w:right w:val="single" w:sz="4" w:space="0" w:color="auto"/>
            </w:tcBorders>
            <w:shd w:val="clear" w:color="auto" w:fill="C6EFCE"/>
            <w:noWrap/>
          </w:tcPr>
          <w:p w14:paraId="2E65A0CC" w14:textId="77777777" w:rsidR="00C937A7" w:rsidRPr="00C06CD5" w:rsidRDefault="00C937A7" w:rsidP="00C937A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Брой</w:t>
            </w:r>
          </w:p>
        </w:tc>
        <w:tc>
          <w:tcPr>
            <w:tcW w:w="1005" w:type="dxa"/>
            <w:tcBorders>
              <w:top w:val="single" w:sz="4" w:space="0" w:color="auto"/>
              <w:left w:val="nil"/>
              <w:bottom w:val="single" w:sz="4" w:space="0" w:color="auto"/>
              <w:right w:val="single" w:sz="4" w:space="0" w:color="auto"/>
            </w:tcBorders>
            <w:shd w:val="clear" w:color="auto" w:fill="C6EFCE"/>
            <w:noWrap/>
          </w:tcPr>
          <w:p w14:paraId="0BD6831C" w14:textId="77777777" w:rsidR="00C937A7" w:rsidRPr="00C06CD5" w:rsidRDefault="00C937A7" w:rsidP="00C937A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0</w:t>
            </w:r>
          </w:p>
        </w:tc>
        <w:tc>
          <w:tcPr>
            <w:tcW w:w="921" w:type="dxa"/>
            <w:tcBorders>
              <w:top w:val="single" w:sz="4" w:space="0" w:color="auto"/>
              <w:left w:val="nil"/>
              <w:bottom w:val="single" w:sz="4" w:space="0" w:color="auto"/>
              <w:right w:val="single" w:sz="4" w:space="0" w:color="auto"/>
            </w:tcBorders>
            <w:shd w:val="clear" w:color="auto" w:fill="C6EFCE"/>
            <w:noWrap/>
          </w:tcPr>
          <w:p w14:paraId="3F708A36" w14:textId="77777777" w:rsidR="00C937A7" w:rsidRPr="00C06CD5" w:rsidRDefault="00C937A7" w:rsidP="00C937A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109</w:t>
            </w:r>
          </w:p>
        </w:tc>
        <w:tc>
          <w:tcPr>
            <w:tcW w:w="921" w:type="dxa"/>
            <w:tcBorders>
              <w:top w:val="single" w:sz="4" w:space="0" w:color="auto"/>
              <w:left w:val="nil"/>
              <w:bottom w:val="single" w:sz="4" w:space="0" w:color="auto"/>
              <w:right w:val="single" w:sz="4" w:space="0" w:color="auto"/>
            </w:tcBorders>
            <w:shd w:val="clear" w:color="auto" w:fill="C6EFCE"/>
            <w:noWrap/>
          </w:tcPr>
          <w:p w14:paraId="5B730691" w14:textId="77777777" w:rsidR="00C937A7" w:rsidRPr="00C06CD5" w:rsidRDefault="00C937A7" w:rsidP="00C937A7">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T4</w:t>
            </w:r>
          </w:p>
        </w:tc>
        <w:tc>
          <w:tcPr>
            <w:tcW w:w="709" w:type="dxa"/>
            <w:tcBorders>
              <w:top w:val="single" w:sz="4" w:space="0" w:color="auto"/>
              <w:left w:val="nil"/>
              <w:bottom w:val="single" w:sz="4" w:space="0" w:color="auto"/>
              <w:right w:val="single" w:sz="4" w:space="0" w:color="auto"/>
            </w:tcBorders>
            <w:shd w:val="clear" w:color="auto" w:fill="C6EFCE"/>
            <w:noWrap/>
          </w:tcPr>
          <w:p w14:paraId="66CFD76B" w14:textId="77777777" w:rsidR="00C937A7" w:rsidRPr="00C06CD5" w:rsidRDefault="00C937A7" w:rsidP="00C937A7">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2024</w:t>
            </w:r>
          </w:p>
        </w:tc>
        <w:tc>
          <w:tcPr>
            <w:tcW w:w="2977" w:type="dxa"/>
            <w:tcBorders>
              <w:top w:val="single" w:sz="4" w:space="0" w:color="auto"/>
              <w:left w:val="nil"/>
              <w:bottom w:val="single" w:sz="4" w:space="0" w:color="auto"/>
              <w:right w:val="single" w:sz="4" w:space="0" w:color="auto"/>
            </w:tcBorders>
            <w:shd w:val="clear" w:color="auto" w:fill="C6EFCE"/>
            <w:noWrap/>
          </w:tcPr>
          <w:p w14:paraId="4E880F8B" w14:textId="77777777" w:rsidR="00C937A7" w:rsidRPr="00C06CD5" w:rsidRDefault="00C937A7" w:rsidP="00C937A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Нови стационарни, компактни и мобилни базови станции по стандарта TETRA или негов еквивалент се доставят, инсталират, въвеждат в експлоатация и се интегрират в съществуващата цифрова клетъчна радиосистема на Министерството на вътрешните работи. Това включва проектирането, изграждането, свързването и интегрирането.</w:t>
            </w:r>
          </w:p>
        </w:tc>
      </w:tr>
    </w:tbl>
    <w:p w14:paraId="265C65F5" w14:textId="77777777" w:rsidR="00BD5885" w:rsidRPr="00562D16" w:rsidRDefault="00BD5885" w:rsidP="00BD5885">
      <w:pPr>
        <w:spacing w:before="120" w:after="120" w:line="240" w:lineRule="auto"/>
        <w:jc w:val="both"/>
        <w:rPr>
          <w:rFonts w:ascii="Times New Roman" w:eastAsia="Calibri" w:hAnsi="Times New Roman" w:cs="Times New Roman"/>
          <w:noProof/>
          <w:sz w:val="24"/>
          <w:szCs w:val="24"/>
          <w:lang w:val="en-GB"/>
        </w:rPr>
        <w:sectPr w:rsidR="00BD5885" w:rsidRPr="00562D16" w:rsidSect="00CE52D1">
          <w:headerReference w:type="even" r:id="rId96"/>
          <w:headerReference w:type="default" r:id="rId97"/>
          <w:footerReference w:type="even" r:id="rId98"/>
          <w:footerReference w:type="default" r:id="rId99"/>
          <w:headerReference w:type="first" r:id="rId100"/>
          <w:footerReference w:type="first" r:id="rId101"/>
          <w:pgSz w:w="16839" w:h="11907" w:orient="landscape"/>
          <w:pgMar w:top="1418" w:right="1134" w:bottom="1418" w:left="1134" w:header="709" w:footer="709" w:gutter="0"/>
          <w:cols w:space="720"/>
          <w:docGrid w:linePitch="360"/>
        </w:sectPr>
      </w:pPr>
    </w:p>
    <w:p w14:paraId="03915160" w14:textId="77777777" w:rsidR="00CD7144" w:rsidRPr="00562D16" w:rsidRDefault="001F2C01" w:rsidP="00CD7144">
      <w:pPr>
        <w:keepNext/>
        <w:spacing w:before="360" w:after="120" w:line="240" w:lineRule="auto"/>
        <w:jc w:val="both"/>
        <w:outlineLvl w:val="0"/>
        <w:rPr>
          <w:rFonts w:ascii="Times New Roman" w:eastAsia="Calibri" w:hAnsi="Times New Roman" w:cs="Times New Roman"/>
          <w:b/>
          <w:bCs/>
          <w:smallCaps/>
          <w:noProof/>
          <w:sz w:val="24"/>
          <w:szCs w:val="24"/>
        </w:rPr>
      </w:pPr>
      <w:r>
        <w:rPr>
          <w:rFonts w:ascii="Times New Roman" w:hAnsi="Times New Roman"/>
          <w:b/>
          <w:smallCaps/>
          <w:noProof/>
          <w:sz w:val="24"/>
        </w:rPr>
        <w:tab/>
        <w:t>З. КОМПОНЕНТ 8: Устойчив транспорт</w:t>
      </w:r>
    </w:p>
    <w:p w14:paraId="78EB7017" w14:textId="77777777" w:rsidR="00CD7144" w:rsidRPr="00562D16" w:rsidRDefault="00CD7144" w:rsidP="000750E7">
      <w:pPr>
        <w:spacing w:line="256" w:lineRule="auto"/>
        <w:ind w:left="851"/>
        <w:jc w:val="both"/>
        <w:rPr>
          <w:rFonts w:ascii="Times New Roman" w:eastAsia="Times New Roman" w:hAnsi="Times New Roman" w:cs="Times New Roman"/>
          <w:noProof/>
          <w:sz w:val="24"/>
          <w:szCs w:val="24"/>
        </w:rPr>
      </w:pPr>
      <w:r>
        <w:rPr>
          <w:rFonts w:ascii="Times New Roman" w:hAnsi="Times New Roman"/>
          <w:noProof/>
          <w:sz w:val="24"/>
        </w:rPr>
        <w:t>Основната цел на компонента е да се повиши устойчивостта на транспортния сектор чрез реформиране на автомобилния и железопътния сектор, насърчаване на превозните средства с нулеви емисии, повишаване на безопасността на движението по пътищата и инвестиране в железопътния и интермодалния транспорт и устойчивата градска мобилност.</w:t>
      </w:r>
      <w:r>
        <w:rPr>
          <w:rFonts w:ascii="Times New Roman" w:hAnsi="Times New Roman"/>
          <w:noProof/>
        </w:rPr>
        <w:t xml:space="preserve"> </w:t>
      </w:r>
      <w:r>
        <w:rPr>
          <w:rFonts w:ascii="Times New Roman" w:hAnsi="Times New Roman"/>
          <w:noProof/>
          <w:sz w:val="24"/>
        </w:rPr>
        <w:t>Това включва инвестиции в модернизацията и цифровизацията на железопътния транспорт, нов подвижен състав с нулеви емисии, внедряване на Европейска система за управление на железопътното движение и чист обществен транспорт. Очаква се компонентът да допринесе за екологичния и цифровия преход, както и за по-балансиран териториален растеж.</w:t>
      </w:r>
    </w:p>
    <w:p w14:paraId="7B38269A" w14:textId="77777777" w:rsidR="00CD7144" w:rsidRPr="00562D16" w:rsidRDefault="00CD7144" w:rsidP="000750E7">
      <w:pPr>
        <w:spacing w:line="256" w:lineRule="auto"/>
        <w:ind w:left="851"/>
        <w:jc w:val="both"/>
        <w:rPr>
          <w:rFonts w:ascii="Times New Roman" w:eastAsia="Times New Roman" w:hAnsi="Times New Roman" w:cs="Times New Roman"/>
          <w:noProof/>
          <w:sz w:val="24"/>
          <w:szCs w:val="24"/>
        </w:rPr>
      </w:pPr>
      <w:r>
        <w:rPr>
          <w:rFonts w:ascii="Times New Roman" w:hAnsi="Times New Roman"/>
          <w:noProof/>
          <w:sz w:val="24"/>
        </w:rPr>
        <w:t>Очаква се реформите и инвестициите по компонент 8 „Устойчив транспорт“ да допринесат за изпълнението на специфичните за държавата препоръки, отправени към България през 2019 г. и 2020 г., относно необходимостта инвестициите да бъдат съсредоточени в устойчивия транспорт.</w:t>
      </w:r>
    </w:p>
    <w:p w14:paraId="342DD2B7" w14:textId="41FD517E" w:rsidR="00CD7144" w:rsidRPr="00562D16" w:rsidRDefault="00CD7144" w:rsidP="000750E7">
      <w:pPr>
        <w:spacing w:line="256" w:lineRule="auto"/>
        <w:ind w:left="851"/>
        <w:jc w:val="both"/>
        <w:rPr>
          <w:rFonts w:ascii="Times New Roman" w:eastAsia="Times New Roman" w:hAnsi="Times New Roman" w:cs="Times New Roman"/>
          <w:noProof/>
          <w:sz w:val="24"/>
          <w:szCs w:val="24"/>
        </w:rPr>
      </w:pPr>
      <w:r>
        <w:rPr>
          <w:rFonts w:ascii="Times New Roman" w:hAnsi="Times New Roman"/>
          <w:noProof/>
          <w:sz w:val="24"/>
        </w:rPr>
        <w:t>Очаква се, че нито една от мерките в този компонент не нанася значителни вреди за екологичните цели по смисъла на член 17 от Регламент (ЕС) 2020/852, като се вземе предвид описанието на мерките в плана за възстановяване и устойчивост в съответствие с Техническите насоки за прилагането на принципа за „ненанасяне на значителни вреди“ (2021/C 58/01).</w:t>
      </w:r>
      <w:r>
        <w:rPr>
          <w:rFonts w:ascii="Times New Roman" w:hAnsi="Times New Roman"/>
          <w:noProof/>
        </w:rPr>
        <w:t xml:space="preserve"> </w:t>
      </w:r>
    </w:p>
    <w:p w14:paraId="5CF97831" w14:textId="77777777" w:rsidR="00CD7144" w:rsidRPr="008A0F8A" w:rsidRDefault="00CD7144" w:rsidP="00CD7144">
      <w:pPr>
        <w:spacing w:before="120" w:after="120" w:line="240" w:lineRule="auto"/>
        <w:ind w:left="850"/>
        <w:jc w:val="both"/>
        <w:rPr>
          <w:rFonts w:ascii="Times New Roman" w:eastAsia="Calibri" w:hAnsi="Times New Roman" w:cs="Times New Roman"/>
          <w:noProof/>
          <w:sz w:val="24"/>
          <w:szCs w:val="24"/>
          <w:lang w:val="ru-RU"/>
        </w:rPr>
      </w:pPr>
    </w:p>
    <w:p w14:paraId="6984D51A" w14:textId="2A1EE605" w:rsidR="00CD7144" w:rsidRPr="00A41235" w:rsidRDefault="00622861" w:rsidP="00A41235">
      <w:pPr>
        <w:spacing w:before="120" w:after="120" w:line="240" w:lineRule="auto"/>
        <w:ind w:left="709"/>
        <w:jc w:val="both"/>
        <w:rPr>
          <w:rFonts w:ascii="Times New Roman" w:eastAsia="Calibri" w:hAnsi="Times New Roman" w:cs="Times New Roman"/>
          <w:b/>
          <w:bCs/>
          <w:noProof/>
          <w:sz w:val="24"/>
          <w:szCs w:val="24"/>
          <w:u w:val="single"/>
        </w:rPr>
      </w:pPr>
      <w:r>
        <w:rPr>
          <w:rFonts w:ascii="Times New Roman" w:hAnsi="Times New Roman"/>
          <w:b/>
          <w:noProof/>
          <w:sz w:val="24"/>
          <w:u w:val="single"/>
        </w:rPr>
        <w:t>З</w:t>
      </w:r>
      <w:r w:rsidR="00CD7144">
        <w:rPr>
          <w:rFonts w:ascii="Times New Roman" w:hAnsi="Times New Roman"/>
          <w:b/>
          <w:noProof/>
          <w:sz w:val="24"/>
          <w:u w:val="single"/>
        </w:rPr>
        <w:t>.1 Описание на реформите и инвестициите за безвъзмездна финансова подкрепа</w:t>
      </w:r>
    </w:p>
    <w:p w14:paraId="27F03677" w14:textId="77777777" w:rsidR="00CD7144" w:rsidRPr="008A0F8A" w:rsidRDefault="00CD7144" w:rsidP="00CD7144">
      <w:pPr>
        <w:spacing w:before="120" w:after="120" w:line="240" w:lineRule="auto"/>
        <w:jc w:val="both"/>
        <w:rPr>
          <w:rFonts w:ascii="Times New Roman" w:eastAsia="Times New Roman" w:hAnsi="Times New Roman" w:cs="Times New Roman"/>
          <w:noProof/>
          <w:sz w:val="24"/>
          <w:szCs w:val="24"/>
          <w:u w:val="single"/>
          <w:lang w:val="ru-RU"/>
        </w:rPr>
      </w:pPr>
    </w:p>
    <w:p w14:paraId="45663BE9" w14:textId="2001C542" w:rsidR="00CD7144" w:rsidRPr="00562D16" w:rsidRDefault="00CD7144" w:rsidP="000750E7">
      <w:pPr>
        <w:spacing w:before="120" w:after="120" w:line="240" w:lineRule="auto"/>
        <w:ind w:left="851"/>
        <w:jc w:val="both"/>
        <w:rPr>
          <w:rFonts w:ascii="Times New Roman" w:eastAsia="Times New Roman" w:hAnsi="Times New Roman" w:cs="Times New Roman"/>
          <w:noProof/>
          <w:sz w:val="24"/>
          <w:szCs w:val="24"/>
          <w:u w:val="single"/>
        </w:rPr>
      </w:pPr>
      <w:r>
        <w:rPr>
          <w:rFonts w:ascii="Times New Roman" w:hAnsi="Times New Roman"/>
          <w:noProof/>
          <w:sz w:val="24"/>
          <w:u w:val="single"/>
        </w:rPr>
        <w:t>Реформа 1 (К8.Р1): Стратегическа рамка за транспорта</w:t>
      </w:r>
    </w:p>
    <w:p w14:paraId="7E153AD3" w14:textId="77777777" w:rsidR="00CD7144" w:rsidRPr="00562D16" w:rsidRDefault="00CD7144" w:rsidP="000750E7">
      <w:pPr>
        <w:spacing w:line="256" w:lineRule="auto"/>
        <w:ind w:left="851"/>
        <w:jc w:val="both"/>
        <w:rPr>
          <w:rFonts w:ascii="Times New Roman" w:eastAsia="Times New Roman" w:hAnsi="Times New Roman" w:cs="Times New Roman"/>
          <w:noProof/>
          <w:sz w:val="24"/>
          <w:szCs w:val="24"/>
        </w:rPr>
      </w:pPr>
      <w:r>
        <w:rPr>
          <w:rFonts w:ascii="Times New Roman" w:hAnsi="Times New Roman"/>
          <w:noProof/>
          <w:sz w:val="24"/>
        </w:rPr>
        <w:t>Реформата има за цел повишаване на устойчивостта на транспорта чрез актуализиране на националната стратегическа рамка в съответствие с Националната програма за развитие БЪЛГАРИЯ 2030 и определяне на конкретни цели за нейното изпълнение.</w:t>
      </w:r>
    </w:p>
    <w:p w14:paraId="0F7EA10C" w14:textId="77777777" w:rsidR="00CD7144" w:rsidRPr="00562D16" w:rsidDel="003810E4" w:rsidRDefault="00CD7144" w:rsidP="000750E7">
      <w:pPr>
        <w:spacing w:line="256" w:lineRule="auto"/>
        <w:ind w:left="851"/>
        <w:jc w:val="both"/>
        <w:rPr>
          <w:rFonts w:ascii="Times New Roman" w:eastAsia="Times New Roman" w:hAnsi="Times New Roman" w:cs="Times New Roman"/>
          <w:noProof/>
          <w:sz w:val="24"/>
          <w:szCs w:val="24"/>
        </w:rPr>
      </w:pPr>
      <w:r>
        <w:rPr>
          <w:rFonts w:ascii="Times New Roman" w:hAnsi="Times New Roman"/>
          <w:noProof/>
          <w:sz w:val="24"/>
        </w:rPr>
        <w:t>Тази реформа включва следните подмерки като основни области на интервенция:</w:t>
      </w:r>
    </w:p>
    <w:p w14:paraId="07F50E86" w14:textId="77777777" w:rsidR="00CD7144" w:rsidRPr="00562D16" w:rsidRDefault="00CD7144" w:rsidP="000750E7">
      <w:pPr>
        <w:spacing w:before="120" w:after="120" w:line="240" w:lineRule="auto"/>
        <w:ind w:left="851"/>
        <w:jc w:val="both"/>
        <w:rPr>
          <w:rFonts w:ascii="Times New Roman" w:eastAsia="Times New Roman" w:hAnsi="Times New Roman" w:cs="Times New Roman"/>
          <w:noProof/>
          <w:sz w:val="24"/>
          <w:szCs w:val="24"/>
          <w:u w:val="single"/>
        </w:rPr>
      </w:pPr>
      <w:r>
        <w:rPr>
          <w:rFonts w:ascii="Times New Roman" w:hAnsi="Times New Roman"/>
          <w:noProof/>
          <w:sz w:val="24"/>
          <w:u w:val="single"/>
        </w:rPr>
        <w:t>1.1 Комбиниран транспорт</w:t>
      </w:r>
    </w:p>
    <w:p w14:paraId="5F3AD0E4" w14:textId="1FE5DE53" w:rsidR="00CD7144" w:rsidRPr="00562D16" w:rsidRDefault="00CD7144" w:rsidP="000750E7">
      <w:pPr>
        <w:spacing w:before="120" w:after="120" w:line="240" w:lineRule="auto"/>
        <w:ind w:left="851"/>
        <w:jc w:val="both"/>
        <w:rPr>
          <w:rFonts w:ascii="Times New Roman" w:eastAsia="Times New Roman" w:hAnsi="Times New Roman" w:cs="Times New Roman"/>
          <w:noProof/>
          <w:color w:val="44546A" w:themeColor="text2"/>
          <w:sz w:val="24"/>
          <w:szCs w:val="24"/>
        </w:rPr>
      </w:pPr>
      <w:r>
        <w:rPr>
          <w:rFonts w:ascii="Times New Roman" w:hAnsi="Times New Roman"/>
          <w:noProof/>
          <w:sz w:val="24"/>
        </w:rPr>
        <w:t xml:space="preserve">Трябва да бъде разработен Национален план за развитие на комбинирания транспорт в България до 2030 г. с основна цел провеждане на политика за стимулиране и подпомагане на прехвърлянето на товарите към по-екологосъобразни видове транспорт. Планът трябва да включва пакет от целенасочени мерки за насърчаване на по-устойчив и по-малко замърсяващ транспорт, обхващащи (1) организационни и административни въпроси, (2) експлоатационни въпроси и подпомагане на услугата и (3) подобряване на инфраструктурата, включително оборудване на терминалите. </w:t>
      </w:r>
    </w:p>
    <w:p w14:paraId="6E6CAD17" w14:textId="77777777" w:rsidR="00CD7144" w:rsidRPr="00562D16" w:rsidRDefault="00CD7144" w:rsidP="000750E7">
      <w:pPr>
        <w:spacing w:before="120" w:after="120" w:line="240" w:lineRule="auto"/>
        <w:ind w:left="851"/>
        <w:jc w:val="both"/>
        <w:rPr>
          <w:rFonts w:ascii="Times New Roman" w:eastAsia="Times New Roman" w:hAnsi="Times New Roman" w:cs="Times New Roman"/>
          <w:noProof/>
          <w:sz w:val="24"/>
          <w:szCs w:val="24"/>
        </w:rPr>
      </w:pPr>
      <w:r>
        <w:rPr>
          <w:rFonts w:ascii="Times New Roman" w:hAnsi="Times New Roman"/>
          <w:noProof/>
          <w:sz w:val="24"/>
        </w:rPr>
        <w:t>Реформата трябва да приключи до 30 юни 2022 г.</w:t>
      </w:r>
    </w:p>
    <w:p w14:paraId="5A394BA2" w14:textId="77777777" w:rsidR="00CD7144" w:rsidRPr="008A0F8A" w:rsidRDefault="00CD7144" w:rsidP="000750E7">
      <w:pPr>
        <w:spacing w:before="120" w:after="120" w:line="240" w:lineRule="auto"/>
        <w:ind w:left="851"/>
        <w:jc w:val="both"/>
        <w:rPr>
          <w:rFonts w:ascii="Times New Roman" w:eastAsia="Times New Roman" w:hAnsi="Times New Roman" w:cs="Times New Roman"/>
          <w:noProof/>
          <w:sz w:val="24"/>
          <w:szCs w:val="24"/>
          <w:lang w:val="ru-RU"/>
        </w:rPr>
      </w:pPr>
    </w:p>
    <w:p w14:paraId="63175E7D" w14:textId="77777777" w:rsidR="00CD7144" w:rsidRPr="00562D16" w:rsidRDefault="00CD7144" w:rsidP="000750E7">
      <w:pPr>
        <w:spacing w:before="120" w:after="120" w:line="240" w:lineRule="auto"/>
        <w:ind w:left="851"/>
        <w:jc w:val="both"/>
        <w:rPr>
          <w:rFonts w:ascii="Times New Roman" w:eastAsia="Times New Roman" w:hAnsi="Times New Roman" w:cs="Times New Roman"/>
          <w:noProof/>
          <w:sz w:val="24"/>
          <w:szCs w:val="24"/>
          <w:u w:val="single"/>
        </w:rPr>
      </w:pPr>
      <w:r>
        <w:rPr>
          <w:rFonts w:ascii="Times New Roman" w:hAnsi="Times New Roman"/>
          <w:noProof/>
          <w:sz w:val="24"/>
          <w:u w:val="single"/>
        </w:rPr>
        <w:t>1.2 Железопътен сектор</w:t>
      </w:r>
    </w:p>
    <w:p w14:paraId="1290DD0C" w14:textId="77777777" w:rsidR="00CD7144" w:rsidRPr="00562D16" w:rsidRDefault="00CD7144" w:rsidP="000750E7">
      <w:pPr>
        <w:spacing w:before="120" w:after="120" w:line="240" w:lineRule="auto"/>
        <w:ind w:left="851"/>
        <w:jc w:val="both"/>
        <w:rPr>
          <w:rFonts w:ascii="Times New Roman" w:eastAsia="Times New Roman" w:hAnsi="Times New Roman" w:cs="Times New Roman"/>
          <w:noProof/>
          <w:sz w:val="24"/>
          <w:szCs w:val="24"/>
        </w:rPr>
      </w:pPr>
      <w:r>
        <w:rPr>
          <w:rFonts w:ascii="Times New Roman" w:hAnsi="Times New Roman"/>
          <w:noProof/>
          <w:sz w:val="24"/>
        </w:rPr>
        <w:t>Реформата трябва да допринесе за изпълнението на приоритетите в сектора на железопътния транспорт, определени в рамките на Националната програма за развитие БЪЛГАРИЯ 2030 и нейните тригодишни планове за действие.</w:t>
      </w:r>
    </w:p>
    <w:p w14:paraId="5A7CBD98" w14:textId="77777777" w:rsidR="00CD7144" w:rsidRPr="00562D16" w:rsidRDefault="00CD7144" w:rsidP="000750E7">
      <w:pPr>
        <w:spacing w:before="120" w:after="120" w:line="240" w:lineRule="auto"/>
        <w:ind w:left="851"/>
        <w:jc w:val="both"/>
        <w:rPr>
          <w:rFonts w:ascii="Times New Roman" w:eastAsia="Times New Roman" w:hAnsi="Times New Roman" w:cs="Times New Roman"/>
          <w:noProof/>
          <w:sz w:val="24"/>
          <w:szCs w:val="24"/>
        </w:rPr>
      </w:pPr>
      <w:r>
        <w:rPr>
          <w:rFonts w:ascii="Times New Roman" w:hAnsi="Times New Roman"/>
          <w:noProof/>
          <w:sz w:val="24"/>
        </w:rPr>
        <w:t xml:space="preserve">Целта на реформата е да се постигне по-високо качество, по-широко покритие и използване на пътническите железопътни услуги. </w:t>
      </w:r>
    </w:p>
    <w:p w14:paraId="7E825ECF" w14:textId="40A4B86A" w:rsidR="00CD7144" w:rsidRPr="00562D16" w:rsidRDefault="00CD7144" w:rsidP="000750E7">
      <w:pPr>
        <w:spacing w:before="120" w:after="120" w:line="240" w:lineRule="auto"/>
        <w:ind w:left="851"/>
        <w:jc w:val="both"/>
        <w:rPr>
          <w:rFonts w:ascii="Times New Roman" w:eastAsia="Times New Roman" w:hAnsi="Times New Roman" w:cs="Times New Roman"/>
          <w:noProof/>
          <w:sz w:val="24"/>
          <w:szCs w:val="24"/>
          <w:u w:val="single"/>
        </w:rPr>
      </w:pPr>
      <w:r>
        <w:rPr>
          <w:rFonts w:ascii="Times New Roman" w:hAnsi="Times New Roman"/>
          <w:noProof/>
          <w:sz w:val="24"/>
        </w:rPr>
        <w:t xml:space="preserve">Реформата трябва да включва преглед на съществуващите договори за обществена услуга (ДОУ) за предоставяне на услуги за железопътен превоз на пътници, включително пазарна оценка, определяща обхвата на задълженията за извършване на обществени услуги, и възлагането на договорите за обществена услуга, чийто срок изтича между 2021 г. и второто тримесечие на 2026 г., чрез справедлива, недискриминационна и конкурентна процедура за възлагане в съответствие с приложимата към дадения момент правна уредба на ЕС. Това се отнася по-специално за пътническите железопътни услуги, за които трябва да бъде подписан нов договор за обществена услуга до 31 декември 2024 г. след справедлива, открита и недискриминационна конкурентна процедура за възлагане. </w:t>
      </w:r>
    </w:p>
    <w:p w14:paraId="6A7C2F4C" w14:textId="77777777" w:rsidR="00CD7144" w:rsidRPr="00562D16" w:rsidRDefault="00CD7144" w:rsidP="000750E7">
      <w:pPr>
        <w:spacing w:line="256" w:lineRule="auto"/>
        <w:ind w:left="851"/>
        <w:jc w:val="both"/>
        <w:rPr>
          <w:rFonts w:ascii="Times New Roman" w:eastAsia="Times New Roman" w:hAnsi="Times New Roman" w:cs="Times New Roman"/>
          <w:noProof/>
          <w:sz w:val="24"/>
          <w:szCs w:val="24"/>
        </w:rPr>
      </w:pPr>
      <w:r>
        <w:rPr>
          <w:rFonts w:ascii="Times New Roman" w:hAnsi="Times New Roman"/>
          <w:noProof/>
          <w:sz w:val="24"/>
        </w:rPr>
        <w:t>Реформата трябва да доведе и до по-голям технически капацитет за подготовка и изпълнение на проекти за железопътната мрежа на трансевропейската транспортна мрежа (TEN-T) (чието ниво на изпълнение към края на 2021 г. е 12 % спрямо целта за ЕС от 100 % до 2030 г.), достигане на покритие от 707 km при внедряването на Европейската система за управление на железопътното движение (ERTMS) по мрежата TEN-T до второто тримесечие на 2026 г., увеличаване с 15 % на общия брой пътници, използващи железопътен транспорт, до края на 2025 г. и намаляване на времето за пътуване с железопътен транспорт между най-големите български градове.</w:t>
      </w:r>
    </w:p>
    <w:p w14:paraId="392F5971" w14:textId="77777777" w:rsidR="00CD7144" w:rsidRPr="00562D16" w:rsidRDefault="00CD7144" w:rsidP="000750E7">
      <w:pPr>
        <w:spacing w:before="120" w:after="120" w:line="240" w:lineRule="auto"/>
        <w:ind w:left="851"/>
        <w:jc w:val="both"/>
        <w:rPr>
          <w:rFonts w:ascii="Times New Roman" w:eastAsia="Times New Roman" w:hAnsi="Times New Roman" w:cs="Times New Roman"/>
          <w:noProof/>
          <w:sz w:val="24"/>
          <w:szCs w:val="24"/>
          <w:u w:val="single"/>
        </w:rPr>
      </w:pPr>
      <w:r>
        <w:rPr>
          <w:rFonts w:ascii="Times New Roman" w:hAnsi="Times New Roman"/>
          <w:noProof/>
          <w:sz w:val="24"/>
        </w:rPr>
        <w:t>Реформата трябва да приключи до 30 юни 2026 г.</w:t>
      </w:r>
    </w:p>
    <w:p w14:paraId="68870DEE" w14:textId="77777777" w:rsidR="00CD7144" w:rsidRPr="008A0F8A" w:rsidRDefault="00CD7144" w:rsidP="000750E7">
      <w:pPr>
        <w:spacing w:before="120" w:after="120" w:line="240" w:lineRule="auto"/>
        <w:ind w:left="851"/>
        <w:jc w:val="both"/>
        <w:rPr>
          <w:rFonts w:ascii="Times New Roman" w:eastAsia="Times New Roman" w:hAnsi="Times New Roman" w:cs="Times New Roman"/>
          <w:noProof/>
          <w:sz w:val="24"/>
          <w:szCs w:val="24"/>
          <w:u w:val="single"/>
          <w:lang w:val="ru-RU"/>
        </w:rPr>
      </w:pPr>
    </w:p>
    <w:p w14:paraId="202E410C" w14:textId="3D1E5C6D" w:rsidR="00CD7144" w:rsidRPr="00562D16" w:rsidRDefault="00CD7144" w:rsidP="000750E7">
      <w:pPr>
        <w:spacing w:before="120" w:after="120" w:line="240" w:lineRule="auto"/>
        <w:ind w:left="851"/>
        <w:jc w:val="both"/>
        <w:rPr>
          <w:rFonts w:ascii="Times New Roman" w:eastAsia="Times New Roman" w:hAnsi="Times New Roman" w:cs="Times New Roman"/>
          <w:noProof/>
          <w:sz w:val="24"/>
          <w:szCs w:val="24"/>
          <w:u w:val="single"/>
        </w:rPr>
      </w:pPr>
      <w:r>
        <w:rPr>
          <w:rFonts w:ascii="Times New Roman" w:hAnsi="Times New Roman"/>
          <w:noProof/>
          <w:sz w:val="24"/>
          <w:u w:val="single"/>
        </w:rPr>
        <w:t>Реформа 2 (К8.Р2): Безопасност на движението по пътищата</w:t>
      </w:r>
    </w:p>
    <w:p w14:paraId="29823E2E" w14:textId="77777777" w:rsidR="00CD7144" w:rsidRPr="00562D16" w:rsidRDefault="00CD7144" w:rsidP="000750E7">
      <w:pPr>
        <w:spacing w:before="120" w:after="120" w:line="240" w:lineRule="auto"/>
        <w:ind w:left="851"/>
        <w:jc w:val="both"/>
        <w:rPr>
          <w:rFonts w:ascii="Times New Roman" w:eastAsia="Times New Roman" w:hAnsi="Times New Roman" w:cs="Times New Roman"/>
          <w:noProof/>
          <w:sz w:val="24"/>
          <w:szCs w:val="24"/>
        </w:rPr>
      </w:pPr>
      <w:r>
        <w:rPr>
          <w:rFonts w:ascii="Times New Roman" w:hAnsi="Times New Roman"/>
          <w:noProof/>
          <w:sz w:val="24"/>
        </w:rPr>
        <w:t xml:space="preserve">Целта на реформата е подобряване на безопасността на движението по пътищата и намаляване на броя на жертвите на пътнотранспортни произшествия, тъй като процентът на смъртните случаи при пътнотранспортни произшествия в България е сред най-високите в ЕС. </w:t>
      </w:r>
    </w:p>
    <w:p w14:paraId="049835DE" w14:textId="6264A1A7" w:rsidR="00CD7144" w:rsidRPr="00562D16" w:rsidRDefault="00CD7144" w:rsidP="000750E7">
      <w:pPr>
        <w:spacing w:before="120" w:after="120" w:line="240" w:lineRule="auto"/>
        <w:ind w:left="851"/>
        <w:jc w:val="both"/>
        <w:rPr>
          <w:rFonts w:ascii="Times New Roman" w:eastAsia="Times New Roman" w:hAnsi="Times New Roman" w:cs="Times New Roman"/>
          <w:noProof/>
          <w:sz w:val="24"/>
          <w:szCs w:val="24"/>
        </w:rPr>
      </w:pPr>
      <w:r>
        <w:rPr>
          <w:rFonts w:ascii="Times New Roman" w:hAnsi="Times New Roman"/>
          <w:noProof/>
          <w:sz w:val="24"/>
        </w:rPr>
        <w:t xml:space="preserve">Реформата включва създаването на концептуална рамка за ново управление на безопасността на движението по пътищата в единен интегриран стратегически документ за периода 2021—2030 г. и изпълнението на първия план за действие до 30 юни 2023 г. </w:t>
      </w:r>
    </w:p>
    <w:p w14:paraId="5E57403E" w14:textId="77777777" w:rsidR="00CD7144" w:rsidRPr="00562D16" w:rsidRDefault="00CD7144" w:rsidP="000750E7">
      <w:pPr>
        <w:spacing w:before="120" w:after="120" w:line="240" w:lineRule="auto"/>
        <w:ind w:left="851"/>
        <w:jc w:val="both"/>
        <w:rPr>
          <w:rFonts w:ascii="Times New Roman" w:eastAsia="Times New Roman" w:hAnsi="Times New Roman" w:cs="Times New Roman"/>
          <w:noProof/>
          <w:sz w:val="24"/>
          <w:szCs w:val="24"/>
        </w:rPr>
      </w:pPr>
      <w:r>
        <w:rPr>
          <w:rFonts w:ascii="Times New Roman" w:hAnsi="Times New Roman"/>
          <w:noProof/>
          <w:sz w:val="24"/>
        </w:rPr>
        <w:t>Реформата трябва да доведе до премахването на най-малко 50 % от общия брой на опасните/критичните участъци за движението по пътищата и се очаква намаление с 30 % на смъртните случаи и тежките наранявания при пътнотранспортни произшествия до 2025 г. (в сравнение с 2019 г.).</w:t>
      </w:r>
    </w:p>
    <w:p w14:paraId="54486603" w14:textId="6F5BD74D" w:rsidR="00CD7144" w:rsidRPr="00562D16" w:rsidRDefault="00CD7144" w:rsidP="000750E7">
      <w:pPr>
        <w:spacing w:before="120" w:after="120" w:line="240" w:lineRule="auto"/>
        <w:ind w:left="851"/>
        <w:jc w:val="both"/>
        <w:rPr>
          <w:rFonts w:ascii="Times New Roman" w:eastAsia="Times New Roman" w:hAnsi="Times New Roman" w:cs="Times New Roman"/>
          <w:noProof/>
          <w:sz w:val="24"/>
          <w:szCs w:val="24"/>
        </w:rPr>
      </w:pPr>
      <w:r>
        <w:rPr>
          <w:rFonts w:ascii="Times New Roman" w:hAnsi="Times New Roman"/>
          <w:noProof/>
          <w:sz w:val="24"/>
        </w:rPr>
        <w:t>Реформата трябва да приключи до 31 март 2026 г.</w:t>
      </w:r>
    </w:p>
    <w:p w14:paraId="787E529C" w14:textId="77777777" w:rsidR="00CD7144" w:rsidRPr="008A0F8A" w:rsidRDefault="00CD7144" w:rsidP="000750E7">
      <w:pPr>
        <w:spacing w:before="120" w:after="120" w:line="240" w:lineRule="auto"/>
        <w:ind w:left="851"/>
        <w:jc w:val="both"/>
        <w:rPr>
          <w:rFonts w:ascii="Times New Roman" w:eastAsia="Times New Roman" w:hAnsi="Times New Roman" w:cs="Times New Roman"/>
          <w:noProof/>
          <w:sz w:val="24"/>
          <w:szCs w:val="24"/>
          <w:lang w:val="ru-RU"/>
        </w:rPr>
      </w:pPr>
    </w:p>
    <w:p w14:paraId="21341C7D" w14:textId="5D39A78C" w:rsidR="00CD7144" w:rsidRPr="00562D16" w:rsidRDefault="00CD7144" w:rsidP="000750E7">
      <w:pPr>
        <w:spacing w:before="120" w:after="120" w:line="240" w:lineRule="auto"/>
        <w:ind w:left="851"/>
        <w:jc w:val="both"/>
        <w:rPr>
          <w:rFonts w:ascii="Times New Roman" w:eastAsia="Times New Roman" w:hAnsi="Times New Roman" w:cs="Times New Roman"/>
          <w:noProof/>
          <w:sz w:val="24"/>
          <w:szCs w:val="24"/>
          <w:u w:val="single"/>
        </w:rPr>
      </w:pPr>
      <w:r>
        <w:rPr>
          <w:rFonts w:ascii="Times New Roman" w:hAnsi="Times New Roman"/>
          <w:noProof/>
          <w:sz w:val="24"/>
          <w:u w:val="single"/>
        </w:rPr>
        <w:t>Реформа 3 (К8.Р3): Устойчива градска мобилност</w:t>
      </w:r>
    </w:p>
    <w:p w14:paraId="6735BDF3" w14:textId="77777777" w:rsidR="00CD7144" w:rsidRPr="00562D16" w:rsidRDefault="00CD7144" w:rsidP="000750E7">
      <w:pPr>
        <w:spacing w:before="120" w:after="120" w:line="240" w:lineRule="auto"/>
        <w:ind w:left="851"/>
        <w:jc w:val="both"/>
        <w:rPr>
          <w:rFonts w:ascii="Times New Roman" w:eastAsia="Times New Roman" w:hAnsi="Times New Roman" w:cs="Times New Roman"/>
          <w:noProof/>
          <w:sz w:val="24"/>
          <w:szCs w:val="24"/>
        </w:rPr>
      </w:pPr>
      <w:r>
        <w:rPr>
          <w:rFonts w:ascii="Times New Roman" w:hAnsi="Times New Roman"/>
          <w:noProof/>
          <w:sz w:val="24"/>
        </w:rPr>
        <w:t>Целта на реформата е да се насърчи устойчивата градска мобилност чрез използване на планове за устойчива градска мобилност, интегрирани в териториални стратегии за развитие на регионите за планиране от ниво NUTS 2 (Номенклатура на териториалните единици за статистически цели) и в плановете за развитие на общините, както и оценка на тяхното изпълнение. В резултат на реформата 20 общини трябва да имат одобрени планове за устойчива градска мобилност и да получат подкрепа чрез закупуването на превозни средства за чист обществен градски транспорт с нулеви емисии и инсталирането на инфраструктура за зареждане.</w:t>
      </w:r>
    </w:p>
    <w:p w14:paraId="13C50B9D" w14:textId="77777777" w:rsidR="00CD7144" w:rsidRPr="00562D16" w:rsidRDefault="00CD7144" w:rsidP="000750E7">
      <w:pPr>
        <w:spacing w:before="120" w:after="120" w:line="240" w:lineRule="auto"/>
        <w:ind w:left="851"/>
        <w:jc w:val="both"/>
        <w:rPr>
          <w:rFonts w:ascii="Times New Roman" w:eastAsia="Times New Roman" w:hAnsi="Times New Roman" w:cs="Times New Roman"/>
          <w:noProof/>
          <w:sz w:val="24"/>
          <w:szCs w:val="24"/>
        </w:rPr>
      </w:pPr>
      <w:r>
        <w:rPr>
          <w:rFonts w:ascii="Times New Roman" w:hAnsi="Times New Roman"/>
          <w:noProof/>
          <w:sz w:val="24"/>
        </w:rPr>
        <w:t>Реформата трябва да приключи до 30 юни 2025 г.</w:t>
      </w:r>
    </w:p>
    <w:p w14:paraId="095B54F0" w14:textId="56B49A32" w:rsidR="00CD7144" w:rsidRPr="008A0F8A" w:rsidRDefault="00CD7144" w:rsidP="000750E7">
      <w:pPr>
        <w:spacing w:before="120" w:after="120" w:line="240" w:lineRule="auto"/>
        <w:ind w:left="851"/>
        <w:jc w:val="both"/>
        <w:rPr>
          <w:rFonts w:ascii="Times New Roman" w:eastAsia="Times New Roman" w:hAnsi="Times New Roman" w:cs="Times New Roman"/>
          <w:noProof/>
          <w:sz w:val="24"/>
          <w:szCs w:val="24"/>
          <w:lang w:val="ru-RU"/>
        </w:rPr>
      </w:pPr>
    </w:p>
    <w:p w14:paraId="698C5697" w14:textId="77777777" w:rsidR="001C00FB" w:rsidRPr="008A0F8A" w:rsidRDefault="001C00FB" w:rsidP="000750E7">
      <w:pPr>
        <w:spacing w:before="120" w:after="120" w:line="240" w:lineRule="auto"/>
        <w:ind w:left="851"/>
        <w:jc w:val="both"/>
        <w:rPr>
          <w:rFonts w:ascii="Times New Roman" w:eastAsia="Times New Roman" w:hAnsi="Times New Roman" w:cs="Times New Roman"/>
          <w:noProof/>
          <w:sz w:val="24"/>
          <w:szCs w:val="24"/>
          <w:lang w:val="ru-RU"/>
        </w:rPr>
      </w:pPr>
    </w:p>
    <w:p w14:paraId="0FD638EF" w14:textId="1D6EC066" w:rsidR="00CD7144" w:rsidRPr="00562D16" w:rsidRDefault="00CD7144" w:rsidP="008E333E">
      <w:pPr>
        <w:pageBreakBefore/>
        <w:spacing w:before="120" w:after="120" w:line="240" w:lineRule="auto"/>
        <w:ind w:left="851"/>
        <w:jc w:val="both"/>
        <w:rPr>
          <w:rFonts w:ascii="Times New Roman" w:eastAsia="Times New Roman" w:hAnsi="Times New Roman" w:cs="Times New Roman"/>
          <w:strike/>
          <w:noProof/>
          <w:sz w:val="24"/>
          <w:szCs w:val="24"/>
          <w:u w:val="single"/>
        </w:rPr>
      </w:pPr>
      <w:r>
        <w:rPr>
          <w:rFonts w:ascii="Times New Roman" w:hAnsi="Times New Roman"/>
          <w:noProof/>
          <w:sz w:val="24"/>
          <w:u w:val="single"/>
        </w:rPr>
        <w:t>Реформа 4 (К8.Р4): Интегриран обществен транспорт</w:t>
      </w:r>
    </w:p>
    <w:p w14:paraId="2852CFB7" w14:textId="77777777" w:rsidR="00CD7144" w:rsidRPr="00562D16" w:rsidRDefault="00CD7144" w:rsidP="000750E7">
      <w:pPr>
        <w:spacing w:before="120" w:after="120" w:line="240" w:lineRule="auto"/>
        <w:ind w:left="851"/>
        <w:jc w:val="both"/>
        <w:rPr>
          <w:rFonts w:ascii="Times New Roman" w:eastAsia="Times New Roman" w:hAnsi="Times New Roman" w:cs="Times New Roman"/>
          <w:noProof/>
          <w:sz w:val="24"/>
          <w:szCs w:val="24"/>
        </w:rPr>
      </w:pPr>
      <w:r>
        <w:rPr>
          <w:rFonts w:ascii="Times New Roman" w:hAnsi="Times New Roman"/>
          <w:noProof/>
          <w:sz w:val="24"/>
        </w:rPr>
        <w:t>Целта на реформата е да се допринесе за по-добрата интеграция на обществения транспорт и по този начин да се повишат качеството, свързаността, надеждността и ефективността на предоставяната услуга за превоз.</w:t>
      </w:r>
    </w:p>
    <w:p w14:paraId="0BF75D60" w14:textId="77777777" w:rsidR="00CD7144" w:rsidRPr="00562D16" w:rsidRDefault="00CD7144" w:rsidP="000750E7">
      <w:pPr>
        <w:spacing w:before="120" w:after="120" w:line="240" w:lineRule="auto"/>
        <w:ind w:left="851"/>
        <w:jc w:val="both"/>
        <w:rPr>
          <w:rFonts w:ascii="Times New Roman" w:eastAsia="Times New Roman" w:hAnsi="Times New Roman" w:cs="Times New Roman"/>
          <w:noProof/>
          <w:sz w:val="24"/>
          <w:szCs w:val="24"/>
        </w:rPr>
      </w:pPr>
      <w:r>
        <w:rPr>
          <w:rFonts w:ascii="Times New Roman" w:hAnsi="Times New Roman"/>
          <w:noProof/>
          <w:sz w:val="24"/>
        </w:rPr>
        <w:t xml:space="preserve">Реформата включва анализ на системата за обществен транспорт, както и преглед на съществуващата нормативна уредба. Въз основа на резултатите трябва да се приеме нов Закон за обществения транспорт, с който да се установи ясна нормативна уредба, даваща определение на обществения транспорт и на отговорностите и задълженията на субектите, които го извършват. Трябва да се създаде също така правна уредба за въвеждането на единна система за издаване на билети за транспорт най-късно до първото тримесечие на 2026 г. и на единна интегрирана транспортна схема, насочена към подобряване на ефективността на обществения транспорт в България. </w:t>
      </w:r>
    </w:p>
    <w:p w14:paraId="2BC5E0B3" w14:textId="77777777" w:rsidR="00CD7144" w:rsidRPr="00562D16" w:rsidRDefault="00CD7144" w:rsidP="000750E7">
      <w:pPr>
        <w:spacing w:before="120" w:after="120" w:line="240" w:lineRule="auto"/>
        <w:ind w:left="851"/>
        <w:jc w:val="both"/>
        <w:rPr>
          <w:rFonts w:ascii="Times New Roman" w:eastAsia="Times New Roman" w:hAnsi="Times New Roman" w:cs="Times New Roman"/>
          <w:noProof/>
          <w:sz w:val="24"/>
          <w:szCs w:val="24"/>
        </w:rPr>
      </w:pPr>
      <w:r>
        <w:rPr>
          <w:rFonts w:ascii="Times New Roman" w:hAnsi="Times New Roman"/>
          <w:noProof/>
          <w:sz w:val="24"/>
        </w:rPr>
        <w:t>Реформата трябва да приключи до 30 юни 2026 г.</w:t>
      </w:r>
    </w:p>
    <w:p w14:paraId="614A0F0A" w14:textId="77777777" w:rsidR="00CD7144" w:rsidRPr="008A0F8A" w:rsidRDefault="00CD7144" w:rsidP="000750E7">
      <w:pPr>
        <w:spacing w:before="120" w:after="120" w:line="240" w:lineRule="auto"/>
        <w:ind w:left="851"/>
        <w:jc w:val="both"/>
        <w:rPr>
          <w:rFonts w:ascii="Times New Roman" w:eastAsia="Times New Roman" w:hAnsi="Times New Roman" w:cs="Times New Roman"/>
          <w:noProof/>
          <w:sz w:val="24"/>
          <w:szCs w:val="24"/>
          <w:u w:val="single"/>
          <w:lang w:val="ru-RU"/>
        </w:rPr>
      </w:pPr>
    </w:p>
    <w:p w14:paraId="712FCE91" w14:textId="1D5CC483" w:rsidR="00CD7144" w:rsidRPr="00562D16" w:rsidRDefault="00CD7144" w:rsidP="000750E7">
      <w:pPr>
        <w:spacing w:before="120" w:after="120" w:line="240" w:lineRule="auto"/>
        <w:ind w:left="851"/>
        <w:jc w:val="both"/>
        <w:rPr>
          <w:rFonts w:ascii="Times New Roman" w:eastAsia="Times New Roman" w:hAnsi="Times New Roman" w:cs="Times New Roman"/>
          <w:noProof/>
          <w:sz w:val="24"/>
          <w:szCs w:val="24"/>
          <w:u w:val="single"/>
        </w:rPr>
      </w:pPr>
      <w:r>
        <w:rPr>
          <w:rFonts w:ascii="Times New Roman" w:hAnsi="Times New Roman"/>
          <w:noProof/>
          <w:sz w:val="24"/>
          <w:u w:val="single"/>
        </w:rPr>
        <w:t>Реформа 5 (К8.Р5): Електрическа мобилност</w:t>
      </w:r>
    </w:p>
    <w:p w14:paraId="52148C02" w14:textId="77777777" w:rsidR="00CD7144" w:rsidRPr="00562D16" w:rsidRDefault="00CD7144" w:rsidP="000750E7">
      <w:pPr>
        <w:spacing w:before="120" w:after="120" w:line="240" w:lineRule="auto"/>
        <w:ind w:left="851"/>
        <w:jc w:val="both"/>
        <w:rPr>
          <w:rFonts w:ascii="Times New Roman" w:eastAsia="Times New Roman" w:hAnsi="Times New Roman" w:cs="Times New Roman"/>
          <w:noProof/>
          <w:sz w:val="24"/>
          <w:szCs w:val="24"/>
        </w:rPr>
      </w:pPr>
      <w:r>
        <w:rPr>
          <w:rFonts w:ascii="Times New Roman" w:hAnsi="Times New Roman"/>
          <w:noProof/>
          <w:sz w:val="24"/>
        </w:rPr>
        <w:t>Реформите имат за цел да се стимулира развитието на транспорт с нулеви и ниски емисии в България чрез създаване на зони с ниски емисии в най-големите и най-замърсените градове, да се осигурят стимули за използването на превозни средства с нулеви емисии и да се разработи широка мрежа от инфраструктура за алтернативни горива (електрически зарядни станции).</w:t>
      </w:r>
    </w:p>
    <w:p w14:paraId="794C01F7" w14:textId="77777777" w:rsidR="00CD7144" w:rsidRPr="00562D16" w:rsidRDefault="00CD7144" w:rsidP="000750E7">
      <w:pPr>
        <w:spacing w:before="120" w:after="120" w:line="240" w:lineRule="auto"/>
        <w:ind w:left="851"/>
        <w:jc w:val="both"/>
        <w:rPr>
          <w:rFonts w:ascii="Times New Roman" w:eastAsia="Times New Roman" w:hAnsi="Times New Roman" w:cs="Times New Roman"/>
          <w:noProof/>
          <w:sz w:val="24"/>
          <w:szCs w:val="24"/>
        </w:rPr>
      </w:pPr>
      <w:r>
        <w:rPr>
          <w:rFonts w:ascii="Times New Roman" w:hAnsi="Times New Roman"/>
          <w:noProof/>
          <w:sz w:val="24"/>
        </w:rPr>
        <w:t xml:space="preserve">По-специално с реформата трябва да се въведе нова правна уредба за насърчаване на разгръщането на инфраструктура за зареждане с електроенергия и превозни средства с нулеви емисии и за ограничаване на използването на най-замърсяващите превозни средства. </w:t>
      </w:r>
    </w:p>
    <w:p w14:paraId="73F44761" w14:textId="77777777" w:rsidR="00CD7144" w:rsidRPr="00562D16" w:rsidRDefault="00CD7144" w:rsidP="000750E7">
      <w:pPr>
        <w:spacing w:before="120" w:after="120" w:line="240" w:lineRule="auto"/>
        <w:ind w:left="851"/>
        <w:jc w:val="both"/>
        <w:rPr>
          <w:rFonts w:ascii="Times New Roman" w:eastAsia="Times New Roman" w:hAnsi="Times New Roman" w:cs="Times New Roman"/>
          <w:noProof/>
          <w:sz w:val="24"/>
          <w:szCs w:val="24"/>
        </w:rPr>
      </w:pPr>
      <w:r>
        <w:rPr>
          <w:rFonts w:ascii="Times New Roman" w:hAnsi="Times New Roman"/>
          <w:noProof/>
          <w:sz w:val="24"/>
        </w:rPr>
        <w:t>Реформата трябва да включва законодателни мерки за насърчаване на мобилността с нулеви емисии. Тя трябва да включва стимули и промени в нормативната уредба за изграждане на инфраструктура за електрически зарядни станции и стимули за увеличаване на електрическите превозни средства с нулеви емисии (както закупени от публични субекти чрез обществени поръчки, така и закупени/наети/притежавани от частни субекти или физически лица) в съответствие с принципа „замърсителят плаща“, като например схеми за бракуване на най-замърсяващите превозни средства (стандарт за емисии Евро 3 или по-нисък) и коригиране на данъците/таксите за собственост/регистрация въз основа на равнищата на емисиите. В резултат на реформата трябва да бъдат инсталирани 10 000 електрически зарядни станции, включително за бързо зареждане, на цялата територия на България, броят на регистрираните в държавата превозни средства с нулеви емисии (нови или употребявани автомобили) трябва да достигне общо 30 000 и трябва да бъдат въведени зони с ниски емисии в най-големите и най-замърсените градове на държавата.</w:t>
      </w:r>
    </w:p>
    <w:p w14:paraId="7D634EBE" w14:textId="77777777" w:rsidR="00CD7144" w:rsidRPr="00562D16" w:rsidRDefault="00CD7144" w:rsidP="000750E7">
      <w:pPr>
        <w:spacing w:before="120" w:after="120" w:line="240" w:lineRule="auto"/>
        <w:ind w:left="851"/>
        <w:jc w:val="both"/>
        <w:rPr>
          <w:rFonts w:ascii="Times New Roman" w:eastAsia="Times New Roman" w:hAnsi="Times New Roman" w:cs="Times New Roman"/>
          <w:noProof/>
          <w:sz w:val="24"/>
          <w:szCs w:val="24"/>
        </w:rPr>
      </w:pPr>
      <w:r>
        <w:rPr>
          <w:rFonts w:ascii="Times New Roman" w:hAnsi="Times New Roman"/>
          <w:noProof/>
          <w:sz w:val="24"/>
        </w:rPr>
        <w:t>Реформата трябва да приключи до 30 юни 2026 г.</w:t>
      </w:r>
    </w:p>
    <w:p w14:paraId="65D0CEA0" w14:textId="77777777" w:rsidR="00CD7144" w:rsidRPr="008A0F8A" w:rsidRDefault="00CD7144" w:rsidP="000750E7">
      <w:pPr>
        <w:spacing w:before="120" w:after="120" w:line="240" w:lineRule="auto"/>
        <w:ind w:left="851"/>
        <w:jc w:val="both"/>
        <w:rPr>
          <w:rFonts w:ascii="Times New Roman" w:eastAsia="Times New Roman" w:hAnsi="Times New Roman" w:cs="Times New Roman"/>
          <w:noProof/>
          <w:sz w:val="24"/>
          <w:szCs w:val="24"/>
          <w:lang w:val="ru-RU"/>
        </w:rPr>
      </w:pPr>
    </w:p>
    <w:p w14:paraId="1693B6DB" w14:textId="09C6DC03" w:rsidR="00CD7144" w:rsidRPr="00562D16" w:rsidRDefault="00CD7144" w:rsidP="000750E7">
      <w:pPr>
        <w:spacing w:line="256" w:lineRule="auto"/>
        <w:ind w:left="851"/>
        <w:jc w:val="both"/>
        <w:rPr>
          <w:rFonts w:ascii="Times New Roman" w:eastAsia="Times New Roman" w:hAnsi="Times New Roman" w:cs="Times New Roman"/>
          <w:noProof/>
          <w:color w:val="000000" w:themeColor="text1"/>
          <w:sz w:val="24"/>
          <w:szCs w:val="24"/>
          <w:u w:val="single"/>
        </w:rPr>
      </w:pPr>
      <w:r>
        <w:rPr>
          <w:rFonts w:ascii="Times New Roman" w:hAnsi="Times New Roman"/>
          <w:noProof/>
          <w:color w:val="000000" w:themeColor="text1"/>
          <w:sz w:val="24"/>
          <w:u w:val="single"/>
        </w:rPr>
        <w:t>Инвестиция 1 (К8.И1): Железопътен подвижен състав</w:t>
      </w:r>
    </w:p>
    <w:p w14:paraId="3BDAA429" w14:textId="77777777" w:rsidR="00CD7144" w:rsidRPr="00622861" w:rsidRDefault="00CD7144" w:rsidP="000750E7">
      <w:pPr>
        <w:spacing w:line="256" w:lineRule="auto"/>
        <w:ind w:left="851"/>
        <w:jc w:val="both"/>
        <w:rPr>
          <w:rFonts w:ascii="Times New Roman" w:eastAsia="Times New Roman" w:hAnsi="Times New Roman" w:cs="Times New Roman"/>
          <w:noProof/>
          <w:spacing w:val="-4"/>
          <w:sz w:val="24"/>
          <w:szCs w:val="24"/>
        </w:rPr>
      </w:pPr>
      <w:r w:rsidRPr="00622861">
        <w:rPr>
          <w:rFonts w:ascii="Times New Roman" w:hAnsi="Times New Roman"/>
          <w:noProof/>
          <w:spacing w:val="-4"/>
          <w:sz w:val="24"/>
        </w:rPr>
        <w:t xml:space="preserve">Инвестицията включва закупуването чрез обществени поръчки на нови влакове, притежавани от българската държава и експлоатирани съгласно договора за обществена услуга (ДОУ) от избраното(ите) за превозвач(и) предприятие(я): 42 оперативно съвместими електрически мотрисни влака с нулеви емисии с максимална скорост от 160 km/h, оборудвани с Европейската система за управление на железопътното движение (ERTMS) — 7 двуетажни и 35 едноетажни — за крайградски обществен пътнически железопътен транспорт и 20 оперативно съвместими едноетажни влакови композиции с двустранно (бутане-теглене) управление с нулеви емисии, включително оборудвани с ERTMS локомотиви с максимална скорост от 200 km/h, за междурегионален транспорт (за средни и дълги разстояния). С това закупуване трябва да се подобри конкурентоспособността на железопътния транспорт и да се даде възможност за значително прехвърляне на пътници от автомобилния към железопътния транспорт. </w:t>
      </w:r>
    </w:p>
    <w:p w14:paraId="4DD88000" w14:textId="77777777" w:rsidR="00CD7144" w:rsidRPr="00562D16" w:rsidRDefault="00CD7144" w:rsidP="000750E7">
      <w:pPr>
        <w:spacing w:line="256" w:lineRule="auto"/>
        <w:ind w:left="851"/>
        <w:jc w:val="both"/>
        <w:rPr>
          <w:rFonts w:ascii="Times New Roman" w:eastAsia="Times New Roman" w:hAnsi="Times New Roman" w:cs="Times New Roman"/>
          <w:noProof/>
          <w:sz w:val="24"/>
          <w:szCs w:val="24"/>
        </w:rPr>
      </w:pPr>
      <w:r>
        <w:rPr>
          <w:rFonts w:ascii="Times New Roman" w:hAnsi="Times New Roman"/>
          <w:noProof/>
          <w:sz w:val="24"/>
        </w:rPr>
        <w:t xml:space="preserve">Трябва да бъдат закупени и 18 дистанционно управлявани маневрени локомотива с акумулаторна батерия. </w:t>
      </w:r>
    </w:p>
    <w:p w14:paraId="05B3684E" w14:textId="77777777" w:rsidR="00CD7144" w:rsidRPr="00562D16" w:rsidRDefault="00CD7144" w:rsidP="000750E7">
      <w:pPr>
        <w:spacing w:before="120" w:after="120" w:line="240" w:lineRule="auto"/>
        <w:ind w:left="851"/>
        <w:jc w:val="both"/>
        <w:rPr>
          <w:rFonts w:ascii="Times New Roman" w:eastAsia="Times New Roman" w:hAnsi="Times New Roman" w:cs="Times New Roman"/>
          <w:noProof/>
          <w:sz w:val="24"/>
          <w:szCs w:val="24"/>
        </w:rPr>
      </w:pPr>
      <w:r>
        <w:rPr>
          <w:rFonts w:ascii="Times New Roman" w:hAnsi="Times New Roman"/>
          <w:noProof/>
          <w:sz w:val="24"/>
        </w:rPr>
        <w:t>Изпълнението на инвестицията трябва да приключи до 31 март 2026 г.</w:t>
      </w:r>
    </w:p>
    <w:p w14:paraId="4EB525D1" w14:textId="77777777" w:rsidR="00CD7144" w:rsidRPr="008A0F8A" w:rsidRDefault="00CD7144" w:rsidP="000750E7">
      <w:pPr>
        <w:spacing w:before="120" w:after="120" w:line="240" w:lineRule="auto"/>
        <w:ind w:left="851"/>
        <w:jc w:val="both"/>
        <w:rPr>
          <w:rFonts w:ascii="Times New Roman" w:eastAsia="Times New Roman" w:hAnsi="Times New Roman" w:cs="Times New Roman"/>
          <w:noProof/>
          <w:sz w:val="24"/>
          <w:szCs w:val="24"/>
          <w:lang w:val="ru-RU"/>
        </w:rPr>
      </w:pPr>
    </w:p>
    <w:p w14:paraId="1678A695" w14:textId="5D7E6949" w:rsidR="00CD7144" w:rsidRPr="00562D16" w:rsidRDefault="00CD7144" w:rsidP="000750E7">
      <w:pPr>
        <w:spacing w:line="256" w:lineRule="auto"/>
        <w:ind w:left="851"/>
        <w:jc w:val="both"/>
        <w:rPr>
          <w:rFonts w:ascii="Times New Roman" w:eastAsia="Times New Roman" w:hAnsi="Times New Roman" w:cs="Times New Roman"/>
          <w:noProof/>
          <w:color w:val="000000" w:themeColor="text1"/>
          <w:sz w:val="24"/>
          <w:szCs w:val="24"/>
          <w:u w:val="single"/>
        </w:rPr>
      </w:pPr>
      <w:r>
        <w:rPr>
          <w:rFonts w:ascii="Times New Roman" w:hAnsi="Times New Roman"/>
          <w:noProof/>
          <w:color w:val="000000" w:themeColor="text1"/>
          <w:sz w:val="24"/>
          <w:u w:val="single"/>
        </w:rPr>
        <w:t xml:space="preserve">Инвестиция 2 (К8.И2): Бордово оборудване за Европейската система за управление на влаковете </w:t>
      </w:r>
    </w:p>
    <w:p w14:paraId="2D9B6BEF" w14:textId="77777777" w:rsidR="00CD7144" w:rsidRPr="00562D16" w:rsidRDefault="00CD7144" w:rsidP="000750E7">
      <w:pPr>
        <w:spacing w:before="120" w:after="120" w:line="240" w:lineRule="auto"/>
        <w:ind w:left="851"/>
        <w:jc w:val="both"/>
        <w:rPr>
          <w:rFonts w:ascii="Times New Roman" w:eastAsia="Times New Roman" w:hAnsi="Times New Roman" w:cs="Times New Roman"/>
          <w:noProof/>
          <w:sz w:val="24"/>
          <w:szCs w:val="24"/>
        </w:rPr>
      </w:pPr>
      <w:r>
        <w:rPr>
          <w:rFonts w:ascii="Times New Roman" w:hAnsi="Times New Roman"/>
          <w:noProof/>
          <w:sz w:val="24"/>
        </w:rPr>
        <w:t>Основната цел на проекта е бордовата част на електрическите локомотиви с нулеви емисии и на електрическите мотрисни влакове с нулеви емисии да бъде оборудвана с Европейската система за управление на железопътното движение (ERTMS) — Европейската система за управление на влаковете (ETCS) — единна цифрова европейска система за сигнализация и контрол на скоростта, която гарантира оперативната съвместимост на националните железопътни системи. Тази технология намалява разходите за поддръжка на системите за сигнализация и увеличава скоростта на влаковете, капацитета на инфраструктурата и безопасността на железопътния транспорт.</w:t>
      </w:r>
    </w:p>
    <w:p w14:paraId="3E888671" w14:textId="1FB48B68" w:rsidR="00CD7144" w:rsidRPr="00562D16" w:rsidRDefault="00CD7144" w:rsidP="000750E7">
      <w:pPr>
        <w:spacing w:before="120" w:after="120" w:line="240" w:lineRule="auto"/>
        <w:ind w:left="851"/>
        <w:jc w:val="both"/>
        <w:rPr>
          <w:rFonts w:ascii="Times New Roman" w:eastAsia="Times New Roman" w:hAnsi="Times New Roman" w:cs="Times New Roman"/>
          <w:noProof/>
          <w:sz w:val="24"/>
          <w:szCs w:val="24"/>
        </w:rPr>
      </w:pPr>
      <w:r>
        <w:rPr>
          <w:rFonts w:ascii="Times New Roman" w:hAnsi="Times New Roman"/>
          <w:noProof/>
          <w:sz w:val="24"/>
        </w:rPr>
        <w:t>Тази инвестиция трябва да включва инсталирането на оперативно съвместимо релсово оборудване за ETCS на 89 електрически локомотива и електрически мотрисни влака, което представлява значително увеличение спрямо сегашните 2 локомотива, оборудвани с тази технология. Тя обхваща следните стъпки:</w:t>
      </w:r>
    </w:p>
    <w:p w14:paraId="169A75FE" w14:textId="77777777" w:rsidR="00CD7144" w:rsidRPr="00562D16" w:rsidRDefault="00CD7144" w:rsidP="2146F73B">
      <w:pPr>
        <w:numPr>
          <w:ilvl w:val="0"/>
          <w:numId w:val="32"/>
        </w:numPr>
        <w:spacing w:before="120" w:after="120" w:line="240" w:lineRule="auto"/>
        <w:ind w:left="1210"/>
        <w:contextualSpacing/>
        <w:jc w:val="both"/>
        <w:rPr>
          <w:rFonts w:ascii="Times New Roman" w:eastAsiaTheme="minorEastAsia" w:hAnsi="Times New Roman" w:cs="Times New Roman"/>
          <w:noProof/>
          <w:sz w:val="24"/>
          <w:szCs w:val="24"/>
        </w:rPr>
      </w:pPr>
      <w:r>
        <w:rPr>
          <w:rFonts w:ascii="Times New Roman" w:hAnsi="Times New Roman"/>
          <w:noProof/>
          <w:sz w:val="24"/>
        </w:rPr>
        <w:t>разработване на механизъм за разпределяне на финансирането, при който се взема предвид информацията за отговарящите на условията железопътни предприятия, включително броят влак-километри през последните 5 години, 10-годишен бизнес план за експлоатацията на оборудваните влакове и информация за осигуряването на собствено финансиране (тъй като от бенефициерите се очаква да финансират 50 % от общите разходи);</w:t>
      </w:r>
    </w:p>
    <w:p w14:paraId="3EAD5C0D" w14:textId="178890F4" w:rsidR="00CD7144" w:rsidRPr="00562D16" w:rsidRDefault="01A74AF5" w:rsidP="001C00FB">
      <w:pPr>
        <w:numPr>
          <w:ilvl w:val="0"/>
          <w:numId w:val="32"/>
        </w:numPr>
        <w:spacing w:before="120" w:after="120" w:line="240" w:lineRule="auto"/>
        <w:ind w:left="1210"/>
        <w:contextualSpacing/>
        <w:jc w:val="both"/>
        <w:rPr>
          <w:rFonts w:ascii="Times New Roman" w:eastAsia="Times New Roman" w:hAnsi="Times New Roman" w:cs="Times New Roman"/>
          <w:noProof/>
          <w:sz w:val="24"/>
          <w:szCs w:val="24"/>
        </w:rPr>
      </w:pPr>
      <w:r>
        <w:rPr>
          <w:rFonts w:ascii="Times New Roman" w:hAnsi="Times New Roman"/>
          <w:noProof/>
          <w:sz w:val="24"/>
        </w:rPr>
        <w:t>въз основа на резултатите от предходната точка Национална компания „Железопътна инфраструктура“ ще обяви процедура по Закона за обществените поръчки за доставка, инсталиране, въвеждане в експлоатация, изпитване, получаване на разрешителни и обучение. Спечелилият участник ще достави оборудването за ETCS и ще извърши инсталирането в избрания подвижен състав.</w:t>
      </w:r>
    </w:p>
    <w:p w14:paraId="1BB14334" w14:textId="4C55F540" w:rsidR="00CD7144" w:rsidRPr="00562D16" w:rsidRDefault="00CD7144" w:rsidP="000750E7">
      <w:pPr>
        <w:spacing w:before="120" w:after="120" w:line="240" w:lineRule="auto"/>
        <w:ind w:left="851"/>
        <w:jc w:val="both"/>
        <w:rPr>
          <w:rFonts w:ascii="Times New Roman" w:eastAsia="Times New Roman" w:hAnsi="Times New Roman" w:cs="Times New Roman"/>
          <w:noProof/>
          <w:sz w:val="24"/>
          <w:szCs w:val="24"/>
        </w:rPr>
      </w:pPr>
      <w:r>
        <w:rPr>
          <w:rFonts w:ascii="Times New Roman" w:hAnsi="Times New Roman"/>
          <w:noProof/>
          <w:sz w:val="24"/>
        </w:rPr>
        <w:t>Изпълнението на инвестицията трябва да приключи до 30 юни 2026 г.</w:t>
      </w:r>
    </w:p>
    <w:p w14:paraId="7A6BEB9E" w14:textId="77777777" w:rsidR="00CD7144" w:rsidRPr="008A0F8A" w:rsidRDefault="00CD7144" w:rsidP="000750E7">
      <w:pPr>
        <w:spacing w:before="120" w:after="120" w:line="240" w:lineRule="auto"/>
        <w:ind w:left="851"/>
        <w:jc w:val="both"/>
        <w:rPr>
          <w:rFonts w:ascii="Times New Roman" w:eastAsia="Times New Roman" w:hAnsi="Times New Roman" w:cs="Times New Roman"/>
          <w:noProof/>
          <w:sz w:val="24"/>
          <w:szCs w:val="24"/>
          <w:lang w:val="ru-RU"/>
        </w:rPr>
      </w:pPr>
    </w:p>
    <w:p w14:paraId="46BBA71A" w14:textId="77777777" w:rsidR="00CD7144" w:rsidRPr="008A0F8A" w:rsidRDefault="00CD7144" w:rsidP="000750E7">
      <w:pPr>
        <w:spacing w:before="120" w:after="120" w:line="240" w:lineRule="auto"/>
        <w:ind w:left="851"/>
        <w:jc w:val="both"/>
        <w:rPr>
          <w:rFonts w:ascii="Times New Roman" w:eastAsia="Times New Roman" w:hAnsi="Times New Roman" w:cs="Times New Roman"/>
          <w:noProof/>
          <w:sz w:val="24"/>
          <w:szCs w:val="24"/>
          <w:u w:val="single"/>
          <w:lang w:val="ru-RU"/>
        </w:rPr>
      </w:pPr>
    </w:p>
    <w:p w14:paraId="28067932" w14:textId="2A41E6DF" w:rsidR="00CD7144" w:rsidRPr="00562D16" w:rsidRDefault="00CD7144" w:rsidP="000750E7">
      <w:pPr>
        <w:spacing w:line="256" w:lineRule="auto"/>
        <w:ind w:left="851"/>
        <w:jc w:val="both"/>
        <w:rPr>
          <w:rFonts w:ascii="Times New Roman" w:eastAsia="Times New Roman" w:hAnsi="Times New Roman" w:cs="Times New Roman"/>
          <w:noProof/>
          <w:color w:val="000000" w:themeColor="text1"/>
          <w:sz w:val="24"/>
          <w:szCs w:val="24"/>
          <w:u w:val="single"/>
        </w:rPr>
      </w:pPr>
      <w:r>
        <w:rPr>
          <w:rFonts w:ascii="Times New Roman" w:hAnsi="Times New Roman"/>
          <w:noProof/>
          <w:color w:val="000000" w:themeColor="text1"/>
          <w:sz w:val="24"/>
          <w:u w:val="single"/>
        </w:rPr>
        <w:t>Инвестиция 5 (К8.И5): Безопасност на движението по пътищата</w:t>
      </w:r>
    </w:p>
    <w:p w14:paraId="1B644A75" w14:textId="77777777" w:rsidR="00CD7144" w:rsidRPr="00562D16" w:rsidRDefault="00CD7144" w:rsidP="000750E7">
      <w:pPr>
        <w:spacing w:before="120" w:after="120" w:line="240" w:lineRule="auto"/>
        <w:ind w:left="851"/>
        <w:jc w:val="both"/>
        <w:rPr>
          <w:rFonts w:ascii="Times New Roman" w:hAnsi="Times New Roman" w:cs="Times New Roman"/>
          <w:noProof/>
        </w:rPr>
      </w:pPr>
      <w:r>
        <w:rPr>
          <w:rFonts w:ascii="Times New Roman" w:hAnsi="Times New Roman"/>
          <w:noProof/>
          <w:sz w:val="24"/>
        </w:rPr>
        <w:t>С инвестицията се цели да се подобрят дейностите по управление на безопасността на движението по националните и общинските пътища. Трябва да бъдат проведени процедури за цялостно проучване на безопасността на пътната мрежа, за да се даде възможност за целенасочени инспекции по пътна безопасност и за предприемане на преки коригиращи действия.</w:t>
      </w:r>
    </w:p>
    <w:p w14:paraId="7189356E" w14:textId="77777777" w:rsidR="00CD7144" w:rsidRPr="00622861" w:rsidRDefault="00CD7144" w:rsidP="000750E7">
      <w:pPr>
        <w:spacing w:line="256" w:lineRule="auto"/>
        <w:ind w:left="851"/>
        <w:jc w:val="both"/>
        <w:rPr>
          <w:rFonts w:ascii="Times New Roman" w:hAnsi="Times New Roman" w:cs="Times New Roman"/>
          <w:noProof/>
          <w:spacing w:val="-10"/>
        </w:rPr>
      </w:pPr>
      <w:r w:rsidRPr="00622861">
        <w:rPr>
          <w:rFonts w:ascii="Times New Roman" w:hAnsi="Times New Roman"/>
          <w:noProof/>
          <w:spacing w:val="-10"/>
          <w:sz w:val="24"/>
        </w:rPr>
        <w:t xml:space="preserve">Първо, инвестицията трябва да включва закупуването чрез обществени поръчки на специализирано оборудване за оценка на състоянието на пътната безопасност (например експлоатационни показатели на пътната повърхност и нейното функционално състояние). Второ, тя трябва да включва разработването и интегрирането на софтуерни приложения за управление и приоритизиране на дейностите за осигуряване на пътна безопасност, подобряването на потоците на движение на тежкотоварните превозни средства на граничните контролно-пропускателни пунктове, както и създаването на национална електронна система за подаване и обработване на сигнали, свързани с безопасността на пътната инфраструктура. </w:t>
      </w:r>
    </w:p>
    <w:p w14:paraId="37D3AF61" w14:textId="77777777" w:rsidR="00CD7144" w:rsidRPr="00562D16" w:rsidRDefault="00CD7144" w:rsidP="000750E7">
      <w:pPr>
        <w:spacing w:before="120" w:after="120" w:line="240" w:lineRule="auto"/>
        <w:ind w:left="851"/>
        <w:jc w:val="both"/>
        <w:rPr>
          <w:rFonts w:ascii="Times New Roman" w:eastAsia="Times New Roman" w:hAnsi="Times New Roman" w:cs="Times New Roman"/>
          <w:noProof/>
          <w:sz w:val="24"/>
          <w:szCs w:val="24"/>
        </w:rPr>
      </w:pPr>
      <w:r>
        <w:rPr>
          <w:rFonts w:ascii="Times New Roman" w:hAnsi="Times New Roman"/>
          <w:noProof/>
          <w:sz w:val="24"/>
        </w:rPr>
        <w:t>Изпълнението на инвестицията трябва да приключи до 31 декември 2024 г.</w:t>
      </w:r>
    </w:p>
    <w:p w14:paraId="2F78D8D7" w14:textId="77777777" w:rsidR="00CD7144" w:rsidRPr="00562D16" w:rsidRDefault="00CD7144" w:rsidP="000750E7">
      <w:pPr>
        <w:spacing w:line="256" w:lineRule="auto"/>
        <w:ind w:left="851"/>
        <w:jc w:val="both"/>
        <w:rPr>
          <w:rFonts w:ascii="Times New Roman" w:eastAsia="Times New Roman" w:hAnsi="Times New Roman" w:cs="Times New Roman"/>
          <w:noProof/>
          <w:color w:val="000000" w:themeColor="text1"/>
          <w:sz w:val="24"/>
          <w:szCs w:val="24"/>
          <w:u w:val="single"/>
        </w:rPr>
      </w:pPr>
      <w:r>
        <w:rPr>
          <w:rFonts w:ascii="Times New Roman" w:hAnsi="Times New Roman"/>
          <w:noProof/>
          <w:color w:val="000000" w:themeColor="text1"/>
          <w:sz w:val="24"/>
          <w:u w:val="single"/>
        </w:rPr>
        <w:t>Инвестиция 6. Линия 3 на метрото в София</w:t>
      </w:r>
    </w:p>
    <w:p w14:paraId="4A238200" w14:textId="77777777" w:rsidR="00CD7144" w:rsidRPr="00562D16" w:rsidRDefault="00CD7144" w:rsidP="000750E7">
      <w:pPr>
        <w:spacing w:line="256" w:lineRule="auto"/>
        <w:ind w:left="851"/>
        <w:jc w:val="both"/>
        <w:rPr>
          <w:rFonts w:ascii="Times New Roman" w:hAnsi="Times New Roman" w:cs="Times New Roman"/>
          <w:noProof/>
        </w:rPr>
      </w:pPr>
      <w:r>
        <w:rPr>
          <w:rFonts w:ascii="Times New Roman" w:hAnsi="Times New Roman"/>
          <w:noProof/>
          <w:sz w:val="24"/>
        </w:rPr>
        <w:t xml:space="preserve">Инвестицията се отнася за изграждането на участък от линия 3 на метрото в София с обща дължина 3 km и с 3 гари, който ще осигури чиста, бърза и ефективна обществена услуга за превоз за пътници с интермодални връзки. </w:t>
      </w:r>
    </w:p>
    <w:p w14:paraId="4F3F284B" w14:textId="77777777" w:rsidR="00CD7144" w:rsidRPr="00622861" w:rsidRDefault="00CD7144" w:rsidP="000750E7">
      <w:pPr>
        <w:spacing w:line="256" w:lineRule="auto"/>
        <w:ind w:left="851"/>
        <w:jc w:val="both"/>
        <w:rPr>
          <w:rFonts w:ascii="Times New Roman" w:hAnsi="Times New Roman" w:cs="Times New Roman"/>
          <w:noProof/>
          <w:spacing w:val="-4"/>
        </w:rPr>
      </w:pPr>
      <w:r w:rsidRPr="00622861">
        <w:rPr>
          <w:rFonts w:ascii="Times New Roman" w:hAnsi="Times New Roman"/>
          <w:noProof/>
          <w:spacing w:val="-4"/>
          <w:sz w:val="24"/>
        </w:rPr>
        <w:t>Инвестицията трябва да даде възможност за превоз на средно 7,6 милиона пътници годишно от 2026 г. нататък; очаква се това да доведе до намаляване на парниковите газове и замърсяването на въздуха в града, на броя на автомобилите в движение в града и до подобряване на обществения транспорт за жителите на града.</w:t>
      </w:r>
    </w:p>
    <w:p w14:paraId="44F9AD79" w14:textId="77777777" w:rsidR="00CD7144" w:rsidRPr="00562D16" w:rsidRDefault="00CD7144" w:rsidP="000750E7">
      <w:pPr>
        <w:spacing w:before="120" w:after="120" w:line="240" w:lineRule="auto"/>
        <w:ind w:left="851"/>
        <w:jc w:val="both"/>
        <w:rPr>
          <w:rFonts w:ascii="Times New Roman" w:eastAsia="Times New Roman" w:hAnsi="Times New Roman" w:cs="Times New Roman"/>
          <w:noProof/>
          <w:sz w:val="24"/>
          <w:szCs w:val="24"/>
        </w:rPr>
      </w:pPr>
      <w:r>
        <w:rPr>
          <w:rFonts w:ascii="Times New Roman" w:hAnsi="Times New Roman"/>
          <w:noProof/>
          <w:sz w:val="24"/>
        </w:rPr>
        <w:t>Изпълнението на инвестицията трябва да приключи до 31 декември 2025 г.</w:t>
      </w:r>
    </w:p>
    <w:p w14:paraId="3980C7D6" w14:textId="7B3134DB" w:rsidR="00CD7144" w:rsidRPr="008A0F8A" w:rsidRDefault="00CD7144" w:rsidP="000750E7">
      <w:pPr>
        <w:spacing w:line="256" w:lineRule="auto"/>
        <w:ind w:left="851"/>
        <w:jc w:val="both"/>
        <w:rPr>
          <w:rFonts w:ascii="Times New Roman" w:eastAsia="Times New Roman" w:hAnsi="Times New Roman" w:cs="Times New Roman"/>
          <w:noProof/>
          <w:sz w:val="24"/>
          <w:szCs w:val="24"/>
          <w:lang w:val="ru-RU"/>
        </w:rPr>
      </w:pPr>
    </w:p>
    <w:p w14:paraId="1C7F1E28" w14:textId="52C323DC" w:rsidR="00CD7144" w:rsidRPr="00562D16" w:rsidRDefault="00CD7144" w:rsidP="000750E7">
      <w:pPr>
        <w:spacing w:line="256" w:lineRule="auto"/>
        <w:ind w:left="851"/>
        <w:jc w:val="both"/>
        <w:rPr>
          <w:rFonts w:ascii="Times New Roman" w:eastAsia="Times New Roman" w:hAnsi="Times New Roman" w:cs="Times New Roman"/>
          <w:noProof/>
          <w:color w:val="000000" w:themeColor="text1"/>
          <w:sz w:val="24"/>
          <w:szCs w:val="24"/>
          <w:u w:val="single"/>
        </w:rPr>
      </w:pPr>
      <w:r>
        <w:rPr>
          <w:rFonts w:ascii="Times New Roman" w:hAnsi="Times New Roman"/>
          <w:noProof/>
          <w:color w:val="000000" w:themeColor="text1"/>
          <w:sz w:val="24"/>
          <w:u w:val="single"/>
        </w:rPr>
        <w:t>Инвестиция 7 (К8.И7): Екологосъобразна мобилност — пилотна схема за подкрепа на устойчивата градска мобилност</w:t>
      </w:r>
    </w:p>
    <w:p w14:paraId="53B4ADF6" w14:textId="77777777" w:rsidR="00CD7144" w:rsidRPr="00562D16" w:rsidRDefault="00CD7144" w:rsidP="000750E7">
      <w:pPr>
        <w:spacing w:line="256" w:lineRule="auto"/>
        <w:ind w:left="851"/>
        <w:jc w:val="both"/>
        <w:rPr>
          <w:rFonts w:ascii="Times New Roman" w:eastAsia="Times New Roman" w:hAnsi="Times New Roman" w:cs="Times New Roman"/>
          <w:noProof/>
          <w:color w:val="000000" w:themeColor="text1"/>
          <w:sz w:val="24"/>
          <w:szCs w:val="24"/>
        </w:rPr>
      </w:pPr>
      <w:r>
        <w:rPr>
          <w:rFonts w:ascii="Times New Roman" w:hAnsi="Times New Roman"/>
          <w:noProof/>
          <w:sz w:val="24"/>
        </w:rPr>
        <w:t>С инвестицията се цели да се подкрепят мерките за устойчива градска мобилност в рамките на пилотна схема.</w:t>
      </w:r>
      <w:r>
        <w:rPr>
          <w:rFonts w:ascii="Times New Roman" w:hAnsi="Times New Roman"/>
          <w:noProof/>
          <w:color w:val="000000" w:themeColor="text1"/>
          <w:sz w:val="24"/>
        </w:rPr>
        <w:t xml:space="preserve"> </w:t>
      </w:r>
    </w:p>
    <w:p w14:paraId="55829081" w14:textId="77777777" w:rsidR="00CD7144" w:rsidRPr="00562D16" w:rsidRDefault="00CD7144" w:rsidP="000750E7">
      <w:pPr>
        <w:spacing w:line="256" w:lineRule="auto"/>
        <w:ind w:left="851"/>
        <w:jc w:val="both"/>
        <w:rPr>
          <w:rFonts w:ascii="Times New Roman" w:eastAsia="Times New Roman" w:hAnsi="Times New Roman" w:cs="Times New Roman"/>
          <w:noProof/>
          <w:sz w:val="24"/>
          <w:szCs w:val="24"/>
        </w:rPr>
      </w:pPr>
      <w:r>
        <w:rPr>
          <w:rFonts w:ascii="Times New Roman" w:hAnsi="Times New Roman"/>
          <w:noProof/>
          <w:color w:val="000000" w:themeColor="text1"/>
          <w:sz w:val="24"/>
        </w:rPr>
        <w:t xml:space="preserve">Тя обхваща 68 превозни средства за обществен транспорт с нулеви емисии (градски и междуградски), 27 електрически зарядни станции за превозни средства за обществен транспорт, разработване на интелигентни транспортни системи в 10 общини и интегрирани цифрови решения за подобряване на ефикасността и ефективността на обществения транспорт, както и инфраструктура за безопасна градска мобилност, насочена към уязвимите участници в пътното движение — пешеходците и велосипедистите. </w:t>
      </w:r>
    </w:p>
    <w:p w14:paraId="0CEE9269" w14:textId="21756867" w:rsidR="00CD7144" w:rsidRPr="00562D16" w:rsidRDefault="00CD7144" w:rsidP="000750E7">
      <w:pPr>
        <w:spacing w:before="120" w:after="120" w:line="240" w:lineRule="auto"/>
        <w:ind w:left="851"/>
        <w:jc w:val="both"/>
        <w:rPr>
          <w:rFonts w:ascii="Times New Roman" w:eastAsia="Times New Roman" w:hAnsi="Times New Roman" w:cs="Times New Roman"/>
          <w:noProof/>
          <w:sz w:val="24"/>
          <w:szCs w:val="24"/>
        </w:rPr>
      </w:pPr>
      <w:r>
        <w:rPr>
          <w:rFonts w:ascii="Times New Roman" w:hAnsi="Times New Roman"/>
          <w:noProof/>
          <w:sz w:val="24"/>
        </w:rPr>
        <w:t>Изпълнението на инвестицията трябва да приключи до 30 септември 2024 г.</w:t>
      </w:r>
    </w:p>
    <w:p w14:paraId="30330A97" w14:textId="4E9E246F" w:rsidR="00CD7144" w:rsidRPr="008A0F8A" w:rsidRDefault="00CD7144" w:rsidP="00CD7144">
      <w:pPr>
        <w:spacing w:before="120" w:after="120" w:line="240" w:lineRule="auto"/>
        <w:jc w:val="both"/>
        <w:rPr>
          <w:rFonts w:ascii="Times New Roman" w:eastAsia="Times New Roman" w:hAnsi="Times New Roman" w:cs="Times New Roman"/>
          <w:noProof/>
          <w:sz w:val="24"/>
          <w:szCs w:val="24"/>
          <w:lang w:val="ru-RU"/>
        </w:rPr>
      </w:pPr>
    </w:p>
    <w:p w14:paraId="12EC92A8" w14:textId="65E3C233" w:rsidR="00CD7144" w:rsidRPr="00562D16" w:rsidRDefault="00CD7144" w:rsidP="00CD7144">
      <w:pPr>
        <w:spacing w:before="120" w:after="120" w:line="240" w:lineRule="auto"/>
        <w:ind w:left="850"/>
        <w:jc w:val="both"/>
        <w:rPr>
          <w:rFonts w:ascii="Times New Roman" w:eastAsia="Calibri" w:hAnsi="Times New Roman" w:cs="Times New Roman"/>
          <w:b/>
          <w:bCs/>
          <w:noProof/>
          <w:sz w:val="24"/>
          <w:szCs w:val="24"/>
          <w:u w:val="single"/>
        </w:rPr>
      </w:pPr>
      <w:r>
        <w:rPr>
          <w:rFonts w:ascii="Times New Roman" w:hAnsi="Times New Roman"/>
          <w:b/>
          <w:noProof/>
          <w:sz w:val="24"/>
          <w:u w:val="single"/>
        </w:rPr>
        <w:t xml:space="preserve">З.2. </w:t>
      </w:r>
      <w:r>
        <w:rPr>
          <w:rFonts w:ascii="Times New Roman" w:hAnsi="Times New Roman"/>
          <w:b/>
          <w:noProof/>
          <w:sz w:val="24"/>
          <w:u w:val="single"/>
        </w:rPr>
        <w:tab/>
        <w:t>Ключови етапи, цели, показатели и график за мониторинг и изпълнение на безвъзмездната финансова подкрепа</w:t>
      </w:r>
    </w:p>
    <w:p w14:paraId="15B7C7B2" w14:textId="06B39AFF" w:rsidR="001F2C01" w:rsidRPr="008A0F8A" w:rsidRDefault="001F2C01" w:rsidP="00CD7144">
      <w:pPr>
        <w:keepNext/>
        <w:spacing w:before="360" w:after="120" w:line="240" w:lineRule="auto"/>
        <w:outlineLvl w:val="0"/>
        <w:rPr>
          <w:rFonts w:ascii="Times New Roman" w:eastAsia="Times New Roman" w:hAnsi="Times New Roman" w:cs="Times New Roman"/>
          <w:noProof/>
          <w:sz w:val="24"/>
          <w:szCs w:val="24"/>
          <w:lang w:val="ru-RU"/>
        </w:rPr>
        <w:sectPr w:rsidR="001F2C01" w:rsidRPr="008A0F8A" w:rsidSect="001D3B37">
          <w:headerReference w:type="even" r:id="rId102"/>
          <w:headerReference w:type="default" r:id="rId103"/>
          <w:footerReference w:type="even" r:id="rId104"/>
          <w:footerReference w:type="default" r:id="rId105"/>
          <w:headerReference w:type="first" r:id="rId106"/>
          <w:footerReference w:type="first" r:id="rId107"/>
          <w:pgSz w:w="11907" w:h="16839"/>
          <w:pgMar w:top="1418" w:right="1418" w:bottom="1418" w:left="1418" w:header="709" w:footer="709" w:gutter="0"/>
          <w:cols w:space="720"/>
          <w:docGrid w:linePitch="360"/>
        </w:sectPr>
      </w:pPr>
    </w:p>
    <w:tbl>
      <w:tblPr>
        <w:tblW w:w="15450" w:type="dxa"/>
        <w:jc w:val="center"/>
        <w:tblLayout w:type="fixed"/>
        <w:tblLook w:val="04A0" w:firstRow="1" w:lastRow="0" w:firstColumn="1" w:lastColumn="0" w:noHBand="0" w:noVBand="1"/>
      </w:tblPr>
      <w:tblGrid>
        <w:gridCol w:w="689"/>
        <w:gridCol w:w="1275"/>
        <w:gridCol w:w="1150"/>
        <w:gridCol w:w="1417"/>
        <w:gridCol w:w="1418"/>
        <w:gridCol w:w="1417"/>
        <w:gridCol w:w="993"/>
        <w:gridCol w:w="992"/>
        <w:gridCol w:w="850"/>
        <w:gridCol w:w="709"/>
        <w:gridCol w:w="4540"/>
      </w:tblGrid>
      <w:tr w:rsidR="00347AE9" w:rsidRPr="005241FC" w14:paraId="5A38F3D5" w14:textId="77777777" w:rsidTr="00A80AF7">
        <w:trPr>
          <w:tblHeader/>
          <w:jc w:val="center"/>
        </w:trPr>
        <w:tc>
          <w:tcPr>
            <w:tcW w:w="689"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tcPr>
          <w:p w14:paraId="177841C6" w14:textId="77777777" w:rsidR="00240F1F" w:rsidRPr="001C00FB" w:rsidRDefault="00240F1F" w:rsidP="002F262F">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Пореден номер</w:t>
            </w:r>
          </w:p>
          <w:p w14:paraId="58875810" w14:textId="7997B285" w:rsidR="00240F1F" w:rsidRPr="001C00FB" w:rsidRDefault="00240F1F" w:rsidP="002F262F">
            <w:pPr>
              <w:spacing w:after="0" w:line="240" w:lineRule="auto"/>
              <w:jc w:val="center"/>
              <w:rPr>
                <w:rFonts w:ascii="Times New Roman" w:eastAsia="Times New Roman" w:hAnsi="Times New Roman" w:cs="Times New Roman"/>
                <w:b/>
                <w:bCs/>
                <w:noProof/>
                <w:sz w:val="18"/>
                <w:szCs w:val="18"/>
                <w:lang w:val="en-GB" w:eastAsia="en-GB"/>
              </w:rPr>
            </w:pPr>
          </w:p>
        </w:tc>
        <w:tc>
          <w:tcPr>
            <w:tcW w:w="1275" w:type="dxa"/>
            <w:vMerge w:val="restart"/>
            <w:tcBorders>
              <w:top w:val="single" w:sz="4" w:space="0" w:color="auto"/>
              <w:left w:val="nil"/>
              <w:bottom w:val="single" w:sz="4" w:space="0" w:color="auto"/>
              <w:right w:val="single" w:sz="4" w:space="0" w:color="auto"/>
            </w:tcBorders>
            <w:shd w:val="clear" w:color="auto" w:fill="BDD6EE" w:themeFill="accent1" w:themeFillTint="66"/>
            <w:noWrap/>
            <w:vAlign w:val="center"/>
          </w:tcPr>
          <w:p w14:paraId="5B4A32B4" w14:textId="59148565" w:rsidR="00240F1F" w:rsidRPr="001C00FB" w:rsidRDefault="00240F1F" w:rsidP="002F262F">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Свързана мярка (реформа или инвестиция)</w:t>
            </w:r>
          </w:p>
        </w:tc>
        <w:tc>
          <w:tcPr>
            <w:tcW w:w="1150" w:type="dxa"/>
            <w:vMerge w:val="restart"/>
            <w:tcBorders>
              <w:top w:val="single" w:sz="4" w:space="0" w:color="auto"/>
              <w:left w:val="nil"/>
              <w:bottom w:val="single" w:sz="4" w:space="0" w:color="auto"/>
              <w:right w:val="single" w:sz="4" w:space="0" w:color="auto"/>
            </w:tcBorders>
            <w:shd w:val="clear" w:color="auto" w:fill="BDD6EE" w:themeFill="accent1" w:themeFillTint="66"/>
            <w:noWrap/>
            <w:vAlign w:val="center"/>
          </w:tcPr>
          <w:p w14:paraId="48881BE0" w14:textId="315F054A" w:rsidR="00240F1F" w:rsidRPr="001C00FB" w:rsidRDefault="00240F1F" w:rsidP="002F262F">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Ключов етап / Цел</w:t>
            </w:r>
          </w:p>
        </w:tc>
        <w:tc>
          <w:tcPr>
            <w:tcW w:w="1417" w:type="dxa"/>
            <w:vMerge w:val="restart"/>
            <w:tcBorders>
              <w:top w:val="single" w:sz="4" w:space="0" w:color="auto"/>
              <w:left w:val="nil"/>
              <w:bottom w:val="single" w:sz="4" w:space="0" w:color="auto"/>
              <w:right w:val="single" w:sz="4" w:space="0" w:color="auto"/>
            </w:tcBorders>
            <w:shd w:val="clear" w:color="auto" w:fill="BDD6EE" w:themeFill="accent1" w:themeFillTint="66"/>
            <w:noWrap/>
            <w:vAlign w:val="center"/>
          </w:tcPr>
          <w:p w14:paraId="28A23D37" w14:textId="2C94C87B" w:rsidR="00240F1F" w:rsidRPr="001C00FB" w:rsidRDefault="00240F1F" w:rsidP="002F262F">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Наименование</w:t>
            </w:r>
          </w:p>
        </w:tc>
        <w:tc>
          <w:tcPr>
            <w:tcW w:w="1418" w:type="dxa"/>
            <w:vMerge w:val="restart"/>
            <w:tcBorders>
              <w:top w:val="single" w:sz="4" w:space="0" w:color="auto"/>
              <w:left w:val="nil"/>
              <w:bottom w:val="single" w:sz="4" w:space="0" w:color="auto"/>
              <w:right w:val="single" w:sz="4" w:space="0" w:color="auto"/>
            </w:tcBorders>
            <w:shd w:val="clear" w:color="auto" w:fill="BDD6EE" w:themeFill="accent1" w:themeFillTint="66"/>
            <w:noWrap/>
            <w:vAlign w:val="center"/>
          </w:tcPr>
          <w:p w14:paraId="73131C7A" w14:textId="0CC873FB" w:rsidR="00240F1F" w:rsidRPr="001C00FB" w:rsidRDefault="00240F1F" w:rsidP="002F262F">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Качествени показатели </w:t>
            </w:r>
            <w:r>
              <w:rPr>
                <w:rFonts w:ascii="Times New Roman" w:hAnsi="Times New Roman"/>
                <w:b/>
                <w:noProof/>
                <w:sz w:val="18"/>
              </w:rPr>
              <w:br/>
              <w:t>(за ключовите етапи)</w:t>
            </w:r>
          </w:p>
        </w:tc>
        <w:tc>
          <w:tcPr>
            <w:tcW w:w="3402" w:type="dxa"/>
            <w:gridSpan w:val="3"/>
            <w:tcBorders>
              <w:top w:val="single" w:sz="4" w:space="0" w:color="auto"/>
              <w:left w:val="nil"/>
              <w:bottom w:val="single" w:sz="4" w:space="0" w:color="auto"/>
              <w:right w:val="single" w:sz="4" w:space="0" w:color="auto"/>
            </w:tcBorders>
            <w:shd w:val="clear" w:color="auto" w:fill="BDD6EE" w:themeFill="accent1" w:themeFillTint="66"/>
            <w:noWrap/>
            <w:vAlign w:val="center"/>
          </w:tcPr>
          <w:p w14:paraId="25B67D3C" w14:textId="2346A724" w:rsidR="00240F1F" w:rsidRPr="001C00FB" w:rsidRDefault="00240F1F" w:rsidP="002F262F">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Количествени показатели </w:t>
            </w:r>
            <w:r>
              <w:rPr>
                <w:rFonts w:ascii="Times New Roman" w:hAnsi="Times New Roman"/>
                <w:b/>
                <w:noProof/>
                <w:sz w:val="18"/>
              </w:rPr>
              <w:br/>
              <w:t>(за целите)</w:t>
            </w:r>
          </w:p>
        </w:tc>
        <w:tc>
          <w:tcPr>
            <w:tcW w:w="1559" w:type="dxa"/>
            <w:gridSpan w:val="2"/>
            <w:tcBorders>
              <w:top w:val="single" w:sz="4" w:space="0" w:color="auto"/>
              <w:left w:val="nil"/>
              <w:bottom w:val="single" w:sz="4" w:space="0" w:color="auto"/>
              <w:right w:val="single" w:sz="4" w:space="0" w:color="auto"/>
            </w:tcBorders>
            <w:shd w:val="clear" w:color="auto" w:fill="BDD6EE" w:themeFill="accent1" w:themeFillTint="66"/>
            <w:noWrap/>
            <w:vAlign w:val="center"/>
          </w:tcPr>
          <w:p w14:paraId="4414BDFF" w14:textId="2493E25B" w:rsidR="00240F1F" w:rsidRPr="001C00FB" w:rsidRDefault="00240F1F" w:rsidP="002F262F">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Ориентировъчен график за приключване</w:t>
            </w:r>
          </w:p>
        </w:tc>
        <w:tc>
          <w:tcPr>
            <w:tcW w:w="4540" w:type="dxa"/>
            <w:vMerge w:val="restart"/>
            <w:tcBorders>
              <w:top w:val="single" w:sz="4" w:space="0" w:color="auto"/>
              <w:left w:val="nil"/>
              <w:bottom w:val="single" w:sz="4" w:space="0" w:color="auto"/>
              <w:right w:val="single" w:sz="4" w:space="0" w:color="auto"/>
            </w:tcBorders>
            <w:shd w:val="clear" w:color="auto" w:fill="BDD6EE" w:themeFill="accent1" w:themeFillTint="66"/>
            <w:noWrap/>
            <w:vAlign w:val="center"/>
          </w:tcPr>
          <w:p w14:paraId="6AC9C935" w14:textId="08C9A277" w:rsidR="00240F1F" w:rsidRPr="001C00FB" w:rsidRDefault="00240F1F" w:rsidP="003E1114">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b/>
                <w:noProof/>
                <w:sz w:val="18"/>
              </w:rPr>
              <w:t>Описание на всеки ключов етап и цел</w:t>
            </w:r>
          </w:p>
        </w:tc>
      </w:tr>
      <w:tr w:rsidR="00347AE9" w:rsidRPr="00225351" w14:paraId="36756C83" w14:textId="77777777" w:rsidTr="00A80AF7">
        <w:trPr>
          <w:tblHeader/>
          <w:jc w:val="center"/>
        </w:trPr>
        <w:tc>
          <w:tcPr>
            <w:tcW w:w="689" w:type="dxa"/>
            <w:vMerge/>
            <w:tcBorders>
              <w:top w:val="single" w:sz="4" w:space="0" w:color="auto"/>
              <w:left w:val="single" w:sz="4" w:space="0" w:color="auto"/>
              <w:bottom w:val="single" w:sz="4" w:space="0" w:color="auto"/>
              <w:right w:val="single" w:sz="4" w:space="0" w:color="auto"/>
            </w:tcBorders>
            <w:noWrap/>
          </w:tcPr>
          <w:p w14:paraId="754128DC" w14:textId="77777777" w:rsidR="00240F1F" w:rsidRPr="008A0F8A" w:rsidRDefault="00240F1F" w:rsidP="00240F1F">
            <w:pPr>
              <w:spacing w:after="0" w:line="240" w:lineRule="auto"/>
              <w:jc w:val="center"/>
              <w:rPr>
                <w:rFonts w:ascii="Times New Roman" w:eastAsia="Times New Roman" w:hAnsi="Times New Roman" w:cs="Times New Roman"/>
                <w:b/>
                <w:bCs/>
                <w:noProof/>
                <w:sz w:val="20"/>
                <w:szCs w:val="20"/>
                <w:lang w:val="ru-RU" w:eastAsia="en-GB"/>
              </w:rPr>
            </w:pPr>
          </w:p>
        </w:tc>
        <w:tc>
          <w:tcPr>
            <w:tcW w:w="1275" w:type="dxa"/>
            <w:vMerge/>
            <w:tcBorders>
              <w:top w:val="single" w:sz="4" w:space="0" w:color="auto"/>
              <w:left w:val="single" w:sz="4" w:space="0" w:color="auto"/>
              <w:bottom w:val="single" w:sz="4" w:space="0" w:color="auto"/>
              <w:right w:val="single" w:sz="4" w:space="0" w:color="auto"/>
            </w:tcBorders>
            <w:noWrap/>
          </w:tcPr>
          <w:p w14:paraId="5FC980B9" w14:textId="77777777" w:rsidR="00240F1F" w:rsidRPr="008A0F8A" w:rsidRDefault="00240F1F" w:rsidP="00240F1F">
            <w:pPr>
              <w:spacing w:after="0" w:line="240" w:lineRule="auto"/>
              <w:jc w:val="center"/>
              <w:rPr>
                <w:rFonts w:ascii="Times New Roman" w:eastAsia="Times New Roman" w:hAnsi="Times New Roman" w:cs="Times New Roman"/>
                <w:b/>
                <w:bCs/>
                <w:noProof/>
                <w:sz w:val="20"/>
                <w:szCs w:val="20"/>
                <w:lang w:val="ru-RU" w:eastAsia="en-GB"/>
              </w:rPr>
            </w:pPr>
          </w:p>
        </w:tc>
        <w:tc>
          <w:tcPr>
            <w:tcW w:w="1150" w:type="dxa"/>
            <w:vMerge/>
            <w:tcBorders>
              <w:top w:val="single" w:sz="4" w:space="0" w:color="auto"/>
              <w:left w:val="single" w:sz="4" w:space="0" w:color="auto"/>
              <w:bottom w:val="single" w:sz="4" w:space="0" w:color="auto"/>
              <w:right w:val="single" w:sz="4" w:space="0" w:color="auto"/>
            </w:tcBorders>
            <w:noWrap/>
          </w:tcPr>
          <w:p w14:paraId="505C1C56" w14:textId="77777777" w:rsidR="00240F1F" w:rsidRPr="008A0F8A" w:rsidRDefault="00240F1F" w:rsidP="00240F1F">
            <w:pPr>
              <w:spacing w:after="0" w:line="240" w:lineRule="auto"/>
              <w:jc w:val="center"/>
              <w:rPr>
                <w:rFonts w:ascii="Times New Roman" w:eastAsia="Times New Roman" w:hAnsi="Times New Roman" w:cs="Times New Roman"/>
                <w:b/>
                <w:bCs/>
                <w:noProof/>
                <w:sz w:val="20"/>
                <w:szCs w:val="20"/>
                <w:lang w:val="ru-RU" w:eastAsia="en-GB"/>
              </w:rPr>
            </w:pPr>
          </w:p>
        </w:tc>
        <w:tc>
          <w:tcPr>
            <w:tcW w:w="1417" w:type="dxa"/>
            <w:vMerge/>
            <w:tcBorders>
              <w:top w:val="single" w:sz="4" w:space="0" w:color="auto"/>
              <w:left w:val="single" w:sz="4" w:space="0" w:color="auto"/>
              <w:bottom w:val="single" w:sz="4" w:space="0" w:color="auto"/>
              <w:right w:val="single" w:sz="4" w:space="0" w:color="auto"/>
            </w:tcBorders>
            <w:noWrap/>
          </w:tcPr>
          <w:p w14:paraId="78B7F4FE" w14:textId="77777777" w:rsidR="00240F1F" w:rsidRPr="008A0F8A" w:rsidRDefault="00240F1F" w:rsidP="00240F1F">
            <w:pPr>
              <w:spacing w:after="0" w:line="240" w:lineRule="auto"/>
              <w:jc w:val="center"/>
              <w:rPr>
                <w:rFonts w:ascii="Times New Roman" w:eastAsia="Times New Roman" w:hAnsi="Times New Roman" w:cs="Times New Roman"/>
                <w:b/>
                <w:bCs/>
                <w:noProof/>
                <w:sz w:val="20"/>
                <w:szCs w:val="20"/>
                <w:lang w:val="ru-RU" w:eastAsia="en-GB"/>
              </w:rPr>
            </w:pPr>
          </w:p>
        </w:tc>
        <w:tc>
          <w:tcPr>
            <w:tcW w:w="1418" w:type="dxa"/>
            <w:vMerge/>
            <w:tcBorders>
              <w:top w:val="single" w:sz="4" w:space="0" w:color="auto"/>
              <w:left w:val="single" w:sz="4" w:space="0" w:color="auto"/>
              <w:bottom w:val="single" w:sz="4" w:space="0" w:color="auto"/>
              <w:right w:val="single" w:sz="4" w:space="0" w:color="auto"/>
            </w:tcBorders>
            <w:noWrap/>
          </w:tcPr>
          <w:p w14:paraId="443EA7BD" w14:textId="77777777" w:rsidR="00240F1F" w:rsidRPr="008A0F8A" w:rsidRDefault="00240F1F" w:rsidP="00240F1F">
            <w:pPr>
              <w:spacing w:after="0" w:line="240" w:lineRule="auto"/>
              <w:jc w:val="center"/>
              <w:rPr>
                <w:rFonts w:ascii="Times New Roman" w:eastAsia="Times New Roman" w:hAnsi="Times New Roman" w:cs="Times New Roman"/>
                <w:b/>
                <w:bCs/>
                <w:noProof/>
                <w:sz w:val="20"/>
                <w:szCs w:val="20"/>
                <w:lang w:val="ru-RU"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2B5D40E" w14:textId="466B339D" w:rsidR="00240F1F" w:rsidRPr="001C00FB" w:rsidRDefault="00240F1F" w:rsidP="00240F1F">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Мерна единица</w:t>
            </w:r>
          </w:p>
        </w:tc>
        <w:tc>
          <w:tcPr>
            <w:tcW w:w="993" w:type="dxa"/>
            <w:tcBorders>
              <w:top w:val="single" w:sz="4" w:space="0" w:color="auto"/>
              <w:left w:val="nil"/>
              <w:bottom w:val="single" w:sz="4" w:space="0" w:color="auto"/>
              <w:right w:val="single" w:sz="4" w:space="0" w:color="auto"/>
            </w:tcBorders>
            <w:shd w:val="clear" w:color="auto" w:fill="BDD6EE" w:themeFill="accent1" w:themeFillTint="66"/>
            <w:noWrap/>
          </w:tcPr>
          <w:p w14:paraId="0494E120" w14:textId="35531453" w:rsidR="00240F1F" w:rsidRPr="001C00FB" w:rsidRDefault="00240F1F" w:rsidP="00240F1F">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Базова линия</w:t>
            </w:r>
          </w:p>
        </w:tc>
        <w:tc>
          <w:tcPr>
            <w:tcW w:w="992" w:type="dxa"/>
            <w:tcBorders>
              <w:top w:val="single" w:sz="4" w:space="0" w:color="auto"/>
              <w:left w:val="nil"/>
              <w:bottom w:val="single" w:sz="4" w:space="0" w:color="auto"/>
              <w:right w:val="single" w:sz="4" w:space="0" w:color="auto"/>
            </w:tcBorders>
            <w:shd w:val="clear" w:color="auto" w:fill="BDD6EE" w:themeFill="accent1" w:themeFillTint="66"/>
            <w:noWrap/>
          </w:tcPr>
          <w:p w14:paraId="5E8D3967" w14:textId="4EA4414E" w:rsidR="00240F1F" w:rsidRPr="001C00FB" w:rsidRDefault="00240F1F" w:rsidP="00240F1F">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Цел</w:t>
            </w:r>
          </w:p>
        </w:tc>
        <w:tc>
          <w:tcPr>
            <w:tcW w:w="850" w:type="dxa"/>
            <w:tcBorders>
              <w:top w:val="single" w:sz="4" w:space="0" w:color="auto"/>
              <w:left w:val="nil"/>
              <w:bottom w:val="single" w:sz="4" w:space="0" w:color="auto"/>
              <w:right w:val="single" w:sz="4" w:space="0" w:color="auto"/>
            </w:tcBorders>
            <w:shd w:val="clear" w:color="auto" w:fill="BDD6EE" w:themeFill="accent1" w:themeFillTint="66"/>
            <w:noWrap/>
          </w:tcPr>
          <w:p w14:paraId="6AE007C5" w14:textId="01107FF6" w:rsidR="00240F1F" w:rsidRPr="001C00FB" w:rsidRDefault="00240F1F" w:rsidP="00240F1F">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Тримесечие</w:t>
            </w:r>
          </w:p>
        </w:tc>
        <w:tc>
          <w:tcPr>
            <w:tcW w:w="709" w:type="dxa"/>
            <w:tcBorders>
              <w:top w:val="single" w:sz="4" w:space="0" w:color="auto"/>
              <w:left w:val="nil"/>
              <w:bottom w:val="single" w:sz="4" w:space="0" w:color="auto"/>
              <w:right w:val="single" w:sz="4" w:space="0" w:color="auto"/>
            </w:tcBorders>
            <w:shd w:val="clear" w:color="auto" w:fill="BDD6EE" w:themeFill="accent1" w:themeFillTint="66"/>
            <w:noWrap/>
          </w:tcPr>
          <w:p w14:paraId="2F970B3A" w14:textId="0684F478" w:rsidR="00240F1F" w:rsidRPr="001C00FB" w:rsidRDefault="00240F1F" w:rsidP="00240F1F">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Година</w:t>
            </w:r>
          </w:p>
        </w:tc>
        <w:tc>
          <w:tcPr>
            <w:tcW w:w="4540" w:type="dxa"/>
            <w:vMerge/>
            <w:tcBorders>
              <w:top w:val="single" w:sz="4" w:space="0" w:color="auto"/>
              <w:bottom w:val="single" w:sz="4" w:space="0" w:color="auto"/>
              <w:right w:val="single" w:sz="4" w:space="0" w:color="auto"/>
            </w:tcBorders>
            <w:noWrap/>
          </w:tcPr>
          <w:p w14:paraId="509670E2" w14:textId="77777777" w:rsidR="00240F1F" w:rsidRPr="00225351" w:rsidRDefault="00240F1F" w:rsidP="00693327">
            <w:pPr>
              <w:spacing w:after="0" w:line="240" w:lineRule="auto"/>
              <w:rPr>
                <w:rFonts w:ascii="Times New Roman" w:eastAsia="Times New Roman" w:hAnsi="Times New Roman" w:cs="Times New Roman"/>
                <w:noProof/>
                <w:color w:val="006100"/>
                <w:sz w:val="20"/>
                <w:szCs w:val="20"/>
                <w:lang w:val="en-IE"/>
              </w:rPr>
            </w:pPr>
          </w:p>
        </w:tc>
      </w:tr>
      <w:tr w:rsidR="00225351" w:rsidRPr="005241FC" w14:paraId="5C2F7A07" w14:textId="77777777" w:rsidTr="00A80AF7">
        <w:trPr>
          <w:jc w:val="center"/>
        </w:trPr>
        <w:tc>
          <w:tcPr>
            <w:tcW w:w="689" w:type="dxa"/>
            <w:tcBorders>
              <w:top w:val="single" w:sz="4" w:space="0" w:color="auto"/>
              <w:left w:val="single" w:sz="4" w:space="0" w:color="auto"/>
              <w:bottom w:val="single" w:sz="4" w:space="0" w:color="auto"/>
              <w:right w:val="single" w:sz="4" w:space="0" w:color="auto"/>
            </w:tcBorders>
            <w:shd w:val="clear" w:color="auto" w:fill="C6EFCE"/>
            <w:noWrap/>
            <w:hideMark/>
          </w:tcPr>
          <w:p w14:paraId="18598B20" w14:textId="151FEDB9" w:rsidR="00736704" w:rsidRPr="00225351" w:rsidRDefault="00212532" w:rsidP="00693327">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161</w:t>
            </w:r>
          </w:p>
        </w:tc>
        <w:tc>
          <w:tcPr>
            <w:tcW w:w="1275" w:type="dxa"/>
            <w:tcBorders>
              <w:top w:val="single" w:sz="4" w:space="0" w:color="auto"/>
              <w:left w:val="nil"/>
              <w:bottom w:val="single" w:sz="4" w:space="0" w:color="auto"/>
              <w:right w:val="single" w:sz="4" w:space="0" w:color="auto"/>
            </w:tcBorders>
            <w:shd w:val="clear" w:color="auto" w:fill="C6EFCE"/>
            <w:noWrap/>
            <w:hideMark/>
          </w:tcPr>
          <w:p w14:paraId="3E3B11BB" w14:textId="5EACF74D" w:rsidR="00736704" w:rsidRPr="00225351" w:rsidRDefault="00152560" w:rsidP="00152560">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К8.Р1: Стратегическа рамка за транспорта</w:t>
            </w:r>
          </w:p>
        </w:tc>
        <w:tc>
          <w:tcPr>
            <w:tcW w:w="1150" w:type="dxa"/>
            <w:tcBorders>
              <w:top w:val="single" w:sz="4" w:space="0" w:color="auto"/>
              <w:left w:val="nil"/>
              <w:bottom w:val="single" w:sz="4" w:space="0" w:color="auto"/>
              <w:right w:val="single" w:sz="4" w:space="0" w:color="auto"/>
            </w:tcBorders>
            <w:shd w:val="clear" w:color="auto" w:fill="C6EFCE"/>
            <w:noWrap/>
            <w:hideMark/>
          </w:tcPr>
          <w:p w14:paraId="7B241B3B" w14:textId="77777777" w:rsidR="00736704" w:rsidRPr="00225351" w:rsidRDefault="00736704" w:rsidP="00693327">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417" w:type="dxa"/>
            <w:tcBorders>
              <w:top w:val="single" w:sz="4" w:space="0" w:color="auto"/>
              <w:left w:val="nil"/>
              <w:bottom w:val="single" w:sz="4" w:space="0" w:color="auto"/>
              <w:right w:val="single" w:sz="4" w:space="0" w:color="auto"/>
            </w:tcBorders>
            <w:shd w:val="clear" w:color="auto" w:fill="C6EFCE"/>
            <w:noWrap/>
            <w:hideMark/>
          </w:tcPr>
          <w:p w14:paraId="3335A0A5"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Влизане в сила на Националния план за развитие на комбинирания транспорт в България до 2030 г.</w:t>
            </w:r>
          </w:p>
        </w:tc>
        <w:tc>
          <w:tcPr>
            <w:tcW w:w="1418" w:type="dxa"/>
            <w:tcBorders>
              <w:top w:val="single" w:sz="4" w:space="0" w:color="auto"/>
              <w:left w:val="nil"/>
              <w:bottom w:val="single" w:sz="4" w:space="0" w:color="auto"/>
              <w:right w:val="single" w:sz="4" w:space="0" w:color="auto"/>
            </w:tcBorders>
            <w:shd w:val="clear" w:color="auto" w:fill="C6EFCE"/>
            <w:noWrap/>
            <w:hideMark/>
          </w:tcPr>
          <w:p w14:paraId="2B60974F"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Влизане в сила на плана чрез одобрение от правителството </w:t>
            </w:r>
          </w:p>
        </w:tc>
        <w:tc>
          <w:tcPr>
            <w:tcW w:w="1417" w:type="dxa"/>
            <w:tcBorders>
              <w:top w:val="single" w:sz="4" w:space="0" w:color="auto"/>
              <w:left w:val="nil"/>
              <w:bottom w:val="single" w:sz="4" w:space="0" w:color="auto"/>
              <w:right w:val="single" w:sz="4" w:space="0" w:color="auto"/>
            </w:tcBorders>
            <w:shd w:val="clear" w:color="auto" w:fill="C6EFCE"/>
            <w:noWrap/>
            <w:hideMark/>
          </w:tcPr>
          <w:p w14:paraId="33998279" w14:textId="77777777" w:rsidR="00736704" w:rsidRPr="008A0F8A" w:rsidRDefault="00736704" w:rsidP="00693327">
            <w:pPr>
              <w:spacing w:after="0" w:line="240" w:lineRule="auto"/>
              <w:rPr>
                <w:rFonts w:ascii="Times New Roman" w:eastAsia="Times New Roman" w:hAnsi="Times New Roman" w:cs="Times New Roman"/>
                <w:noProof/>
                <w:color w:val="006100"/>
                <w:sz w:val="20"/>
                <w:szCs w:val="20"/>
                <w:lang w:val="ru-RU"/>
              </w:rPr>
            </w:pPr>
          </w:p>
        </w:tc>
        <w:tc>
          <w:tcPr>
            <w:tcW w:w="993" w:type="dxa"/>
            <w:tcBorders>
              <w:top w:val="single" w:sz="4" w:space="0" w:color="auto"/>
              <w:left w:val="nil"/>
              <w:bottom w:val="single" w:sz="4" w:space="0" w:color="auto"/>
              <w:right w:val="single" w:sz="4" w:space="0" w:color="auto"/>
            </w:tcBorders>
            <w:shd w:val="clear" w:color="auto" w:fill="C6EFCE"/>
            <w:noWrap/>
            <w:hideMark/>
          </w:tcPr>
          <w:p w14:paraId="232F2E75" w14:textId="77777777" w:rsidR="00736704" w:rsidRPr="008A0F8A" w:rsidRDefault="00736704" w:rsidP="00693327">
            <w:pPr>
              <w:spacing w:after="0" w:line="240" w:lineRule="auto"/>
              <w:rPr>
                <w:rFonts w:ascii="Times New Roman" w:eastAsia="Times New Roman" w:hAnsi="Times New Roman" w:cs="Times New Roman"/>
                <w:noProof/>
                <w:color w:val="006100"/>
                <w:sz w:val="20"/>
                <w:szCs w:val="20"/>
                <w:lang w:val="ru-RU"/>
              </w:rPr>
            </w:pPr>
          </w:p>
        </w:tc>
        <w:tc>
          <w:tcPr>
            <w:tcW w:w="992" w:type="dxa"/>
            <w:tcBorders>
              <w:top w:val="single" w:sz="4" w:space="0" w:color="auto"/>
              <w:left w:val="nil"/>
              <w:bottom w:val="single" w:sz="4" w:space="0" w:color="auto"/>
              <w:right w:val="single" w:sz="4" w:space="0" w:color="auto"/>
            </w:tcBorders>
            <w:shd w:val="clear" w:color="auto" w:fill="C6EFCE"/>
            <w:noWrap/>
            <w:hideMark/>
          </w:tcPr>
          <w:p w14:paraId="6415F174" w14:textId="77777777" w:rsidR="00736704" w:rsidRPr="008A0F8A" w:rsidRDefault="00736704" w:rsidP="00693327">
            <w:pPr>
              <w:spacing w:after="0" w:line="240" w:lineRule="auto"/>
              <w:rPr>
                <w:rFonts w:ascii="Times New Roman" w:eastAsia="Times New Roman" w:hAnsi="Times New Roman" w:cs="Times New Roman"/>
                <w:noProof/>
                <w:color w:val="006100"/>
                <w:sz w:val="20"/>
                <w:szCs w:val="20"/>
                <w:lang w:val="ru-RU"/>
              </w:rPr>
            </w:pPr>
          </w:p>
        </w:tc>
        <w:tc>
          <w:tcPr>
            <w:tcW w:w="850" w:type="dxa"/>
            <w:tcBorders>
              <w:top w:val="single" w:sz="4" w:space="0" w:color="auto"/>
              <w:left w:val="nil"/>
              <w:bottom w:val="single" w:sz="4" w:space="0" w:color="auto"/>
              <w:right w:val="single" w:sz="4" w:space="0" w:color="auto"/>
            </w:tcBorders>
            <w:shd w:val="clear" w:color="auto" w:fill="C6EFCE"/>
            <w:noWrap/>
            <w:hideMark/>
          </w:tcPr>
          <w:p w14:paraId="38DCDCC3"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T2</w:t>
            </w:r>
          </w:p>
        </w:tc>
        <w:tc>
          <w:tcPr>
            <w:tcW w:w="709" w:type="dxa"/>
            <w:tcBorders>
              <w:top w:val="single" w:sz="4" w:space="0" w:color="auto"/>
              <w:left w:val="nil"/>
              <w:bottom w:val="single" w:sz="4" w:space="0" w:color="auto"/>
              <w:right w:val="single" w:sz="4" w:space="0" w:color="auto"/>
            </w:tcBorders>
            <w:shd w:val="clear" w:color="auto" w:fill="C6EFCE"/>
            <w:noWrap/>
            <w:hideMark/>
          </w:tcPr>
          <w:p w14:paraId="0C0DF4B8"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2022</w:t>
            </w:r>
          </w:p>
        </w:tc>
        <w:tc>
          <w:tcPr>
            <w:tcW w:w="4540" w:type="dxa"/>
            <w:tcBorders>
              <w:top w:val="single" w:sz="4" w:space="0" w:color="auto"/>
              <w:left w:val="nil"/>
              <w:bottom w:val="single" w:sz="4" w:space="0" w:color="auto"/>
              <w:right w:val="single" w:sz="4" w:space="0" w:color="auto"/>
            </w:tcBorders>
            <w:shd w:val="clear" w:color="auto" w:fill="C6EFCE"/>
            <w:noWrap/>
          </w:tcPr>
          <w:p w14:paraId="0E71DC16"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Националният план за развитие на комбинирания транспорт в България до 2030 г. трябва да влезе в сила чрез одобрение от Министерския съвет. </w:t>
            </w:r>
          </w:p>
          <w:p w14:paraId="4114F608"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Националният план за развитие на комбинирания транспорт в Република България до 2030 г. трябва да насърчава и улеснява преминаването към по-екологосъобразни видове транспорт — железопътен, по вътрешни водни пътища и морски — и да постига по-устойчиво и по-малко замърсяващо въздействие на транспорта с ясен план за действие, включващ цели, ресурси и график до 2030 г.</w:t>
            </w:r>
          </w:p>
        </w:tc>
      </w:tr>
      <w:tr w:rsidR="00225351" w:rsidRPr="005241FC" w14:paraId="1784C743" w14:textId="77777777" w:rsidTr="00A80AF7">
        <w:trPr>
          <w:jc w:val="center"/>
        </w:trPr>
        <w:tc>
          <w:tcPr>
            <w:tcW w:w="689" w:type="dxa"/>
            <w:tcBorders>
              <w:top w:val="single" w:sz="4" w:space="0" w:color="auto"/>
              <w:left w:val="single" w:sz="4" w:space="0" w:color="auto"/>
              <w:bottom w:val="single" w:sz="4" w:space="0" w:color="auto"/>
              <w:right w:val="single" w:sz="4" w:space="0" w:color="auto"/>
            </w:tcBorders>
            <w:shd w:val="clear" w:color="auto" w:fill="C6EFCE"/>
            <w:noWrap/>
          </w:tcPr>
          <w:p w14:paraId="246958AE" w14:textId="00A9807F" w:rsidR="00736704" w:rsidRPr="00225351" w:rsidRDefault="00212532" w:rsidP="00693327">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162</w:t>
            </w:r>
          </w:p>
        </w:tc>
        <w:tc>
          <w:tcPr>
            <w:tcW w:w="1275" w:type="dxa"/>
            <w:tcBorders>
              <w:top w:val="single" w:sz="4" w:space="0" w:color="auto"/>
              <w:left w:val="nil"/>
              <w:bottom w:val="single" w:sz="4" w:space="0" w:color="auto"/>
              <w:right w:val="single" w:sz="4" w:space="0" w:color="auto"/>
            </w:tcBorders>
            <w:shd w:val="clear" w:color="auto" w:fill="C6EFCE"/>
            <w:noWrap/>
          </w:tcPr>
          <w:p w14:paraId="787BC188" w14:textId="1CD9A3DA" w:rsidR="00736704" w:rsidRPr="00225351" w:rsidRDefault="00152560" w:rsidP="00693327">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К8.Р1: Стратегическа рамка за транспорта</w:t>
            </w:r>
          </w:p>
        </w:tc>
        <w:tc>
          <w:tcPr>
            <w:tcW w:w="1150" w:type="dxa"/>
            <w:tcBorders>
              <w:top w:val="single" w:sz="4" w:space="0" w:color="auto"/>
              <w:left w:val="nil"/>
              <w:bottom w:val="single" w:sz="4" w:space="0" w:color="auto"/>
              <w:right w:val="single" w:sz="4" w:space="0" w:color="auto"/>
            </w:tcBorders>
            <w:shd w:val="clear" w:color="auto" w:fill="C6EFCE"/>
            <w:noWrap/>
          </w:tcPr>
          <w:p w14:paraId="3EBC72B2" w14:textId="77777777" w:rsidR="00736704" w:rsidRPr="00225351" w:rsidRDefault="00736704" w:rsidP="00693327">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417" w:type="dxa"/>
            <w:tcBorders>
              <w:top w:val="single" w:sz="4" w:space="0" w:color="auto"/>
              <w:left w:val="nil"/>
              <w:bottom w:val="single" w:sz="4" w:space="0" w:color="auto"/>
              <w:right w:val="single" w:sz="4" w:space="0" w:color="auto"/>
            </w:tcBorders>
            <w:shd w:val="clear" w:color="auto" w:fill="C6EFCE"/>
            <w:noWrap/>
          </w:tcPr>
          <w:p w14:paraId="5E88ECE8" w14:textId="647FD17C" w:rsidR="00736704" w:rsidRPr="00225351" w:rsidRDefault="00736704" w:rsidP="00693327">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Укрепване на капацитета за управление и изпълнение на железопътни проекти за TEN-T</w:t>
            </w:r>
          </w:p>
        </w:tc>
        <w:tc>
          <w:tcPr>
            <w:tcW w:w="1418" w:type="dxa"/>
            <w:tcBorders>
              <w:top w:val="single" w:sz="4" w:space="0" w:color="auto"/>
              <w:left w:val="nil"/>
              <w:bottom w:val="single" w:sz="4" w:space="0" w:color="auto"/>
              <w:right w:val="single" w:sz="4" w:space="0" w:color="auto"/>
            </w:tcBorders>
            <w:shd w:val="clear" w:color="auto" w:fill="C6EFCE"/>
            <w:noWrap/>
          </w:tcPr>
          <w:p w14:paraId="45F55CBE" w14:textId="77777777" w:rsidR="00736704" w:rsidRPr="00225351" w:rsidRDefault="00736704" w:rsidP="00693327">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Приключен независим одит</w:t>
            </w:r>
          </w:p>
        </w:tc>
        <w:tc>
          <w:tcPr>
            <w:tcW w:w="1417" w:type="dxa"/>
            <w:tcBorders>
              <w:top w:val="single" w:sz="4" w:space="0" w:color="auto"/>
              <w:left w:val="nil"/>
              <w:bottom w:val="single" w:sz="4" w:space="0" w:color="auto"/>
              <w:right w:val="single" w:sz="4" w:space="0" w:color="auto"/>
            </w:tcBorders>
            <w:shd w:val="clear" w:color="auto" w:fill="C6EFCE"/>
            <w:noWrap/>
          </w:tcPr>
          <w:p w14:paraId="70F3C468" w14:textId="77777777" w:rsidR="00736704" w:rsidRPr="00225351" w:rsidRDefault="00736704" w:rsidP="00693327">
            <w:pPr>
              <w:spacing w:after="0" w:line="240" w:lineRule="auto"/>
              <w:jc w:val="both"/>
              <w:rPr>
                <w:rFonts w:ascii="Times New Roman" w:eastAsia="Times New Roman" w:hAnsi="Times New Roman" w:cs="Times New Roman"/>
                <w:noProof/>
                <w:color w:val="006100"/>
                <w:sz w:val="20"/>
                <w:szCs w:val="20"/>
                <w:lang w:val="en-IE"/>
              </w:rPr>
            </w:pPr>
          </w:p>
        </w:tc>
        <w:tc>
          <w:tcPr>
            <w:tcW w:w="993" w:type="dxa"/>
            <w:tcBorders>
              <w:top w:val="single" w:sz="4" w:space="0" w:color="auto"/>
              <w:left w:val="nil"/>
              <w:bottom w:val="single" w:sz="4" w:space="0" w:color="auto"/>
              <w:right w:val="single" w:sz="4" w:space="0" w:color="auto"/>
            </w:tcBorders>
            <w:shd w:val="clear" w:color="auto" w:fill="C6EFCE"/>
            <w:noWrap/>
          </w:tcPr>
          <w:p w14:paraId="52C2AC63" w14:textId="77777777" w:rsidR="00736704" w:rsidRPr="00225351" w:rsidRDefault="00736704" w:rsidP="00693327">
            <w:pPr>
              <w:spacing w:after="0" w:line="240" w:lineRule="auto"/>
              <w:jc w:val="both"/>
              <w:rPr>
                <w:rFonts w:ascii="Times New Roman" w:eastAsia="Times New Roman" w:hAnsi="Times New Roman" w:cs="Times New Roman"/>
                <w:noProof/>
                <w:color w:val="006100"/>
                <w:sz w:val="20"/>
                <w:szCs w:val="20"/>
                <w:lang w:val="en-IE"/>
              </w:rPr>
            </w:pPr>
          </w:p>
        </w:tc>
        <w:tc>
          <w:tcPr>
            <w:tcW w:w="992" w:type="dxa"/>
            <w:tcBorders>
              <w:top w:val="single" w:sz="4" w:space="0" w:color="auto"/>
              <w:left w:val="nil"/>
              <w:bottom w:val="single" w:sz="4" w:space="0" w:color="auto"/>
              <w:right w:val="single" w:sz="4" w:space="0" w:color="auto"/>
            </w:tcBorders>
            <w:shd w:val="clear" w:color="auto" w:fill="C6EFCE"/>
            <w:noWrap/>
          </w:tcPr>
          <w:p w14:paraId="115C2D4E" w14:textId="77777777" w:rsidR="00736704" w:rsidRPr="00225351" w:rsidRDefault="00736704" w:rsidP="00693327">
            <w:pPr>
              <w:spacing w:after="0" w:line="240" w:lineRule="auto"/>
              <w:jc w:val="both"/>
              <w:rPr>
                <w:rFonts w:ascii="Times New Roman" w:eastAsia="Times New Roman" w:hAnsi="Times New Roman" w:cs="Times New Roman"/>
                <w:noProof/>
                <w:color w:val="006100"/>
                <w:sz w:val="20"/>
                <w:szCs w:val="20"/>
                <w:lang w:val="en-IE"/>
              </w:rPr>
            </w:pPr>
          </w:p>
        </w:tc>
        <w:tc>
          <w:tcPr>
            <w:tcW w:w="850" w:type="dxa"/>
            <w:tcBorders>
              <w:top w:val="single" w:sz="4" w:space="0" w:color="auto"/>
              <w:left w:val="nil"/>
              <w:bottom w:val="single" w:sz="4" w:space="0" w:color="auto"/>
              <w:right w:val="single" w:sz="4" w:space="0" w:color="auto"/>
            </w:tcBorders>
            <w:shd w:val="clear" w:color="auto" w:fill="C6EFCE"/>
            <w:noWrap/>
          </w:tcPr>
          <w:p w14:paraId="1842CCED" w14:textId="77777777" w:rsidR="00736704" w:rsidRPr="00225351" w:rsidRDefault="00736704" w:rsidP="00693327">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T4</w:t>
            </w:r>
          </w:p>
        </w:tc>
        <w:tc>
          <w:tcPr>
            <w:tcW w:w="709" w:type="dxa"/>
            <w:tcBorders>
              <w:top w:val="single" w:sz="4" w:space="0" w:color="auto"/>
              <w:left w:val="nil"/>
              <w:bottom w:val="single" w:sz="4" w:space="0" w:color="auto"/>
              <w:right w:val="single" w:sz="4" w:space="0" w:color="auto"/>
            </w:tcBorders>
            <w:shd w:val="clear" w:color="auto" w:fill="C6EFCE"/>
            <w:noWrap/>
          </w:tcPr>
          <w:p w14:paraId="55BC4D6E" w14:textId="77777777" w:rsidR="00736704" w:rsidRPr="00225351" w:rsidRDefault="00736704" w:rsidP="00693327">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2022</w:t>
            </w:r>
          </w:p>
        </w:tc>
        <w:tc>
          <w:tcPr>
            <w:tcW w:w="4540" w:type="dxa"/>
            <w:tcBorders>
              <w:top w:val="single" w:sz="4" w:space="0" w:color="auto"/>
              <w:left w:val="nil"/>
              <w:bottom w:val="single" w:sz="4" w:space="0" w:color="auto"/>
              <w:right w:val="single" w:sz="4" w:space="0" w:color="auto"/>
            </w:tcBorders>
            <w:shd w:val="clear" w:color="auto" w:fill="C6EFCE"/>
            <w:noWrap/>
          </w:tcPr>
          <w:p w14:paraId="33F34AAE" w14:textId="16946C5F" w:rsidR="00736704" w:rsidRPr="00225351" w:rsidRDefault="00736704" w:rsidP="00693327">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Отговорните органи за инвестиции в транспорта, като Национална компания „Железопътна инфраструктура“ (НКЖИ), Агенция „Пътна инфраструктура“ и Министерството на транспорта и съобщенията, трябва да подлежат на независим одит на тяхната организация, административен и технически капацитет за извършване на управление и координация, процедури за възлагане на обществени поръчки, финансово управление, мониторинг, вътрешен контрол на качеството и докладване. Одитът трябва да включва определянето на организацията, координацията и разпределението на отговорностите и ресурсите (брой и профил на персонала, други технически ресурси), необходими за подготовката и изпълнението на проектите за TEN-T с оглед на целта за завършване на основната мрежа на TEN-T до 2030 г. </w:t>
            </w:r>
          </w:p>
        </w:tc>
      </w:tr>
      <w:tr w:rsidR="00225351" w:rsidRPr="005241FC" w14:paraId="30BED10B" w14:textId="77777777" w:rsidTr="00A80AF7">
        <w:trPr>
          <w:jc w:val="center"/>
        </w:trPr>
        <w:tc>
          <w:tcPr>
            <w:tcW w:w="689" w:type="dxa"/>
            <w:tcBorders>
              <w:top w:val="nil"/>
              <w:left w:val="single" w:sz="4" w:space="0" w:color="auto"/>
              <w:bottom w:val="single" w:sz="4" w:space="0" w:color="auto"/>
              <w:right w:val="single" w:sz="4" w:space="0" w:color="auto"/>
            </w:tcBorders>
            <w:shd w:val="clear" w:color="auto" w:fill="C6EFCE"/>
            <w:noWrap/>
          </w:tcPr>
          <w:p w14:paraId="5BDD04D8" w14:textId="67B0A1E9" w:rsidR="00736704" w:rsidRPr="00225351" w:rsidRDefault="00EF6843" w:rsidP="00693327">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163</w:t>
            </w:r>
          </w:p>
        </w:tc>
        <w:tc>
          <w:tcPr>
            <w:tcW w:w="1275" w:type="dxa"/>
            <w:tcBorders>
              <w:top w:val="nil"/>
              <w:left w:val="nil"/>
              <w:bottom w:val="single" w:sz="4" w:space="0" w:color="auto"/>
              <w:right w:val="single" w:sz="4" w:space="0" w:color="auto"/>
            </w:tcBorders>
            <w:shd w:val="clear" w:color="auto" w:fill="C6EFCE"/>
            <w:noWrap/>
          </w:tcPr>
          <w:p w14:paraId="490FB274" w14:textId="134840CD" w:rsidR="00736704" w:rsidRPr="00225351" w:rsidRDefault="00152560"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К8.Р1: Стратегическа рамка за транспорта</w:t>
            </w:r>
          </w:p>
        </w:tc>
        <w:tc>
          <w:tcPr>
            <w:tcW w:w="1150" w:type="dxa"/>
            <w:tcBorders>
              <w:top w:val="nil"/>
              <w:left w:val="nil"/>
              <w:bottom w:val="single" w:sz="4" w:space="0" w:color="auto"/>
              <w:right w:val="single" w:sz="4" w:space="0" w:color="auto"/>
            </w:tcBorders>
            <w:shd w:val="clear" w:color="auto" w:fill="C6EFCE"/>
            <w:noWrap/>
          </w:tcPr>
          <w:p w14:paraId="7A3DD9C3"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417" w:type="dxa"/>
            <w:tcBorders>
              <w:top w:val="nil"/>
              <w:left w:val="nil"/>
              <w:bottom w:val="single" w:sz="4" w:space="0" w:color="auto"/>
              <w:right w:val="single" w:sz="4" w:space="0" w:color="auto"/>
            </w:tcBorders>
            <w:shd w:val="clear" w:color="auto" w:fill="C6EFCE"/>
            <w:noWrap/>
          </w:tcPr>
          <w:p w14:paraId="31D814F0" w14:textId="570E48AF"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Укрепване на капацитета за управление и изпълнение на железопътни проекти за TEN-T</w:t>
            </w:r>
          </w:p>
        </w:tc>
        <w:tc>
          <w:tcPr>
            <w:tcW w:w="1418" w:type="dxa"/>
            <w:tcBorders>
              <w:top w:val="nil"/>
              <w:left w:val="nil"/>
              <w:bottom w:val="single" w:sz="4" w:space="0" w:color="auto"/>
              <w:right w:val="single" w:sz="4" w:space="0" w:color="auto"/>
            </w:tcBorders>
            <w:shd w:val="clear" w:color="auto" w:fill="C6EFCE"/>
            <w:noWrap/>
          </w:tcPr>
          <w:p w14:paraId="49A801D8" w14:textId="5A07490D"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Мерки за изграждане на капацитет за изпълнение след независим одит </w:t>
            </w:r>
          </w:p>
        </w:tc>
        <w:tc>
          <w:tcPr>
            <w:tcW w:w="1417" w:type="dxa"/>
            <w:tcBorders>
              <w:top w:val="nil"/>
              <w:left w:val="nil"/>
              <w:bottom w:val="single" w:sz="4" w:space="0" w:color="auto"/>
              <w:right w:val="single" w:sz="4" w:space="0" w:color="auto"/>
            </w:tcBorders>
            <w:shd w:val="clear" w:color="auto" w:fill="C6EFCE"/>
            <w:noWrap/>
          </w:tcPr>
          <w:p w14:paraId="4D5BA052" w14:textId="77777777" w:rsidR="00736704" w:rsidRPr="008A0F8A" w:rsidRDefault="00736704" w:rsidP="00693327">
            <w:pPr>
              <w:spacing w:after="0" w:line="240" w:lineRule="auto"/>
              <w:rPr>
                <w:rFonts w:ascii="Times New Roman" w:eastAsia="Times New Roman" w:hAnsi="Times New Roman" w:cs="Times New Roman"/>
                <w:noProof/>
                <w:color w:val="006100"/>
                <w:sz w:val="20"/>
                <w:szCs w:val="20"/>
                <w:lang w:val="ru-RU"/>
              </w:rPr>
            </w:pPr>
          </w:p>
        </w:tc>
        <w:tc>
          <w:tcPr>
            <w:tcW w:w="993" w:type="dxa"/>
            <w:tcBorders>
              <w:top w:val="nil"/>
              <w:left w:val="nil"/>
              <w:bottom w:val="single" w:sz="4" w:space="0" w:color="auto"/>
              <w:right w:val="single" w:sz="4" w:space="0" w:color="auto"/>
            </w:tcBorders>
            <w:shd w:val="clear" w:color="auto" w:fill="C6EFCE"/>
            <w:noWrap/>
          </w:tcPr>
          <w:p w14:paraId="4F22565C" w14:textId="77777777" w:rsidR="00736704" w:rsidRPr="008A0F8A" w:rsidRDefault="00736704" w:rsidP="00693327">
            <w:pPr>
              <w:spacing w:after="0" w:line="240" w:lineRule="auto"/>
              <w:rPr>
                <w:rFonts w:ascii="Times New Roman" w:eastAsia="Times New Roman" w:hAnsi="Times New Roman" w:cs="Times New Roman"/>
                <w:noProof/>
                <w:color w:val="006100"/>
                <w:sz w:val="20"/>
                <w:szCs w:val="20"/>
                <w:lang w:val="ru-RU"/>
              </w:rPr>
            </w:pPr>
          </w:p>
        </w:tc>
        <w:tc>
          <w:tcPr>
            <w:tcW w:w="992" w:type="dxa"/>
            <w:tcBorders>
              <w:top w:val="nil"/>
              <w:left w:val="nil"/>
              <w:bottom w:val="single" w:sz="4" w:space="0" w:color="auto"/>
              <w:right w:val="single" w:sz="4" w:space="0" w:color="auto"/>
            </w:tcBorders>
            <w:shd w:val="clear" w:color="auto" w:fill="C6EFCE"/>
            <w:noWrap/>
          </w:tcPr>
          <w:p w14:paraId="7357E8D3" w14:textId="77777777" w:rsidR="00736704" w:rsidRPr="008A0F8A" w:rsidRDefault="00736704" w:rsidP="00693327">
            <w:pPr>
              <w:spacing w:after="0" w:line="240" w:lineRule="auto"/>
              <w:rPr>
                <w:rFonts w:ascii="Times New Roman" w:eastAsia="Times New Roman" w:hAnsi="Times New Roman" w:cs="Times New Roman"/>
                <w:noProof/>
                <w:color w:val="006100"/>
                <w:sz w:val="20"/>
                <w:szCs w:val="20"/>
                <w:lang w:val="ru-RU"/>
              </w:rPr>
            </w:pPr>
          </w:p>
        </w:tc>
        <w:tc>
          <w:tcPr>
            <w:tcW w:w="850" w:type="dxa"/>
            <w:tcBorders>
              <w:top w:val="nil"/>
              <w:left w:val="nil"/>
              <w:bottom w:val="single" w:sz="4" w:space="0" w:color="auto"/>
              <w:right w:val="single" w:sz="4" w:space="0" w:color="auto"/>
            </w:tcBorders>
            <w:shd w:val="clear" w:color="auto" w:fill="C6EFCE"/>
            <w:noWrap/>
          </w:tcPr>
          <w:p w14:paraId="0E8BEBF4"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T4</w:t>
            </w:r>
          </w:p>
        </w:tc>
        <w:tc>
          <w:tcPr>
            <w:tcW w:w="709" w:type="dxa"/>
            <w:tcBorders>
              <w:top w:val="nil"/>
              <w:left w:val="nil"/>
              <w:bottom w:val="single" w:sz="4" w:space="0" w:color="auto"/>
              <w:right w:val="single" w:sz="4" w:space="0" w:color="auto"/>
            </w:tcBorders>
            <w:shd w:val="clear" w:color="auto" w:fill="C6EFCE"/>
            <w:noWrap/>
          </w:tcPr>
          <w:p w14:paraId="28E7A883"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2023</w:t>
            </w:r>
          </w:p>
        </w:tc>
        <w:tc>
          <w:tcPr>
            <w:tcW w:w="4540" w:type="dxa"/>
            <w:tcBorders>
              <w:top w:val="nil"/>
              <w:left w:val="nil"/>
              <w:bottom w:val="single" w:sz="4" w:space="0" w:color="auto"/>
              <w:right w:val="single" w:sz="4" w:space="0" w:color="auto"/>
            </w:tcBorders>
            <w:shd w:val="clear" w:color="auto" w:fill="C6EFCE"/>
            <w:noWrap/>
          </w:tcPr>
          <w:p w14:paraId="5A387E42" w14:textId="77777777" w:rsidR="00736704" w:rsidRPr="00225351" w:rsidRDefault="00736704" w:rsidP="00693327">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За да се подпомогне и ускори развитието на мрежата TEN-T, трябва да бъдат изпълнени целенасочени мерки на национално равнище за укрепване на капацитета на отговорните органи, като Национална компания „Железопътна инфраструктура“ (НКЖИ), Агенция „Пътна инфраструктура“ и Министерството на транспорта и съобщенията, за управление и изпълнение на проектите за TEN-T с оглед на целта за завършване на основната мрежа на TEN-T до 2030 г. Приетите мерки за изграждане на капацитет трябва да бъдат основани на резултатите от независимия одит и да включват:</w:t>
            </w:r>
          </w:p>
          <w:p w14:paraId="44508D8E" w14:textId="77777777" w:rsidR="00736704" w:rsidRPr="00225351" w:rsidRDefault="00736704" w:rsidP="00693327">
            <w:pPr>
              <w:pStyle w:val="ListParagraph"/>
              <w:numPr>
                <w:ilvl w:val="0"/>
                <w:numId w:val="70"/>
              </w:numPr>
              <w:spacing w:after="0" w:line="240" w:lineRule="auto"/>
              <w:ind w:left="720"/>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определяне на подходящ брой квалифициран персонал (както е посочено в одита), подбран въз основа на прозрачна и състезателна процедура, за целите на подготовката и изпълнението на проектите за TEN-T;</w:t>
            </w:r>
          </w:p>
          <w:p w14:paraId="615369C9" w14:textId="77777777" w:rsidR="00736704" w:rsidRPr="00225351" w:rsidRDefault="00736704" w:rsidP="00693327">
            <w:pPr>
              <w:pStyle w:val="ListParagraph"/>
              <w:numPr>
                <w:ilvl w:val="0"/>
                <w:numId w:val="68"/>
              </w:numPr>
              <w:spacing w:after="0" w:line="240" w:lineRule="auto"/>
              <w:ind w:left="660"/>
              <w:jc w:val="both"/>
              <w:rPr>
                <w:rFonts w:ascii="Times New Roman" w:hAnsi="Times New Roman" w:cs="Times New Roman"/>
                <w:noProof/>
                <w:color w:val="006100"/>
                <w:sz w:val="20"/>
                <w:szCs w:val="20"/>
              </w:rPr>
            </w:pPr>
            <w:r>
              <w:rPr>
                <w:rFonts w:ascii="Times New Roman" w:hAnsi="Times New Roman"/>
                <w:noProof/>
                <w:color w:val="006100"/>
                <w:sz w:val="20"/>
              </w:rPr>
              <w:t>определяне на ясен мандат за всеки отговорен субект, за да се гарантира, че средносрочните и дългосрочните планове за ефективност се изпълняват и се координират добре с другите субекти;</w:t>
            </w:r>
          </w:p>
          <w:p w14:paraId="580E1EC2" w14:textId="77777777" w:rsidR="00736704" w:rsidRPr="00225351" w:rsidRDefault="00736704" w:rsidP="00693327">
            <w:pPr>
              <w:pStyle w:val="ListParagraph"/>
              <w:numPr>
                <w:ilvl w:val="0"/>
                <w:numId w:val="68"/>
              </w:numPr>
              <w:spacing w:after="0" w:line="240" w:lineRule="auto"/>
              <w:ind w:left="660"/>
              <w:jc w:val="both"/>
              <w:rPr>
                <w:rFonts w:ascii="Times New Roman" w:hAnsi="Times New Roman" w:cs="Times New Roman"/>
                <w:noProof/>
                <w:color w:val="006100"/>
                <w:sz w:val="20"/>
                <w:szCs w:val="20"/>
              </w:rPr>
            </w:pPr>
            <w:r>
              <w:rPr>
                <w:rFonts w:ascii="Times New Roman" w:hAnsi="Times New Roman"/>
                <w:noProof/>
                <w:color w:val="006100"/>
                <w:sz w:val="20"/>
              </w:rPr>
              <w:t>методи и процедури за осигуряване на приемственост в управлението на инвестициите и трансфера на знания с цел укрепване на институционалната памет.</w:t>
            </w:r>
          </w:p>
        </w:tc>
      </w:tr>
      <w:tr w:rsidR="00225351" w:rsidRPr="005241FC" w14:paraId="76614ACC" w14:textId="77777777" w:rsidTr="00A80AF7">
        <w:trPr>
          <w:jc w:val="center"/>
        </w:trPr>
        <w:tc>
          <w:tcPr>
            <w:tcW w:w="689" w:type="dxa"/>
            <w:tcBorders>
              <w:top w:val="nil"/>
              <w:left w:val="single" w:sz="4" w:space="0" w:color="auto"/>
              <w:bottom w:val="single" w:sz="4" w:space="0" w:color="auto"/>
              <w:right w:val="single" w:sz="4" w:space="0" w:color="auto"/>
            </w:tcBorders>
            <w:shd w:val="clear" w:color="auto" w:fill="C6EFCE"/>
            <w:noWrap/>
          </w:tcPr>
          <w:p w14:paraId="2366614C" w14:textId="6614B708" w:rsidR="00736704" w:rsidRPr="00225351" w:rsidRDefault="00EF6843" w:rsidP="00693327">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164</w:t>
            </w:r>
          </w:p>
        </w:tc>
        <w:tc>
          <w:tcPr>
            <w:tcW w:w="1275" w:type="dxa"/>
            <w:tcBorders>
              <w:top w:val="nil"/>
              <w:left w:val="nil"/>
              <w:bottom w:val="single" w:sz="4" w:space="0" w:color="auto"/>
              <w:right w:val="single" w:sz="4" w:space="0" w:color="auto"/>
            </w:tcBorders>
            <w:shd w:val="clear" w:color="auto" w:fill="C6EFCE"/>
            <w:noWrap/>
          </w:tcPr>
          <w:p w14:paraId="29AF7355" w14:textId="1D18D1A9" w:rsidR="00736704" w:rsidRPr="00225351" w:rsidRDefault="00152560"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К8.Р1: Стратегическа рамка за транспорта</w:t>
            </w:r>
          </w:p>
        </w:tc>
        <w:tc>
          <w:tcPr>
            <w:tcW w:w="1150" w:type="dxa"/>
            <w:tcBorders>
              <w:top w:val="nil"/>
              <w:left w:val="nil"/>
              <w:bottom w:val="single" w:sz="4" w:space="0" w:color="auto"/>
              <w:right w:val="single" w:sz="4" w:space="0" w:color="auto"/>
            </w:tcBorders>
            <w:shd w:val="clear" w:color="auto" w:fill="C6EFCE"/>
            <w:noWrap/>
            <w:hideMark/>
          </w:tcPr>
          <w:p w14:paraId="4AE84BBC"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417" w:type="dxa"/>
            <w:tcBorders>
              <w:top w:val="nil"/>
              <w:left w:val="nil"/>
              <w:bottom w:val="single" w:sz="4" w:space="0" w:color="auto"/>
              <w:right w:val="single" w:sz="4" w:space="0" w:color="auto"/>
            </w:tcBorders>
            <w:shd w:val="clear" w:color="auto" w:fill="C6EFCE"/>
            <w:noWrap/>
            <w:hideMark/>
          </w:tcPr>
          <w:p w14:paraId="4CAE4C8E"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Пазарна оценка за железопътния сектор, определяща обхвата на задължението за извършване на обществена услуга съгласно новия договор за обществена услуга за железопътен превоз</w:t>
            </w:r>
          </w:p>
          <w:p w14:paraId="55BBB495" w14:textId="648A4BA4" w:rsidR="00736704" w:rsidRPr="00225351" w:rsidRDefault="00736704" w:rsidP="00693327">
            <w:pPr>
              <w:spacing w:after="0" w:line="240" w:lineRule="auto"/>
              <w:rPr>
                <w:rFonts w:ascii="Times New Roman" w:eastAsia="Times New Roman" w:hAnsi="Times New Roman" w:cs="Times New Roman"/>
                <w:noProof/>
                <w:color w:val="006100"/>
                <w:sz w:val="20"/>
                <w:szCs w:val="20"/>
              </w:rPr>
            </w:pPr>
          </w:p>
        </w:tc>
        <w:tc>
          <w:tcPr>
            <w:tcW w:w="1418" w:type="dxa"/>
            <w:tcBorders>
              <w:top w:val="nil"/>
              <w:left w:val="nil"/>
              <w:bottom w:val="single" w:sz="4" w:space="0" w:color="auto"/>
              <w:right w:val="single" w:sz="4" w:space="0" w:color="auto"/>
            </w:tcBorders>
            <w:shd w:val="clear" w:color="auto" w:fill="C6EFCE"/>
            <w:noWrap/>
            <w:hideMark/>
          </w:tcPr>
          <w:p w14:paraId="1D0B9F88" w14:textId="77777777" w:rsidR="00736704" w:rsidRPr="00225351" w:rsidRDefault="00736704" w:rsidP="00693327">
            <w:pPr>
              <w:spacing w:after="0" w:line="240" w:lineRule="auto"/>
              <w:rPr>
                <w:rFonts w:ascii="Times New Roman" w:eastAsia="Times New Roman" w:hAnsi="Times New Roman" w:cs="Times New Roman"/>
                <w:noProof/>
                <w:sz w:val="20"/>
                <w:szCs w:val="20"/>
              </w:rPr>
            </w:pPr>
            <w:r>
              <w:rPr>
                <w:rFonts w:ascii="Times New Roman" w:hAnsi="Times New Roman"/>
                <w:noProof/>
                <w:color w:val="006100"/>
                <w:sz w:val="20"/>
              </w:rPr>
              <w:t>Публикуване на пазарната оценка на уебсайта на Министерството на транспорта</w:t>
            </w:r>
          </w:p>
          <w:p w14:paraId="61F3F15B" w14:textId="77777777" w:rsidR="00736704" w:rsidRPr="00225351" w:rsidRDefault="00736704" w:rsidP="00693327">
            <w:pPr>
              <w:spacing w:after="0" w:line="240" w:lineRule="auto"/>
              <w:rPr>
                <w:rFonts w:ascii="Times New Roman" w:eastAsia="Times New Roman" w:hAnsi="Times New Roman" w:cs="Times New Roman"/>
                <w:noProof/>
                <w:color w:val="FF0000"/>
                <w:sz w:val="20"/>
                <w:szCs w:val="20"/>
              </w:rPr>
            </w:pPr>
            <w:r>
              <w:rPr>
                <w:rFonts w:ascii="Times New Roman" w:hAnsi="Times New Roman"/>
                <w:noProof/>
                <w:sz w:val="20"/>
              </w:rPr>
              <w:t xml:space="preserve"> </w:t>
            </w:r>
          </w:p>
        </w:tc>
        <w:tc>
          <w:tcPr>
            <w:tcW w:w="1417" w:type="dxa"/>
            <w:tcBorders>
              <w:top w:val="nil"/>
              <w:left w:val="nil"/>
              <w:bottom w:val="single" w:sz="4" w:space="0" w:color="auto"/>
              <w:right w:val="single" w:sz="4" w:space="0" w:color="auto"/>
            </w:tcBorders>
            <w:shd w:val="clear" w:color="auto" w:fill="C6EFCE"/>
            <w:noWrap/>
            <w:hideMark/>
          </w:tcPr>
          <w:p w14:paraId="667F1ECD"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993" w:type="dxa"/>
            <w:tcBorders>
              <w:top w:val="nil"/>
              <w:left w:val="nil"/>
              <w:bottom w:val="single" w:sz="4" w:space="0" w:color="auto"/>
              <w:right w:val="single" w:sz="4" w:space="0" w:color="auto"/>
            </w:tcBorders>
            <w:shd w:val="clear" w:color="auto" w:fill="C6EFCE"/>
            <w:noWrap/>
            <w:hideMark/>
          </w:tcPr>
          <w:p w14:paraId="35CD8A25"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992" w:type="dxa"/>
            <w:tcBorders>
              <w:top w:val="nil"/>
              <w:left w:val="nil"/>
              <w:bottom w:val="single" w:sz="4" w:space="0" w:color="auto"/>
              <w:right w:val="single" w:sz="4" w:space="0" w:color="auto"/>
            </w:tcBorders>
            <w:shd w:val="clear" w:color="auto" w:fill="C6EFCE"/>
            <w:noWrap/>
            <w:hideMark/>
          </w:tcPr>
          <w:p w14:paraId="293987F5"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850" w:type="dxa"/>
            <w:tcBorders>
              <w:top w:val="nil"/>
              <w:left w:val="nil"/>
              <w:bottom w:val="single" w:sz="4" w:space="0" w:color="auto"/>
              <w:right w:val="single" w:sz="4" w:space="0" w:color="auto"/>
            </w:tcBorders>
            <w:shd w:val="clear" w:color="auto" w:fill="C6EFCE"/>
            <w:noWrap/>
            <w:hideMark/>
          </w:tcPr>
          <w:p w14:paraId="1F2185AB"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T2</w:t>
            </w:r>
          </w:p>
        </w:tc>
        <w:tc>
          <w:tcPr>
            <w:tcW w:w="709" w:type="dxa"/>
            <w:tcBorders>
              <w:top w:val="nil"/>
              <w:left w:val="nil"/>
              <w:bottom w:val="single" w:sz="4" w:space="0" w:color="auto"/>
              <w:right w:val="single" w:sz="4" w:space="0" w:color="auto"/>
            </w:tcBorders>
            <w:shd w:val="clear" w:color="auto" w:fill="C6EFCE"/>
            <w:noWrap/>
            <w:hideMark/>
          </w:tcPr>
          <w:p w14:paraId="6411A56B"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2023</w:t>
            </w:r>
          </w:p>
        </w:tc>
        <w:tc>
          <w:tcPr>
            <w:tcW w:w="4540" w:type="dxa"/>
            <w:tcBorders>
              <w:top w:val="nil"/>
              <w:left w:val="nil"/>
              <w:bottom w:val="single" w:sz="4" w:space="0" w:color="auto"/>
              <w:right w:val="single" w:sz="4" w:space="0" w:color="auto"/>
            </w:tcBorders>
            <w:shd w:val="clear" w:color="auto" w:fill="C6EFCE"/>
            <w:noWrap/>
          </w:tcPr>
          <w:p w14:paraId="1403F1D6" w14:textId="793D4BC2" w:rsidR="00736704" w:rsidRPr="00225351" w:rsidRDefault="00736704" w:rsidP="00693327">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Преди да изготви процедурата за възлагане на посочения в ключов етап 165 нов договор за обществена услуга за железопътен превоз, националният компетентен орган трябва да оцени обхвата на задължението за извършване на обществена услуга за новия договор за обществена услуга (ДОУ), като използва т.нар. „SNCM тест“ в три етапа, произтичащ от съдебната практика на Общия съд на Европейския съюз (оценка на търсенето, оценка на това какви услуги биха могли да се предоставят от оператори със свободен достъп/търговски оператори, оценка на това дали за постигане на целите на политиката може да се използва мярка, която нарушава конкуренцията в по-малка степен от възлагането на ДОУ), с цел да се гарантира, че е предоставена подходяща възможност за потенциални услуги с открит достъп/търговски услуги в съответствие с ДОУ (напр. в случай на наличие на рентабилни железопътни услуги по българската железопътна мрежа).</w:t>
            </w:r>
          </w:p>
        </w:tc>
      </w:tr>
      <w:tr w:rsidR="00225351" w:rsidRPr="005241FC" w14:paraId="716EE5B0" w14:textId="77777777" w:rsidTr="00A80AF7">
        <w:trPr>
          <w:jc w:val="center"/>
        </w:trPr>
        <w:tc>
          <w:tcPr>
            <w:tcW w:w="689" w:type="dxa"/>
            <w:tcBorders>
              <w:top w:val="nil"/>
              <w:left w:val="single" w:sz="4" w:space="0" w:color="auto"/>
              <w:bottom w:val="single" w:sz="4" w:space="0" w:color="auto"/>
              <w:right w:val="single" w:sz="4" w:space="0" w:color="auto"/>
            </w:tcBorders>
            <w:shd w:val="clear" w:color="auto" w:fill="C6EFCE"/>
            <w:noWrap/>
          </w:tcPr>
          <w:p w14:paraId="0D7F6CD3" w14:textId="1147C914" w:rsidR="00736704" w:rsidRPr="00225351" w:rsidRDefault="00EF6843" w:rsidP="00693327">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165</w:t>
            </w:r>
          </w:p>
        </w:tc>
        <w:tc>
          <w:tcPr>
            <w:tcW w:w="1275" w:type="dxa"/>
            <w:tcBorders>
              <w:top w:val="nil"/>
              <w:left w:val="nil"/>
              <w:bottom w:val="single" w:sz="4" w:space="0" w:color="auto"/>
              <w:right w:val="single" w:sz="4" w:space="0" w:color="auto"/>
            </w:tcBorders>
            <w:shd w:val="clear" w:color="auto" w:fill="C6EFCE"/>
            <w:noWrap/>
            <w:hideMark/>
          </w:tcPr>
          <w:p w14:paraId="6C7E7FBD" w14:textId="7CE3ECA9" w:rsidR="00736704" w:rsidRPr="00225351" w:rsidRDefault="00152560"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К8.Р1: Стратегическа рамка за транспорта</w:t>
            </w:r>
          </w:p>
        </w:tc>
        <w:tc>
          <w:tcPr>
            <w:tcW w:w="1150" w:type="dxa"/>
            <w:tcBorders>
              <w:top w:val="nil"/>
              <w:left w:val="nil"/>
              <w:bottom w:val="single" w:sz="4" w:space="0" w:color="auto"/>
              <w:right w:val="single" w:sz="4" w:space="0" w:color="auto"/>
            </w:tcBorders>
            <w:shd w:val="clear" w:color="auto" w:fill="C6EFCE"/>
            <w:noWrap/>
            <w:hideMark/>
          </w:tcPr>
          <w:p w14:paraId="4BF7727E"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417" w:type="dxa"/>
            <w:tcBorders>
              <w:top w:val="nil"/>
              <w:left w:val="nil"/>
              <w:bottom w:val="single" w:sz="4" w:space="0" w:color="auto"/>
              <w:right w:val="single" w:sz="4" w:space="0" w:color="auto"/>
            </w:tcBorders>
            <w:shd w:val="clear" w:color="auto" w:fill="C6EFCE"/>
            <w:noWrap/>
            <w:hideMark/>
          </w:tcPr>
          <w:p w14:paraId="6EF016ED"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Нов договор за обществена услуга (ДОУ) за железопътен превоз</w:t>
            </w:r>
          </w:p>
        </w:tc>
        <w:tc>
          <w:tcPr>
            <w:tcW w:w="1418" w:type="dxa"/>
            <w:tcBorders>
              <w:top w:val="nil"/>
              <w:left w:val="nil"/>
              <w:bottom w:val="single" w:sz="4" w:space="0" w:color="auto"/>
              <w:right w:val="single" w:sz="4" w:space="0" w:color="auto"/>
            </w:tcBorders>
            <w:shd w:val="clear" w:color="auto" w:fill="C6EFCE"/>
            <w:noWrap/>
            <w:hideMark/>
          </w:tcPr>
          <w:p w14:paraId="0BAC630F"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Публикуване на решението за възлагане</w:t>
            </w:r>
          </w:p>
        </w:tc>
        <w:tc>
          <w:tcPr>
            <w:tcW w:w="1417" w:type="dxa"/>
            <w:tcBorders>
              <w:top w:val="nil"/>
              <w:left w:val="nil"/>
              <w:bottom w:val="single" w:sz="4" w:space="0" w:color="auto"/>
              <w:right w:val="single" w:sz="4" w:space="0" w:color="auto"/>
            </w:tcBorders>
            <w:shd w:val="clear" w:color="auto" w:fill="C6EFCE"/>
            <w:noWrap/>
            <w:hideMark/>
          </w:tcPr>
          <w:p w14:paraId="6F60EBB8"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993" w:type="dxa"/>
            <w:tcBorders>
              <w:top w:val="nil"/>
              <w:left w:val="nil"/>
              <w:bottom w:val="single" w:sz="4" w:space="0" w:color="auto"/>
              <w:right w:val="single" w:sz="4" w:space="0" w:color="auto"/>
            </w:tcBorders>
            <w:shd w:val="clear" w:color="auto" w:fill="C6EFCE"/>
            <w:noWrap/>
            <w:hideMark/>
          </w:tcPr>
          <w:p w14:paraId="743FF7AA"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992" w:type="dxa"/>
            <w:tcBorders>
              <w:top w:val="nil"/>
              <w:left w:val="nil"/>
              <w:bottom w:val="single" w:sz="4" w:space="0" w:color="auto"/>
              <w:right w:val="single" w:sz="4" w:space="0" w:color="auto"/>
            </w:tcBorders>
            <w:shd w:val="clear" w:color="auto" w:fill="C6EFCE"/>
            <w:noWrap/>
            <w:hideMark/>
          </w:tcPr>
          <w:p w14:paraId="550D1E7B"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850" w:type="dxa"/>
            <w:tcBorders>
              <w:top w:val="nil"/>
              <w:left w:val="nil"/>
              <w:bottom w:val="single" w:sz="4" w:space="0" w:color="auto"/>
              <w:right w:val="single" w:sz="4" w:space="0" w:color="auto"/>
            </w:tcBorders>
            <w:shd w:val="clear" w:color="auto" w:fill="C6EFCE"/>
            <w:noWrap/>
            <w:hideMark/>
          </w:tcPr>
          <w:p w14:paraId="735739E9"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T4</w:t>
            </w:r>
          </w:p>
        </w:tc>
        <w:tc>
          <w:tcPr>
            <w:tcW w:w="709" w:type="dxa"/>
            <w:tcBorders>
              <w:top w:val="nil"/>
              <w:left w:val="nil"/>
              <w:bottom w:val="single" w:sz="4" w:space="0" w:color="auto"/>
              <w:right w:val="single" w:sz="4" w:space="0" w:color="auto"/>
            </w:tcBorders>
            <w:shd w:val="clear" w:color="auto" w:fill="C6EFCE"/>
            <w:noWrap/>
            <w:hideMark/>
          </w:tcPr>
          <w:p w14:paraId="745588B1"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2024</w:t>
            </w:r>
          </w:p>
        </w:tc>
        <w:tc>
          <w:tcPr>
            <w:tcW w:w="4540" w:type="dxa"/>
            <w:tcBorders>
              <w:top w:val="nil"/>
              <w:left w:val="nil"/>
              <w:bottom w:val="single" w:sz="4" w:space="0" w:color="auto"/>
              <w:right w:val="single" w:sz="4" w:space="0" w:color="auto"/>
            </w:tcBorders>
            <w:shd w:val="clear" w:color="auto" w:fill="C6EFCE"/>
            <w:noWrap/>
          </w:tcPr>
          <w:p w14:paraId="1069E19E" w14:textId="77777777" w:rsidR="00736704" w:rsidRPr="00225351" w:rsidRDefault="00736704" w:rsidP="00693327">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Трябва да бъде сключен новият договор за предоставяне на обществена услуга за железопътен превоз в България след справедлива, недискриминационна и конкурентна процедура за възлагане. </w:t>
            </w:r>
          </w:p>
          <w:p w14:paraId="490132DB" w14:textId="3B0C6887" w:rsidR="00736704" w:rsidRPr="00225351" w:rsidRDefault="00736704" w:rsidP="00693327">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Процедурата за възлагане трябва да е в съответствие с приложимата към момента на провеждането ѝ правна уредба на Съюза и надлежно да отразява резултатите от включената в ключов етап 164 пазарна оценка. При изготвянето на процедурата за възлагане се вземат предвид всички подходящи мерки, за да се гарантира премахването на всички потенциални пречки за достъпа до пазара, включително разделянето на договора на няколко обособени позиции с ограничен обем.</w:t>
            </w:r>
          </w:p>
          <w:p w14:paraId="4E08C7D6" w14:textId="77777777" w:rsidR="00736704" w:rsidRPr="008A0F8A" w:rsidRDefault="00736704" w:rsidP="00693327">
            <w:pPr>
              <w:spacing w:after="0" w:line="240" w:lineRule="auto"/>
              <w:jc w:val="both"/>
              <w:rPr>
                <w:rFonts w:ascii="Times New Roman" w:eastAsia="Times New Roman" w:hAnsi="Times New Roman" w:cs="Times New Roman"/>
                <w:noProof/>
                <w:color w:val="006100"/>
                <w:sz w:val="20"/>
                <w:szCs w:val="20"/>
                <w:lang w:val="ru-RU"/>
              </w:rPr>
            </w:pPr>
          </w:p>
          <w:p w14:paraId="41E73322" w14:textId="77777777" w:rsidR="00736704" w:rsidRPr="00225351" w:rsidRDefault="00736704" w:rsidP="00693327">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Подвижният състав, експлоатиран съгласно ДОУ и притежаван от текущия оператор, се продава на следващия оператор на пазарна цена, която не включва/от която се приспада получената помощ.</w:t>
            </w:r>
          </w:p>
          <w:p w14:paraId="5DA189C0" w14:textId="77777777" w:rsidR="00736704" w:rsidRPr="008A0F8A" w:rsidRDefault="00736704" w:rsidP="00693327">
            <w:pPr>
              <w:spacing w:after="0" w:line="240" w:lineRule="auto"/>
              <w:jc w:val="both"/>
              <w:rPr>
                <w:rFonts w:ascii="Times New Roman" w:eastAsia="Times New Roman" w:hAnsi="Times New Roman" w:cs="Times New Roman"/>
                <w:noProof/>
                <w:color w:val="006100"/>
                <w:sz w:val="20"/>
                <w:szCs w:val="20"/>
                <w:lang w:val="ru-RU"/>
              </w:rPr>
            </w:pPr>
          </w:p>
          <w:p w14:paraId="192E61E5" w14:textId="77777777" w:rsidR="00736704" w:rsidRPr="00225351" w:rsidRDefault="00736704" w:rsidP="00693327">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Новият договор трябва по-специално да включва следните клаузи:</w:t>
            </w:r>
          </w:p>
          <w:p w14:paraId="236E4B2F" w14:textId="77777777" w:rsidR="00736704" w:rsidRPr="00225351" w:rsidRDefault="00736704" w:rsidP="00225351">
            <w:pPr>
              <w:pStyle w:val="ListParagraph"/>
              <w:numPr>
                <w:ilvl w:val="0"/>
                <w:numId w:val="71"/>
              </w:numPr>
              <w:spacing w:after="0" w:line="240" w:lineRule="auto"/>
              <w:ind w:left="360"/>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Операторите трябва да са задължени да върнат на собственика подвижния състав в състоянието, в което е получен, като се вземе предвид нормалната амортизационна норма, за да може държавата да го предостави на следващия оператор на обществена услуга.</w:t>
            </w:r>
          </w:p>
          <w:p w14:paraId="1864E341" w14:textId="6514087D" w:rsidR="00736704" w:rsidRPr="00225351" w:rsidRDefault="00736704" w:rsidP="00225351">
            <w:pPr>
              <w:pStyle w:val="ListParagraph"/>
              <w:numPr>
                <w:ilvl w:val="0"/>
                <w:numId w:val="71"/>
              </w:numPr>
              <w:spacing w:after="0" w:line="240" w:lineRule="auto"/>
              <w:ind w:left="360"/>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При изчисляването на компенсацията за транспортните оператори трябва да се вземе предвид публичното финансиране за превозните средства за целия им икономически полезен живот.</w:t>
            </w:r>
          </w:p>
        </w:tc>
      </w:tr>
      <w:tr w:rsidR="00225351" w:rsidRPr="005241FC" w14:paraId="6099392E" w14:textId="77777777" w:rsidTr="00A80AF7">
        <w:trPr>
          <w:jc w:val="center"/>
        </w:trPr>
        <w:tc>
          <w:tcPr>
            <w:tcW w:w="689" w:type="dxa"/>
            <w:tcBorders>
              <w:top w:val="nil"/>
              <w:left w:val="single" w:sz="4" w:space="0" w:color="auto"/>
              <w:bottom w:val="single" w:sz="4" w:space="0" w:color="auto"/>
              <w:right w:val="single" w:sz="4" w:space="0" w:color="auto"/>
            </w:tcBorders>
            <w:shd w:val="clear" w:color="auto" w:fill="C6EFCE"/>
            <w:noWrap/>
          </w:tcPr>
          <w:p w14:paraId="466E902A" w14:textId="32066E70" w:rsidR="00736704" w:rsidRPr="00225351" w:rsidRDefault="00EF6843" w:rsidP="00693327">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166</w:t>
            </w:r>
          </w:p>
        </w:tc>
        <w:tc>
          <w:tcPr>
            <w:tcW w:w="1275" w:type="dxa"/>
            <w:tcBorders>
              <w:top w:val="nil"/>
              <w:left w:val="nil"/>
              <w:bottom w:val="single" w:sz="4" w:space="0" w:color="auto"/>
              <w:right w:val="single" w:sz="4" w:space="0" w:color="auto"/>
            </w:tcBorders>
            <w:shd w:val="clear" w:color="auto" w:fill="C6EFCE"/>
            <w:noWrap/>
            <w:hideMark/>
          </w:tcPr>
          <w:p w14:paraId="1A9D8595" w14:textId="0F012991" w:rsidR="00736704" w:rsidRPr="00225351" w:rsidRDefault="00152560"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К8.Р1: Стратегическа рамка за транспорта </w:t>
            </w:r>
          </w:p>
        </w:tc>
        <w:tc>
          <w:tcPr>
            <w:tcW w:w="1150" w:type="dxa"/>
            <w:tcBorders>
              <w:top w:val="nil"/>
              <w:left w:val="nil"/>
              <w:bottom w:val="single" w:sz="4" w:space="0" w:color="auto"/>
              <w:right w:val="single" w:sz="4" w:space="0" w:color="auto"/>
            </w:tcBorders>
            <w:shd w:val="clear" w:color="auto" w:fill="C6EFCE"/>
            <w:noWrap/>
            <w:hideMark/>
          </w:tcPr>
          <w:p w14:paraId="281A754E"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Цел</w:t>
            </w:r>
          </w:p>
        </w:tc>
        <w:tc>
          <w:tcPr>
            <w:tcW w:w="1417" w:type="dxa"/>
            <w:tcBorders>
              <w:top w:val="nil"/>
              <w:left w:val="nil"/>
              <w:bottom w:val="single" w:sz="4" w:space="0" w:color="auto"/>
              <w:right w:val="single" w:sz="4" w:space="0" w:color="auto"/>
            </w:tcBorders>
            <w:shd w:val="clear" w:color="auto" w:fill="C6EFCE"/>
            <w:noWrap/>
            <w:hideMark/>
          </w:tcPr>
          <w:p w14:paraId="1A12F274"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Внедряване на ERTMS в TEN-T </w:t>
            </w:r>
          </w:p>
        </w:tc>
        <w:tc>
          <w:tcPr>
            <w:tcW w:w="1418" w:type="dxa"/>
            <w:tcBorders>
              <w:top w:val="nil"/>
              <w:left w:val="nil"/>
              <w:bottom w:val="single" w:sz="4" w:space="0" w:color="auto"/>
              <w:right w:val="single" w:sz="4" w:space="0" w:color="auto"/>
            </w:tcBorders>
            <w:shd w:val="clear" w:color="auto" w:fill="C6EFCE"/>
            <w:noWrap/>
            <w:hideMark/>
          </w:tcPr>
          <w:p w14:paraId="63EBF9B2" w14:textId="77777777" w:rsidR="00736704" w:rsidRPr="008A0F8A" w:rsidRDefault="00736704" w:rsidP="00693327">
            <w:pPr>
              <w:spacing w:after="0" w:line="240" w:lineRule="auto"/>
              <w:rPr>
                <w:rFonts w:ascii="Times New Roman" w:eastAsia="Times New Roman" w:hAnsi="Times New Roman" w:cs="Times New Roman"/>
                <w:noProof/>
                <w:color w:val="006100"/>
                <w:sz w:val="20"/>
                <w:szCs w:val="20"/>
                <w:lang w:val="ru-RU"/>
              </w:rPr>
            </w:pPr>
          </w:p>
        </w:tc>
        <w:tc>
          <w:tcPr>
            <w:tcW w:w="1417" w:type="dxa"/>
            <w:tcBorders>
              <w:top w:val="nil"/>
              <w:left w:val="nil"/>
              <w:bottom w:val="single" w:sz="4" w:space="0" w:color="auto"/>
              <w:right w:val="single" w:sz="4" w:space="0" w:color="auto"/>
            </w:tcBorders>
            <w:shd w:val="clear" w:color="auto" w:fill="C6EFCE"/>
            <w:noWrap/>
            <w:hideMark/>
          </w:tcPr>
          <w:p w14:paraId="6ED70C49"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Оборудвани с ERTMS железопътни линии от мрежата TEN-T (km)</w:t>
            </w:r>
          </w:p>
        </w:tc>
        <w:tc>
          <w:tcPr>
            <w:tcW w:w="993" w:type="dxa"/>
            <w:tcBorders>
              <w:top w:val="nil"/>
              <w:left w:val="nil"/>
              <w:bottom w:val="single" w:sz="4" w:space="0" w:color="auto"/>
              <w:right w:val="single" w:sz="4" w:space="0" w:color="auto"/>
            </w:tcBorders>
            <w:shd w:val="clear" w:color="auto" w:fill="C6EFCE"/>
            <w:noWrap/>
            <w:hideMark/>
          </w:tcPr>
          <w:p w14:paraId="4AFF3891"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217</w:t>
            </w:r>
          </w:p>
        </w:tc>
        <w:tc>
          <w:tcPr>
            <w:tcW w:w="992" w:type="dxa"/>
            <w:tcBorders>
              <w:top w:val="nil"/>
              <w:left w:val="nil"/>
              <w:bottom w:val="single" w:sz="4" w:space="0" w:color="auto"/>
              <w:right w:val="single" w:sz="4" w:space="0" w:color="auto"/>
            </w:tcBorders>
            <w:shd w:val="clear" w:color="auto" w:fill="C6EFCE"/>
            <w:noWrap/>
            <w:hideMark/>
          </w:tcPr>
          <w:p w14:paraId="3C29E9D1"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707</w:t>
            </w:r>
          </w:p>
        </w:tc>
        <w:tc>
          <w:tcPr>
            <w:tcW w:w="850" w:type="dxa"/>
            <w:tcBorders>
              <w:top w:val="nil"/>
              <w:left w:val="nil"/>
              <w:bottom w:val="single" w:sz="4" w:space="0" w:color="auto"/>
              <w:right w:val="single" w:sz="4" w:space="0" w:color="auto"/>
            </w:tcBorders>
            <w:shd w:val="clear" w:color="auto" w:fill="C6EFCE"/>
            <w:noWrap/>
            <w:hideMark/>
          </w:tcPr>
          <w:p w14:paraId="2EFBDA48"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T2</w:t>
            </w:r>
          </w:p>
        </w:tc>
        <w:tc>
          <w:tcPr>
            <w:tcW w:w="709" w:type="dxa"/>
            <w:tcBorders>
              <w:top w:val="nil"/>
              <w:left w:val="nil"/>
              <w:bottom w:val="single" w:sz="4" w:space="0" w:color="auto"/>
              <w:right w:val="single" w:sz="4" w:space="0" w:color="auto"/>
            </w:tcBorders>
            <w:shd w:val="clear" w:color="auto" w:fill="C6EFCE"/>
            <w:noWrap/>
            <w:hideMark/>
          </w:tcPr>
          <w:p w14:paraId="0EF1D074"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2026</w:t>
            </w:r>
          </w:p>
        </w:tc>
        <w:tc>
          <w:tcPr>
            <w:tcW w:w="4540" w:type="dxa"/>
            <w:tcBorders>
              <w:top w:val="nil"/>
              <w:left w:val="nil"/>
              <w:bottom w:val="single" w:sz="4" w:space="0" w:color="auto"/>
              <w:right w:val="single" w:sz="4" w:space="0" w:color="auto"/>
            </w:tcBorders>
            <w:shd w:val="clear" w:color="auto" w:fill="C6EFCE"/>
            <w:noWrap/>
          </w:tcPr>
          <w:p w14:paraId="6DD6B2E0" w14:textId="77777777" w:rsidR="00736704" w:rsidRPr="00225351" w:rsidRDefault="00736704" w:rsidP="00693327">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Целта се отнася за дължината на оборудваните с ERTMS железопътни линии (измерена в километри) — от които 123 km на ниво 2 по съответния стандарт — от железопътната мрежа TEN-T в България в съответствие с посоченото в Регламента за TEN-T.</w:t>
            </w:r>
          </w:p>
        </w:tc>
      </w:tr>
      <w:tr w:rsidR="00225351" w:rsidRPr="005241FC" w14:paraId="0819BF9E" w14:textId="77777777" w:rsidTr="00A80AF7">
        <w:trPr>
          <w:jc w:val="center"/>
        </w:trPr>
        <w:tc>
          <w:tcPr>
            <w:tcW w:w="689" w:type="dxa"/>
            <w:tcBorders>
              <w:top w:val="nil"/>
              <w:left w:val="single" w:sz="4" w:space="0" w:color="auto"/>
              <w:bottom w:val="single" w:sz="4" w:space="0" w:color="auto"/>
              <w:right w:val="single" w:sz="4" w:space="0" w:color="auto"/>
            </w:tcBorders>
            <w:shd w:val="clear" w:color="auto" w:fill="C6EFCE"/>
            <w:noWrap/>
          </w:tcPr>
          <w:p w14:paraId="713372A6" w14:textId="092A5E52" w:rsidR="00736704" w:rsidRPr="00225351" w:rsidRDefault="00EF6843" w:rsidP="00693327">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167</w:t>
            </w:r>
          </w:p>
        </w:tc>
        <w:tc>
          <w:tcPr>
            <w:tcW w:w="1275" w:type="dxa"/>
            <w:tcBorders>
              <w:top w:val="nil"/>
              <w:left w:val="nil"/>
              <w:bottom w:val="single" w:sz="4" w:space="0" w:color="auto"/>
              <w:right w:val="single" w:sz="4" w:space="0" w:color="auto"/>
            </w:tcBorders>
            <w:shd w:val="clear" w:color="auto" w:fill="C6EFCE"/>
            <w:noWrap/>
          </w:tcPr>
          <w:p w14:paraId="5DC23B72" w14:textId="7BAEF6B8" w:rsidR="00736704" w:rsidRPr="00225351" w:rsidRDefault="00152560"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К8.Р1: Стратегическа рамка за транспорта</w:t>
            </w:r>
          </w:p>
        </w:tc>
        <w:tc>
          <w:tcPr>
            <w:tcW w:w="1150" w:type="dxa"/>
            <w:tcBorders>
              <w:top w:val="nil"/>
              <w:left w:val="nil"/>
              <w:bottom w:val="single" w:sz="4" w:space="0" w:color="auto"/>
              <w:right w:val="single" w:sz="4" w:space="0" w:color="auto"/>
            </w:tcBorders>
            <w:shd w:val="clear" w:color="auto" w:fill="C6EFCE"/>
            <w:noWrap/>
          </w:tcPr>
          <w:p w14:paraId="7F6F690A"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Цел</w:t>
            </w:r>
          </w:p>
        </w:tc>
        <w:tc>
          <w:tcPr>
            <w:tcW w:w="1417" w:type="dxa"/>
            <w:tcBorders>
              <w:top w:val="nil"/>
              <w:left w:val="nil"/>
              <w:bottom w:val="single" w:sz="4" w:space="0" w:color="auto"/>
              <w:right w:val="single" w:sz="4" w:space="0" w:color="auto"/>
            </w:tcBorders>
            <w:shd w:val="clear" w:color="auto" w:fill="C6EFCE"/>
            <w:noWrap/>
          </w:tcPr>
          <w:p w14:paraId="701DA2A9"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Увеличаване на броя на превозваните с железопътен транспорт пътници</w:t>
            </w:r>
          </w:p>
        </w:tc>
        <w:tc>
          <w:tcPr>
            <w:tcW w:w="1418" w:type="dxa"/>
            <w:tcBorders>
              <w:top w:val="nil"/>
              <w:left w:val="nil"/>
              <w:bottom w:val="single" w:sz="4" w:space="0" w:color="auto"/>
              <w:right w:val="single" w:sz="4" w:space="0" w:color="auto"/>
            </w:tcBorders>
            <w:shd w:val="clear" w:color="auto" w:fill="C6EFCE"/>
            <w:noWrap/>
          </w:tcPr>
          <w:p w14:paraId="3BF61B51" w14:textId="77777777" w:rsidR="00736704" w:rsidRPr="008A0F8A" w:rsidRDefault="00736704" w:rsidP="00693327">
            <w:pPr>
              <w:spacing w:after="0" w:line="240" w:lineRule="auto"/>
              <w:rPr>
                <w:rFonts w:ascii="Times New Roman" w:eastAsia="Times New Roman" w:hAnsi="Times New Roman" w:cs="Times New Roman"/>
                <w:noProof/>
                <w:color w:val="006100"/>
                <w:sz w:val="20"/>
                <w:szCs w:val="20"/>
                <w:lang w:val="ru-RU"/>
              </w:rPr>
            </w:pPr>
          </w:p>
        </w:tc>
        <w:tc>
          <w:tcPr>
            <w:tcW w:w="1417" w:type="dxa"/>
            <w:tcBorders>
              <w:top w:val="nil"/>
              <w:left w:val="nil"/>
              <w:bottom w:val="single" w:sz="4" w:space="0" w:color="auto"/>
              <w:right w:val="single" w:sz="4" w:space="0" w:color="auto"/>
            </w:tcBorders>
            <w:shd w:val="clear" w:color="auto" w:fill="C6EFCE"/>
            <w:noWrap/>
          </w:tcPr>
          <w:p w14:paraId="6B82B7E2"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Брой</w:t>
            </w:r>
          </w:p>
        </w:tc>
        <w:tc>
          <w:tcPr>
            <w:tcW w:w="993" w:type="dxa"/>
            <w:tcBorders>
              <w:top w:val="nil"/>
              <w:left w:val="nil"/>
              <w:bottom w:val="single" w:sz="4" w:space="0" w:color="auto"/>
              <w:right w:val="single" w:sz="4" w:space="0" w:color="auto"/>
            </w:tcBorders>
            <w:shd w:val="clear" w:color="auto" w:fill="C6EFCE"/>
            <w:noWrap/>
          </w:tcPr>
          <w:p w14:paraId="10D5418E" w14:textId="3FB9F593" w:rsidR="00736704" w:rsidRPr="00225351" w:rsidRDefault="001C00FB"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21339500</w:t>
            </w:r>
          </w:p>
        </w:tc>
        <w:tc>
          <w:tcPr>
            <w:tcW w:w="992" w:type="dxa"/>
            <w:tcBorders>
              <w:top w:val="nil"/>
              <w:left w:val="nil"/>
              <w:bottom w:val="single" w:sz="4" w:space="0" w:color="auto"/>
              <w:right w:val="single" w:sz="4" w:space="0" w:color="auto"/>
            </w:tcBorders>
            <w:shd w:val="clear" w:color="auto" w:fill="C6EFCE"/>
            <w:noWrap/>
          </w:tcPr>
          <w:p w14:paraId="6040A027" w14:textId="247B8170" w:rsidR="00736704" w:rsidRPr="00225351" w:rsidRDefault="001C00FB"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24540425</w:t>
            </w:r>
          </w:p>
        </w:tc>
        <w:tc>
          <w:tcPr>
            <w:tcW w:w="850" w:type="dxa"/>
            <w:tcBorders>
              <w:top w:val="nil"/>
              <w:left w:val="nil"/>
              <w:bottom w:val="single" w:sz="4" w:space="0" w:color="auto"/>
              <w:right w:val="single" w:sz="4" w:space="0" w:color="auto"/>
            </w:tcBorders>
            <w:shd w:val="clear" w:color="auto" w:fill="C6EFCE"/>
            <w:noWrap/>
          </w:tcPr>
          <w:p w14:paraId="2A4CE185"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T2</w:t>
            </w:r>
          </w:p>
        </w:tc>
        <w:tc>
          <w:tcPr>
            <w:tcW w:w="709" w:type="dxa"/>
            <w:tcBorders>
              <w:top w:val="nil"/>
              <w:left w:val="nil"/>
              <w:bottom w:val="single" w:sz="4" w:space="0" w:color="auto"/>
              <w:right w:val="single" w:sz="4" w:space="0" w:color="auto"/>
            </w:tcBorders>
            <w:shd w:val="clear" w:color="auto" w:fill="C6EFCE"/>
            <w:noWrap/>
          </w:tcPr>
          <w:p w14:paraId="62746DA0"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2026</w:t>
            </w:r>
          </w:p>
        </w:tc>
        <w:tc>
          <w:tcPr>
            <w:tcW w:w="4540" w:type="dxa"/>
            <w:tcBorders>
              <w:top w:val="nil"/>
              <w:left w:val="nil"/>
              <w:bottom w:val="single" w:sz="4" w:space="0" w:color="auto"/>
              <w:right w:val="single" w:sz="4" w:space="0" w:color="auto"/>
            </w:tcBorders>
            <w:shd w:val="clear" w:color="auto" w:fill="C6EFCE"/>
            <w:noWrap/>
          </w:tcPr>
          <w:p w14:paraId="279E89D0" w14:textId="77777777" w:rsidR="00736704" w:rsidRPr="00225351" w:rsidRDefault="00736704" w:rsidP="00693327">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Целта се отнася за увеличение с 15 % на годишния брой превозвани с железопътен транспорт пътници през 2025 г. в сравнение с базовата 2019 година (източник на данни: Национален статистически институт).</w:t>
            </w:r>
          </w:p>
        </w:tc>
      </w:tr>
      <w:tr w:rsidR="00225351" w:rsidRPr="005241FC" w14:paraId="5A9C9093" w14:textId="77777777" w:rsidTr="00A80AF7">
        <w:trPr>
          <w:jc w:val="center"/>
        </w:trPr>
        <w:tc>
          <w:tcPr>
            <w:tcW w:w="689" w:type="dxa"/>
            <w:tcBorders>
              <w:top w:val="nil"/>
              <w:left w:val="single" w:sz="4" w:space="0" w:color="auto"/>
              <w:bottom w:val="single" w:sz="4" w:space="0" w:color="auto"/>
              <w:right w:val="single" w:sz="4" w:space="0" w:color="auto"/>
            </w:tcBorders>
            <w:shd w:val="clear" w:color="auto" w:fill="C6EFCE"/>
            <w:noWrap/>
          </w:tcPr>
          <w:p w14:paraId="5ED8B5B6" w14:textId="6C9B7771" w:rsidR="00736704" w:rsidRPr="00225351" w:rsidRDefault="00EF6843" w:rsidP="00693327">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168</w:t>
            </w:r>
          </w:p>
        </w:tc>
        <w:tc>
          <w:tcPr>
            <w:tcW w:w="1275" w:type="dxa"/>
            <w:tcBorders>
              <w:top w:val="nil"/>
              <w:left w:val="nil"/>
              <w:bottom w:val="single" w:sz="4" w:space="0" w:color="auto"/>
              <w:right w:val="single" w:sz="4" w:space="0" w:color="auto"/>
            </w:tcBorders>
            <w:shd w:val="clear" w:color="auto" w:fill="C6EFCE"/>
            <w:noWrap/>
            <w:hideMark/>
          </w:tcPr>
          <w:p w14:paraId="3ABFF27D" w14:textId="4310BA50" w:rsidR="00736704" w:rsidRPr="00225351" w:rsidRDefault="00152560"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К8.Р1: Стратегическа рамка за транспорта</w:t>
            </w:r>
          </w:p>
        </w:tc>
        <w:tc>
          <w:tcPr>
            <w:tcW w:w="1150" w:type="dxa"/>
            <w:tcBorders>
              <w:top w:val="nil"/>
              <w:left w:val="nil"/>
              <w:bottom w:val="single" w:sz="4" w:space="0" w:color="auto"/>
              <w:right w:val="single" w:sz="4" w:space="0" w:color="auto"/>
            </w:tcBorders>
            <w:shd w:val="clear" w:color="auto" w:fill="C6EFCE"/>
            <w:noWrap/>
            <w:hideMark/>
          </w:tcPr>
          <w:p w14:paraId="70C68A69"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Цел</w:t>
            </w:r>
          </w:p>
        </w:tc>
        <w:tc>
          <w:tcPr>
            <w:tcW w:w="1417" w:type="dxa"/>
            <w:tcBorders>
              <w:top w:val="nil"/>
              <w:left w:val="nil"/>
              <w:bottom w:val="single" w:sz="4" w:space="0" w:color="auto"/>
              <w:right w:val="single" w:sz="4" w:space="0" w:color="auto"/>
            </w:tcBorders>
            <w:shd w:val="clear" w:color="auto" w:fill="C6EFCE"/>
            <w:noWrap/>
            <w:hideMark/>
          </w:tcPr>
          <w:p w14:paraId="0BB8D8A8"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Време за пътуване за железопътната отсечка София — Пловдив — Бургас </w:t>
            </w:r>
          </w:p>
        </w:tc>
        <w:tc>
          <w:tcPr>
            <w:tcW w:w="1418" w:type="dxa"/>
            <w:tcBorders>
              <w:top w:val="nil"/>
              <w:left w:val="nil"/>
              <w:bottom w:val="single" w:sz="4" w:space="0" w:color="auto"/>
              <w:right w:val="single" w:sz="4" w:space="0" w:color="auto"/>
            </w:tcBorders>
            <w:shd w:val="clear" w:color="auto" w:fill="C6EFCE"/>
            <w:noWrap/>
          </w:tcPr>
          <w:p w14:paraId="4D5C57E8" w14:textId="77777777" w:rsidR="00736704" w:rsidRPr="008A0F8A" w:rsidRDefault="00736704" w:rsidP="00693327">
            <w:pPr>
              <w:spacing w:after="0" w:line="240" w:lineRule="auto"/>
              <w:rPr>
                <w:rFonts w:ascii="Times New Roman" w:eastAsia="Times New Roman" w:hAnsi="Times New Roman" w:cs="Times New Roman"/>
                <w:noProof/>
                <w:color w:val="006100"/>
                <w:sz w:val="20"/>
                <w:szCs w:val="20"/>
                <w:lang w:val="ru-RU" w:eastAsia="en-GB"/>
              </w:rPr>
            </w:pPr>
          </w:p>
        </w:tc>
        <w:tc>
          <w:tcPr>
            <w:tcW w:w="1417" w:type="dxa"/>
            <w:tcBorders>
              <w:top w:val="nil"/>
              <w:left w:val="nil"/>
              <w:bottom w:val="single" w:sz="4" w:space="0" w:color="auto"/>
              <w:right w:val="single" w:sz="4" w:space="0" w:color="auto"/>
            </w:tcBorders>
            <w:shd w:val="clear" w:color="auto" w:fill="C6EFCE"/>
            <w:noWrap/>
            <w:hideMark/>
          </w:tcPr>
          <w:p w14:paraId="6AA545EE"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Брой часове</w:t>
            </w:r>
          </w:p>
        </w:tc>
        <w:tc>
          <w:tcPr>
            <w:tcW w:w="993" w:type="dxa"/>
            <w:tcBorders>
              <w:top w:val="nil"/>
              <w:left w:val="nil"/>
              <w:bottom w:val="single" w:sz="4" w:space="0" w:color="auto"/>
              <w:right w:val="single" w:sz="4" w:space="0" w:color="auto"/>
            </w:tcBorders>
            <w:shd w:val="clear" w:color="auto" w:fill="C6EFCE"/>
            <w:noWrap/>
            <w:hideMark/>
          </w:tcPr>
          <w:p w14:paraId="6178B5D1"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6 часа и 40 минути</w:t>
            </w:r>
          </w:p>
        </w:tc>
        <w:tc>
          <w:tcPr>
            <w:tcW w:w="992" w:type="dxa"/>
            <w:tcBorders>
              <w:top w:val="nil"/>
              <w:left w:val="nil"/>
              <w:bottom w:val="single" w:sz="4" w:space="0" w:color="auto"/>
              <w:right w:val="single" w:sz="4" w:space="0" w:color="auto"/>
            </w:tcBorders>
            <w:shd w:val="clear" w:color="auto" w:fill="C6EFCE"/>
            <w:noWrap/>
            <w:hideMark/>
          </w:tcPr>
          <w:p w14:paraId="6EE40484" w14:textId="4BDE8F28" w:rsidR="00736704" w:rsidRPr="00225351" w:rsidRDefault="00736704" w:rsidP="00115D4A">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4 часа и 48 минути</w:t>
            </w:r>
          </w:p>
        </w:tc>
        <w:tc>
          <w:tcPr>
            <w:tcW w:w="850" w:type="dxa"/>
            <w:tcBorders>
              <w:top w:val="nil"/>
              <w:left w:val="nil"/>
              <w:bottom w:val="single" w:sz="4" w:space="0" w:color="auto"/>
              <w:right w:val="single" w:sz="4" w:space="0" w:color="auto"/>
            </w:tcBorders>
            <w:shd w:val="clear" w:color="auto" w:fill="C6EFCE"/>
            <w:noWrap/>
            <w:hideMark/>
          </w:tcPr>
          <w:p w14:paraId="3C8E23E1"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T1</w:t>
            </w:r>
          </w:p>
        </w:tc>
        <w:tc>
          <w:tcPr>
            <w:tcW w:w="709" w:type="dxa"/>
            <w:tcBorders>
              <w:top w:val="nil"/>
              <w:left w:val="nil"/>
              <w:bottom w:val="single" w:sz="4" w:space="0" w:color="auto"/>
              <w:right w:val="single" w:sz="4" w:space="0" w:color="auto"/>
            </w:tcBorders>
            <w:shd w:val="clear" w:color="auto" w:fill="C6EFCE"/>
            <w:noWrap/>
            <w:hideMark/>
          </w:tcPr>
          <w:p w14:paraId="3403462E"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2026</w:t>
            </w:r>
          </w:p>
        </w:tc>
        <w:tc>
          <w:tcPr>
            <w:tcW w:w="4540" w:type="dxa"/>
            <w:tcBorders>
              <w:top w:val="nil"/>
              <w:left w:val="nil"/>
              <w:bottom w:val="single" w:sz="4" w:space="0" w:color="auto"/>
              <w:right w:val="single" w:sz="4" w:space="0" w:color="auto"/>
            </w:tcBorders>
            <w:shd w:val="clear" w:color="auto" w:fill="C6EFCE"/>
            <w:noWrap/>
            <w:hideMark/>
          </w:tcPr>
          <w:p w14:paraId="7CA82B93" w14:textId="4FE486B7" w:rsidR="00736704" w:rsidRPr="00225351" w:rsidRDefault="00736704" w:rsidP="00115D4A">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Времето за пътуване на пътниците по железопътната отсечка с дължина 448 km между София, Пловдив и Бургас трябва да е 4 часа и 48 минути.</w:t>
            </w:r>
          </w:p>
        </w:tc>
      </w:tr>
      <w:tr w:rsidR="00225351" w:rsidRPr="005241FC" w14:paraId="64018D9D" w14:textId="77777777" w:rsidTr="00A80AF7">
        <w:trPr>
          <w:jc w:val="center"/>
        </w:trPr>
        <w:tc>
          <w:tcPr>
            <w:tcW w:w="689" w:type="dxa"/>
            <w:tcBorders>
              <w:top w:val="nil"/>
              <w:left w:val="single" w:sz="4" w:space="0" w:color="auto"/>
              <w:bottom w:val="single" w:sz="4" w:space="0" w:color="auto"/>
              <w:right w:val="single" w:sz="4" w:space="0" w:color="auto"/>
            </w:tcBorders>
            <w:shd w:val="clear" w:color="auto" w:fill="C6EFCE"/>
            <w:noWrap/>
            <w:hideMark/>
          </w:tcPr>
          <w:p w14:paraId="43634014" w14:textId="7A1E333D" w:rsidR="00736704" w:rsidRPr="00225351" w:rsidRDefault="00EF6843" w:rsidP="00693327">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169</w:t>
            </w:r>
          </w:p>
        </w:tc>
        <w:tc>
          <w:tcPr>
            <w:tcW w:w="1275" w:type="dxa"/>
            <w:tcBorders>
              <w:top w:val="nil"/>
              <w:left w:val="nil"/>
              <w:bottom w:val="single" w:sz="4" w:space="0" w:color="auto"/>
              <w:right w:val="single" w:sz="4" w:space="0" w:color="auto"/>
            </w:tcBorders>
            <w:shd w:val="clear" w:color="auto" w:fill="C6EFCE"/>
            <w:noWrap/>
            <w:hideMark/>
          </w:tcPr>
          <w:p w14:paraId="519E0F97" w14:textId="2CFF064D" w:rsidR="00736704" w:rsidRPr="00225351" w:rsidRDefault="00152560" w:rsidP="0015256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К8.Р2: Безопасност на движението по пътищата</w:t>
            </w:r>
          </w:p>
        </w:tc>
        <w:tc>
          <w:tcPr>
            <w:tcW w:w="1150" w:type="dxa"/>
            <w:tcBorders>
              <w:top w:val="nil"/>
              <w:left w:val="nil"/>
              <w:bottom w:val="single" w:sz="4" w:space="0" w:color="auto"/>
              <w:right w:val="single" w:sz="4" w:space="0" w:color="auto"/>
            </w:tcBorders>
            <w:shd w:val="clear" w:color="auto" w:fill="C6EFCE"/>
            <w:noWrap/>
            <w:hideMark/>
          </w:tcPr>
          <w:p w14:paraId="37C8E2E8"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417" w:type="dxa"/>
            <w:tcBorders>
              <w:top w:val="nil"/>
              <w:left w:val="nil"/>
              <w:bottom w:val="single" w:sz="4" w:space="0" w:color="auto"/>
              <w:right w:val="single" w:sz="4" w:space="0" w:color="auto"/>
            </w:tcBorders>
            <w:shd w:val="clear" w:color="auto" w:fill="C6EFCE"/>
            <w:noWrap/>
            <w:hideMark/>
          </w:tcPr>
          <w:p w14:paraId="30B5A9F6"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Нова стратегия за безопасност на движението по пътищата и свързан с нея план за действие</w:t>
            </w:r>
          </w:p>
        </w:tc>
        <w:tc>
          <w:tcPr>
            <w:tcW w:w="1418" w:type="dxa"/>
            <w:tcBorders>
              <w:top w:val="nil"/>
              <w:left w:val="nil"/>
              <w:bottom w:val="single" w:sz="4" w:space="0" w:color="auto"/>
              <w:right w:val="single" w:sz="4" w:space="0" w:color="auto"/>
            </w:tcBorders>
            <w:shd w:val="clear" w:color="auto" w:fill="C6EFCE"/>
            <w:noWrap/>
            <w:hideMark/>
          </w:tcPr>
          <w:p w14:paraId="44460760"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Приемане от правителството</w:t>
            </w:r>
          </w:p>
        </w:tc>
        <w:tc>
          <w:tcPr>
            <w:tcW w:w="1417" w:type="dxa"/>
            <w:tcBorders>
              <w:top w:val="nil"/>
              <w:left w:val="nil"/>
              <w:bottom w:val="single" w:sz="4" w:space="0" w:color="auto"/>
              <w:right w:val="single" w:sz="4" w:space="0" w:color="auto"/>
            </w:tcBorders>
            <w:shd w:val="clear" w:color="auto" w:fill="C6EFCE"/>
            <w:noWrap/>
          </w:tcPr>
          <w:p w14:paraId="4D95D2E1"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lang w:val="en-GB" w:eastAsia="en-GB"/>
              </w:rPr>
            </w:pPr>
          </w:p>
        </w:tc>
        <w:tc>
          <w:tcPr>
            <w:tcW w:w="993" w:type="dxa"/>
            <w:tcBorders>
              <w:top w:val="nil"/>
              <w:left w:val="nil"/>
              <w:bottom w:val="single" w:sz="4" w:space="0" w:color="auto"/>
              <w:right w:val="single" w:sz="4" w:space="0" w:color="auto"/>
            </w:tcBorders>
            <w:shd w:val="clear" w:color="auto" w:fill="C6EFCE"/>
            <w:noWrap/>
          </w:tcPr>
          <w:p w14:paraId="07C7D5E3"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lang w:val="en-GB" w:eastAsia="en-GB"/>
              </w:rPr>
            </w:pPr>
          </w:p>
        </w:tc>
        <w:tc>
          <w:tcPr>
            <w:tcW w:w="992" w:type="dxa"/>
            <w:tcBorders>
              <w:top w:val="nil"/>
              <w:left w:val="nil"/>
              <w:bottom w:val="single" w:sz="4" w:space="0" w:color="auto"/>
              <w:right w:val="single" w:sz="4" w:space="0" w:color="auto"/>
            </w:tcBorders>
            <w:shd w:val="clear" w:color="auto" w:fill="C6EFCE"/>
            <w:noWrap/>
          </w:tcPr>
          <w:p w14:paraId="18651845"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lang w:val="en-GB" w:eastAsia="en-GB"/>
              </w:rPr>
            </w:pPr>
          </w:p>
        </w:tc>
        <w:tc>
          <w:tcPr>
            <w:tcW w:w="850" w:type="dxa"/>
            <w:tcBorders>
              <w:top w:val="nil"/>
              <w:left w:val="nil"/>
              <w:bottom w:val="single" w:sz="4" w:space="0" w:color="auto"/>
              <w:right w:val="single" w:sz="4" w:space="0" w:color="auto"/>
            </w:tcBorders>
            <w:shd w:val="clear" w:color="auto" w:fill="C6EFCE"/>
            <w:noWrap/>
            <w:hideMark/>
          </w:tcPr>
          <w:p w14:paraId="7960C862"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T4</w:t>
            </w:r>
          </w:p>
        </w:tc>
        <w:tc>
          <w:tcPr>
            <w:tcW w:w="709" w:type="dxa"/>
            <w:tcBorders>
              <w:top w:val="nil"/>
              <w:left w:val="nil"/>
              <w:bottom w:val="single" w:sz="4" w:space="0" w:color="auto"/>
              <w:right w:val="single" w:sz="4" w:space="0" w:color="auto"/>
            </w:tcBorders>
            <w:shd w:val="clear" w:color="auto" w:fill="C6EFCE"/>
            <w:noWrap/>
          </w:tcPr>
          <w:p w14:paraId="10F45615"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2020</w:t>
            </w:r>
          </w:p>
          <w:p w14:paraId="08972E7C"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lang w:val="en-GB" w:eastAsia="en-GB"/>
              </w:rPr>
            </w:pPr>
          </w:p>
          <w:p w14:paraId="2ADF1022"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lang w:val="en-GB" w:eastAsia="en-GB"/>
              </w:rPr>
            </w:pPr>
          </w:p>
        </w:tc>
        <w:tc>
          <w:tcPr>
            <w:tcW w:w="4540" w:type="dxa"/>
            <w:tcBorders>
              <w:top w:val="nil"/>
              <w:left w:val="nil"/>
              <w:bottom w:val="single" w:sz="4" w:space="0" w:color="auto"/>
              <w:right w:val="single" w:sz="4" w:space="0" w:color="auto"/>
            </w:tcBorders>
            <w:shd w:val="clear" w:color="auto" w:fill="C6EFCE"/>
            <w:noWrap/>
          </w:tcPr>
          <w:p w14:paraId="4A7AADF6" w14:textId="77777777" w:rsidR="00736704" w:rsidRPr="00225351" w:rsidRDefault="00736704" w:rsidP="00693327">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Трябва да влязат в сила Националната стратегия за безопасност на движението по пътищата в Република България за периода 2021—2030 г. и Планът за действие (2021—2023 г.).</w:t>
            </w:r>
          </w:p>
          <w:p w14:paraId="5F708664" w14:textId="77777777" w:rsidR="00736704" w:rsidRPr="008A0F8A" w:rsidRDefault="00736704" w:rsidP="00693327">
            <w:pPr>
              <w:spacing w:after="0" w:line="240" w:lineRule="auto"/>
              <w:jc w:val="both"/>
              <w:rPr>
                <w:rFonts w:ascii="Times New Roman" w:eastAsia="Times New Roman" w:hAnsi="Times New Roman" w:cs="Times New Roman"/>
                <w:noProof/>
                <w:color w:val="006100"/>
                <w:sz w:val="20"/>
                <w:szCs w:val="20"/>
                <w:lang w:val="ru-RU" w:eastAsia="en-GB"/>
              </w:rPr>
            </w:pPr>
          </w:p>
          <w:p w14:paraId="7AE083DD" w14:textId="77777777" w:rsidR="00736704" w:rsidRPr="00225351" w:rsidRDefault="00736704" w:rsidP="00693327">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Новата стратегия за безопасност на движението по пътищата трябва да включва следните цели: </w:t>
            </w:r>
          </w:p>
          <w:p w14:paraId="122FB7D0" w14:textId="77777777" w:rsidR="00736704" w:rsidRPr="00225351" w:rsidRDefault="00736704" w:rsidP="00225351">
            <w:pPr>
              <w:pStyle w:val="ListParagraph"/>
              <w:numPr>
                <w:ilvl w:val="0"/>
                <w:numId w:val="69"/>
              </w:numPr>
              <w:spacing w:after="0" w:line="240" w:lineRule="auto"/>
              <w:ind w:left="360"/>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намаляване на смъртните случаи и тежките наранявания вследствие на пътнотранспортни произшествия с 50 % до 2030 г. спрямо базовата 2019 година в съответствие с рамката на стратегията на ЕС за пътищата и визията за нулева смъртност;</w:t>
            </w:r>
          </w:p>
          <w:p w14:paraId="4BAB6A39" w14:textId="77777777" w:rsidR="00736704" w:rsidRPr="00225351" w:rsidRDefault="00736704" w:rsidP="00225351">
            <w:pPr>
              <w:pStyle w:val="ListParagraph"/>
              <w:numPr>
                <w:ilvl w:val="0"/>
                <w:numId w:val="69"/>
              </w:numPr>
              <w:spacing w:after="0" w:line="240" w:lineRule="auto"/>
              <w:ind w:left="360"/>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интегрирано управление на всички свързани с пътната безопасност въпроси — задълбочена координация на съответните институции и укрепване на административния капацитет за управление на пътната безопасност (въз основа на проучвания, анализи, оценка на нуждите, приоритизиране и планиране, мониторинг, оценка и докладване); </w:t>
            </w:r>
          </w:p>
          <w:p w14:paraId="0A16E760" w14:textId="77777777" w:rsidR="00736704" w:rsidRPr="00225351" w:rsidRDefault="00736704" w:rsidP="00225351">
            <w:pPr>
              <w:pStyle w:val="ListParagraph"/>
              <w:numPr>
                <w:ilvl w:val="0"/>
                <w:numId w:val="69"/>
              </w:numPr>
              <w:spacing w:after="0" w:line="240" w:lineRule="auto"/>
              <w:ind w:left="360"/>
              <w:rPr>
                <w:rFonts w:ascii="Times New Roman" w:eastAsia="Times New Roman" w:hAnsi="Times New Roman" w:cs="Times New Roman"/>
                <w:noProof/>
                <w:color w:val="006100"/>
                <w:sz w:val="20"/>
                <w:szCs w:val="20"/>
              </w:rPr>
            </w:pPr>
            <w:r>
              <w:rPr>
                <w:rFonts w:ascii="Times New Roman" w:hAnsi="Times New Roman"/>
                <w:noProof/>
                <w:color w:val="006100"/>
                <w:sz w:val="20"/>
              </w:rPr>
              <w:t>социална отговорност и промени в поведението на участниците в пътното движение;</w:t>
            </w:r>
          </w:p>
          <w:p w14:paraId="2BB6F91C" w14:textId="77777777" w:rsidR="00736704" w:rsidRPr="00225351" w:rsidRDefault="00736704" w:rsidP="00225351">
            <w:pPr>
              <w:pStyle w:val="ListParagraph"/>
              <w:numPr>
                <w:ilvl w:val="0"/>
                <w:numId w:val="69"/>
              </w:numPr>
              <w:spacing w:after="0" w:line="240" w:lineRule="auto"/>
              <w:ind w:left="360"/>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подкрепа за правоприлагането, ефективно предотвратяване на нарушаването на правилата за безопасност по пътищата и увеличаване на санкциите за нарушения на пътната безопасност; </w:t>
            </w:r>
          </w:p>
          <w:p w14:paraId="257F7998" w14:textId="77777777" w:rsidR="00736704" w:rsidRPr="00225351" w:rsidRDefault="00736704" w:rsidP="00225351">
            <w:pPr>
              <w:pStyle w:val="ListParagraph"/>
              <w:numPr>
                <w:ilvl w:val="0"/>
                <w:numId w:val="69"/>
              </w:numPr>
              <w:spacing w:after="0" w:line="240" w:lineRule="auto"/>
              <w:ind w:left="360"/>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повишаване на безопасността на превозните средства; </w:t>
            </w:r>
          </w:p>
          <w:p w14:paraId="26688E91" w14:textId="77777777" w:rsidR="00736704" w:rsidRPr="00225351" w:rsidRDefault="00736704" w:rsidP="00225351">
            <w:pPr>
              <w:pStyle w:val="ListParagraph"/>
              <w:numPr>
                <w:ilvl w:val="0"/>
                <w:numId w:val="69"/>
              </w:numPr>
              <w:spacing w:after="0" w:line="240" w:lineRule="auto"/>
              <w:ind w:left="360"/>
              <w:rPr>
                <w:rFonts w:ascii="Times New Roman" w:eastAsia="Times New Roman" w:hAnsi="Times New Roman" w:cs="Times New Roman"/>
                <w:noProof/>
                <w:color w:val="006100"/>
                <w:sz w:val="20"/>
                <w:szCs w:val="20"/>
              </w:rPr>
            </w:pPr>
            <w:r>
              <w:rPr>
                <w:rFonts w:ascii="Times New Roman" w:hAnsi="Times New Roman"/>
                <w:noProof/>
                <w:color w:val="006100"/>
                <w:sz w:val="20"/>
              </w:rPr>
              <w:t>защита на уязвимите участници в пътното движение, например пешеходците и велосипедистите;</w:t>
            </w:r>
          </w:p>
          <w:p w14:paraId="616B1495" w14:textId="22C06F3C" w:rsidR="00736704" w:rsidRPr="00225351" w:rsidRDefault="00736704" w:rsidP="00374E07">
            <w:pPr>
              <w:pStyle w:val="ListParagraph"/>
              <w:numPr>
                <w:ilvl w:val="0"/>
                <w:numId w:val="69"/>
              </w:numPr>
              <w:spacing w:after="0" w:line="240" w:lineRule="auto"/>
              <w:ind w:left="360"/>
              <w:rPr>
                <w:rFonts w:ascii="Times New Roman" w:eastAsia="Times New Roman" w:hAnsi="Times New Roman" w:cs="Times New Roman"/>
                <w:noProof/>
                <w:color w:val="006100"/>
                <w:sz w:val="20"/>
                <w:szCs w:val="20"/>
              </w:rPr>
            </w:pPr>
            <w:r>
              <w:rPr>
                <w:rFonts w:ascii="Times New Roman" w:hAnsi="Times New Roman"/>
                <w:noProof/>
                <w:color w:val="006100"/>
                <w:sz w:val="20"/>
              </w:rPr>
              <w:t>подобряване на реагирането при наранявания след пътнотранспортни произшествия.</w:t>
            </w:r>
          </w:p>
        </w:tc>
      </w:tr>
      <w:tr w:rsidR="00225351" w:rsidRPr="005241FC" w14:paraId="3D707A6D" w14:textId="77777777" w:rsidTr="00A80AF7">
        <w:trPr>
          <w:jc w:val="center"/>
        </w:trPr>
        <w:tc>
          <w:tcPr>
            <w:tcW w:w="689" w:type="dxa"/>
            <w:tcBorders>
              <w:top w:val="nil"/>
              <w:left w:val="single" w:sz="4" w:space="0" w:color="auto"/>
              <w:bottom w:val="single" w:sz="4" w:space="0" w:color="auto"/>
              <w:right w:val="single" w:sz="4" w:space="0" w:color="auto"/>
            </w:tcBorders>
            <w:shd w:val="clear" w:color="auto" w:fill="C6EFCE"/>
            <w:noWrap/>
            <w:hideMark/>
          </w:tcPr>
          <w:p w14:paraId="2AA2B90C" w14:textId="0D2E339F" w:rsidR="00736704" w:rsidRPr="00225351" w:rsidRDefault="00EF6843" w:rsidP="00693327">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170</w:t>
            </w:r>
          </w:p>
        </w:tc>
        <w:tc>
          <w:tcPr>
            <w:tcW w:w="1275" w:type="dxa"/>
            <w:tcBorders>
              <w:top w:val="nil"/>
              <w:left w:val="nil"/>
              <w:bottom w:val="single" w:sz="4" w:space="0" w:color="auto"/>
              <w:right w:val="single" w:sz="4" w:space="0" w:color="auto"/>
            </w:tcBorders>
            <w:shd w:val="clear" w:color="auto" w:fill="C6EFCE"/>
            <w:noWrap/>
            <w:hideMark/>
          </w:tcPr>
          <w:p w14:paraId="3FA1C23F" w14:textId="51515D9D" w:rsidR="00736704" w:rsidRPr="00225351" w:rsidRDefault="00152560"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К8.Р2: Безопасност на движението по пътищата</w:t>
            </w:r>
          </w:p>
        </w:tc>
        <w:tc>
          <w:tcPr>
            <w:tcW w:w="1150" w:type="dxa"/>
            <w:tcBorders>
              <w:top w:val="nil"/>
              <w:left w:val="nil"/>
              <w:bottom w:val="single" w:sz="4" w:space="0" w:color="auto"/>
              <w:right w:val="single" w:sz="4" w:space="0" w:color="auto"/>
            </w:tcBorders>
            <w:shd w:val="clear" w:color="auto" w:fill="C6EFCE"/>
            <w:noWrap/>
            <w:hideMark/>
          </w:tcPr>
          <w:p w14:paraId="3BA5D044"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417" w:type="dxa"/>
            <w:tcBorders>
              <w:top w:val="nil"/>
              <w:left w:val="nil"/>
              <w:bottom w:val="single" w:sz="4" w:space="0" w:color="auto"/>
              <w:right w:val="single" w:sz="4" w:space="0" w:color="auto"/>
            </w:tcBorders>
            <w:shd w:val="clear" w:color="auto" w:fill="C6EFCE"/>
            <w:noWrap/>
            <w:hideMark/>
          </w:tcPr>
          <w:p w14:paraId="63339153"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Изпълнение на новия план за действие за безопасност на движението по пътищата </w:t>
            </w:r>
          </w:p>
        </w:tc>
        <w:tc>
          <w:tcPr>
            <w:tcW w:w="1418" w:type="dxa"/>
            <w:tcBorders>
              <w:top w:val="nil"/>
              <w:left w:val="nil"/>
              <w:bottom w:val="single" w:sz="4" w:space="0" w:color="auto"/>
              <w:right w:val="single" w:sz="4" w:space="0" w:color="auto"/>
            </w:tcBorders>
            <w:shd w:val="clear" w:color="auto" w:fill="C6EFCE"/>
            <w:noWrap/>
            <w:hideMark/>
          </w:tcPr>
          <w:p w14:paraId="4C5B0813"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Публикуване на доклад за напредъка с изпълнените действия</w:t>
            </w:r>
          </w:p>
        </w:tc>
        <w:tc>
          <w:tcPr>
            <w:tcW w:w="1417" w:type="dxa"/>
            <w:tcBorders>
              <w:top w:val="nil"/>
              <w:left w:val="nil"/>
              <w:bottom w:val="single" w:sz="4" w:space="0" w:color="auto"/>
              <w:right w:val="single" w:sz="4" w:space="0" w:color="auto"/>
            </w:tcBorders>
            <w:shd w:val="clear" w:color="auto" w:fill="C6EFCE"/>
            <w:noWrap/>
          </w:tcPr>
          <w:p w14:paraId="5B51A275" w14:textId="77777777" w:rsidR="00736704" w:rsidRPr="008A0F8A" w:rsidRDefault="00736704" w:rsidP="00693327">
            <w:pPr>
              <w:spacing w:after="0" w:line="240" w:lineRule="auto"/>
              <w:rPr>
                <w:rFonts w:ascii="Times New Roman" w:eastAsia="Times New Roman" w:hAnsi="Times New Roman" w:cs="Times New Roman"/>
                <w:noProof/>
                <w:color w:val="006100"/>
                <w:sz w:val="20"/>
                <w:szCs w:val="20"/>
                <w:lang w:val="ru-RU"/>
              </w:rPr>
            </w:pPr>
          </w:p>
        </w:tc>
        <w:tc>
          <w:tcPr>
            <w:tcW w:w="993" w:type="dxa"/>
            <w:tcBorders>
              <w:top w:val="nil"/>
              <w:left w:val="nil"/>
              <w:bottom w:val="single" w:sz="4" w:space="0" w:color="auto"/>
              <w:right w:val="single" w:sz="4" w:space="0" w:color="auto"/>
            </w:tcBorders>
            <w:shd w:val="clear" w:color="auto" w:fill="C6EFCE"/>
            <w:noWrap/>
          </w:tcPr>
          <w:p w14:paraId="65D24F5F" w14:textId="77777777" w:rsidR="00736704" w:rsidRPr="008A0F8A" w:rsidRDefault="00736704" w:rsidP="00693327">
            <w:pPr>
              <w:spacing w:after="0" w:line="240" w:lineRule="auto"/>
              <w:rPr>
                <w:rFonts w:ascii="Times New Roman" w:eastAsia="Times New Roman" w:hAnsi="Times New Roman" w:cs="Times New Roman"/>
                <w:noProof/>
                <w:color w:val="006100"/>
                <w:sz w:val="20"/>
                <w:szCs w:val="20"/>
                <w:lang w:val="ru-RU"/>
              </w:rPr>
            </w:pPr>
          </w:p>
        </w:tc>
        <w:tc>
          <w:tcPr>
            <w:tcW w:w="992" w:type="dxa"/>
            <w:tcBorders>
              <w:top w:val="nil"/>
              <w:left w:val="nil"/>
              <w:bottom w:val="single" w:sz="4" w:space="0" w:color="auto"/>
              <w:right w:val="single" w:sz="4" w:space="0" w:color="auto"/>
            </w:tcBorders>
            <w:shd w:val="clear" w:color="auto" w:fill="C6EFCE"/>
            <w:noWrap/>
          </w:tcPr>
          <w:p w14:paraId="503BECCB" w14:textId="77777777" w:rsidR="00736704" w:rsidRPr="008A0F8A" w:rsidRDefault="00736704" w:rsidP="00693327">
            <w:pPr>
              <w:spacing w:after="0" w:line="240" w:lineRule="auto"/>
              <w:rPr>
                <w:rFonts w:ascii="Times New Roman" w:eastAsia="Times New Roman" w:hAnsi="Times New Roman" w:cs="Times New Roman"/>
                <w:noProof/>
                <w:color w:val="006100"/>
                <w:sz w:val="20"/>
                <w:szCs w:val="20"/>
                <w:lang w:val="ru-RU"/>
              </w:rPr>
            </w:pPr>
          </w:p>
        </w:tc>
        <w:tc>
          <w:tcPr>
            <w:tcW w:w="850" w:type="dxa"/>
            <w:tcBorders>
              <w:top w:val="nil"/>
              <w:left w:val="nil"/>
              <w:bottom w:val="single" w:sz="4" w:space="0" w:color="auto"/>
              <w:right w:val="single" w:sz="4" w:space="0" w:color="auto"/>
            </w:tcBorders>
            <w:shd w:val="clear" w:color="auto" w:fill="C6EFCE"/>
            <w:noWrap/>
            <w:hideMark/>
          </w:tcPr>
          <w:p w14:paraId="25F7F633"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T2</w:t>
            </w:r>
          </w:p>
        </w:tc>
        <w:tc>
          <w:tcPr>
            <w:tcW w:w="709" w:type="dxa"/>
            <w:tcBorders>
              <w:top w:val="nil"/>
              <w:left w:val="nil"/>
              <w:bottom w:val="single" w:sz="4" w:space="0" w:color="auto"/>
              <w:right w:val="single" w:sz="4" w:space="0" w:color="auto"/>
            </w:tcBorders>
            <w:shd w:val="clear" w:color="auto" w:fill="C6EFCE"/>
            <w:noWrap/>
            <w:hideMark/>
          </w:tcPr>
          <w:p w14:paraId="34ACBCD3"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2023</w:t>
            </w:r>
          </w:p>
        </w:tc>
        <w:tc>
          <w:tcPr>
            <w:tcW w:w="4540" w:type="dxa"/>
            <w:tcBorders>
              <w:top w:val="nil"/>
              <w:left w:val="nil"/>
              <w:bottom w:val="single" w:sz="4" w:space="0" w:color="auto"/>
              <w:right w:val="single" w:sz="4" w:space="0" w:color="auto"/>
            </w:tcBorders>
            <w:shd w:val="clear" w:color="auto" w:fill="C6EFCE"/>
            <w:noWrap/>
          </w:tcPr>
          <w:p w14:paraId="61D4AA44" w14:textId="08D5155F" w:rsidR="00736704" w:rsidRPr="00225351" w:rsidRDefault="00736704" w:rsidP="00693327">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В рамките на посочения в ключов етап 169 план за действие на националната стратегия за безопасност на движението по пътищата трябва да бъдат изпълнени набор от основни дейности. Това включва:</w:t>
            </w:r>
          </w:p>
          <w:p w14:paraId="3694D4B6" w14:textId="109218D4" w:rsidR="00736704" w:rsidRPr="00225351" w:rsidRDefault="00736704" w:rsidP="00225351">
            <w:pPr>
              <w:pStyle w:val="ListParagraph"/>
              <w:numPr>
                <w:ilvl w:val="0"/>
                <w:numId w:val="70"/>
              </w:numPr>
              <w:spacing w:line="256" w:lineRule="auto"/>
              <w:ind w:left="360"/>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изготвяне на секторни годишни планове за действие, 28 регионални годишни плана/програми за пътна безопасност и 265 общински плана/програми за пътна безопасност за всяка от трите години, с приоритизиране и планиране на инфраструктурни мерки с най-голямо въздействие върху пътната безопасност; </w:t>
            </w:r>
          </w:p>
          <w:p w14:paraId="06B11413" w14:textId="77777777" w:rsidR="00736704" w:rsidRPr="00225351" w:rsidRDefault="00736704" w:rsidP="00225351">
            <w:pPr>
              <w:pStyle w:val="ListParagraph"/>
              <w:numPr>
                <w:ilvl w:val="0"/>
                <w:numId w:val="30"/>
              </w:num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прилагане на мерки за пътна безопасност в 28-те области/региона с акцент върху уязвимите участници в движението по пътищата в градските райони; </w:t>
            </w:r>
          </w:p>
          <w:p w14:paraId="525BDB18" w14:textId="77777777" w:rsidR="00736704" w:rsidRPr="00225351" w:rsidRDefault="00736704" w:rsidP="00225351">
            <w:pPr>
              <w:pStyle w:val="ListParagraph"/>
              <w:numPr>
                <w:ilvl w:val="0"/>
                <w:numId w:val="30"/>
              </w:num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изготвяне на 28 регионални доклада и резюме на националния доклад за всяка от трите години относно състоянието на елементите на пътната безопасност по националните и общинските пътища, както и по градските улици. </w:t>
            </w:r>
          </w:p>
          <w:p w14:paraId="28F0F86B" w14:textId="77777777" w:rsidR="00736704" w:rsidRPr="008A0F8A" w:rsidRDefault="00736704" w:rsidP="00693327">
            <w:pPr>
              <w:spacing w:after="0" w:line="240" w:lineRule="auto"/>
              <w:jc w:val="both"/>
              <w:rPr>
                <w:rFonts w:ascii="Times New Roman" w:eastAsia="Times New Roman" w:hAnsi="Times New Roman" w:cs="Times New Roman"/>
                <w:noProof/>
                <w:color w:val="006100"/>
                <w:sz w:val="20"/>
                <w:szCs w:val="20"/>
                <w:lang w:val="ru-RU"/>
              </w:rPr>
            </w:pPr>
          </w:p>
          <w:p w14:paraId="3F76EC66" w14:textId="77777777" w:rsidR="00736704" w:rsidRPr="00225351" w:rsidRDefault="00736704" w:rsidP="00693327">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Този процес трябва да бъде координиран и наблюдаван от Държавна агенция „Безопасност на движението по пътищата“ с персонал от обучени професионалисти. </w:t>
            </w:r>
          </w:p>
          <w:p w14:paraId="5057E27D" w14:textId="77777777" w:rsidR="00736704" w:rsidRPr="008A0F8A" w:rsidRDefault="00736704" w:rsidP="00693327">
            <w:pPr>
              <w:spacing w:after="0" w:line="240" w:lineRule="auto"/>
              <w:jc w:val="both"/>
              <w:rPr>
                <w:rFonts w:ascii="Times New Roman" w:eastAsia="Times New Roman" w:hAnsi="Times New Roman" w:cs="Times New Roman"/>
                <w:noProof/>
                <w:color w:val="006100"/>
                <w:sz w:val="20"/>
                <w:szCs w:val="20"/>
                <w:lang w:val="ru-RU"/>
              </w:rPr>
            </w:pPr>
          </w:p>
          <w:p w14:paraId="5698C2A8" w14:textId="77777777" w:rsidR="00736704" w:rsidRPr="00225351" w:rsidRDefault="00736704" w:rsidP="00693327">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Трябва да бъде въведено задължение за редовно проследяване на процедурите за цялостна оценка на безопасността на пътната мрежа по отношение на планирането, извършването на целенасочени инспекции по пътна безопасност и предприемането на преки коригиращи действия.</w:t>
            </w:r>
          </w:p>
        </w:tc>
      </w:tr>
      <w:tr w:rsidR="00225351" w:rsidRPr="005241FC" w14:paraId="33D059AB" w14:textId="77777777" w:rsidTr="00A80AF7">
        <w:trPr>
          <w:jc w:val="center"/>
        </w:trPr>
        <w:tc>
          <w:tcPr>
            <w:tcW w:w="689" w:type="dxa"/>
            <w:tcBorders>
              <w:top w:val="nil"/>
              <w:left w:val="single" w:sz="4" w:space="0" w:color="auto"/>
              <w:bottom w:val="single" w:sz="4" w:space="0" w:color="auto"/>
              <w:right w:val="single" w:sz="4" w:space="0" w:color="auto"/>
            </w:tcBorders>
            <w:shd w:val="clear" w:color="auto" w:fill="C6EFCE"/>
            <w:noWrap/>
            <w:hideMark/>
          </w:tcPr>
          <w:p w14:paraId="1F1587CF" w14:textId="7B846622" w:rsidR="00736704" w:rsidRPr="00225351" w:rsidRDefault="00EF6843" w:rsidP="00693327">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171</w:t>
            </w:r>
          </w:p>
        </w:tc>
        <w:tc>
          <w:tcPr>
            <w:tcW w:w="1275" w:type="dxa"/>
            <w:tcBorders>
              <w:top w:val="nil"/>
              <w:left w:val="nil"/>
              <w:bottom w:val="single" w:sz="4" w:space="0" w:color="auto"/>
              <w:right w:val="single" w:sz="4" w:space="0" w:color="auto"/>
            </w:tcBorders>
            <w:shd w:val="clear" w:color="auto" w:fill="C6EFCE"/>
            <w:noWrap/>
            <w:hideMark/>
          </w:tcPr>
          <w:p w14:paraId="1807CC5F" w14:textId="39C2164E" w:rsidR="00736704" w:rsidRPr="00225351" w:rsidRDefault="00152560"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К8.Р2: Безопасност на движението по пътищата</w:t>
            </w:r>
          </w:p>
        </w:tc>
        <w:tc>
          <w:tcPr>
            <w:tcW w:w="1150" w:type="dxa"/>
            <w:tcBorders>
              <w:top w:val="nil"/>
              <w:left w:val="nil"/>
              <w:bottom w:val="single" w:sz="4" w:space="0" w:color="auto"/>
              <w:right w:val="single" w:sz="4" w:space="0" w:color="auto"/>
            </w:tcBorders>
            <w:shd w:val="clear" w:color="auto" w:fill="C6EFCE"/>
            <w:noWrap/>
            <w:hideMark/>
          </w:tcPr>
          <w:p w14:paraId="7E380684"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Цел</w:t>
            </w:r>
          </w:p>
        </w:tc>
        <w:tc>
          <w:tcPr>
            <w:tcW w:w="1417" w:type="dxa"/>
            <w:tcBorders>
              <w:top w:val="nil"/>
              <w:left w:val="nil"/>
              <w:bottom w:val="single" w:sz="4" w:space="0" w:color="auto"/>
              <w:right w:val="single" w:sz="4" w:space="0" w:color="auto"/>
            </w:tcBorders>
            <w:shd w:val="clear" w:color="auto" w:fill="C6EFCE"/>
            <w:noWrap/>
            <w:hideMark/>
          </w:tcPr>
          <w:p w14:paraId="465EE406"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Премахване на опасните/критичните участъци за движението по пътищата</w:t>
            </w:r>
          </w:p>
        </w:tc>
        <w:tc>
          <w:tcPr>
            <w:tcW w:w="1418" w:type="dxa"/>
            <w:tcBorders>
              <w:top w:val="nil"/>
              <w:left w:val="nil"/>
              <w:bottom w:val="single" w:sz="4" w:space="0" w:color="auto"/>
              <w:right w:val="single" w:sz="4" w:space="0" w:color="auto"/>
            </w:tcBorders>
            <w:shd w:val="clear" w:color="auto" w:fill="C6EFCE"/>
            <w:noWrap/>
            <w:hideMark/>
          </w:tcPr>
          <w:p w14:paraId="415E8D93"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1417" w:type="dxa"/>
            <w:tcBorders>
              <w:top w:val="nil"/>
              <w:left w:val="nil"/>
              <w:bottom w:val="single" w:sz="4" w:space="0" w:color="auto"/>
              <w:right w:val="single" w:sz="4" w:space="0" w:color="auto"/>
            </w:tcBorders>
            <w:shd w:val="clear" w:color="auto" w:fill="C6EFCE"/>
            <w:noWrap/>
            <w:hideMark/>
          </w:tcPr>
          <w:p w14:paraId="636A209C" w14:textId="5BBFBBFC"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Процентно намаление (%) в сравнение с 2019 г.</w:t>
            </w:r>
          </w:p>
        </w:tc>
        <w:tc>
          <w:tcPr>
            <w:tcW w:w="993" w:type="dxa"/>
            <w:tcBorders>
              <w:top w:val="nil"/>
              <w:left w:val="nil"/>
              <w:bottom w:val="single" w:sz="4" w:space="0" w:color="auto"/>
              <w:right w:val="single" w:sz="4" w:space="0" w:color="auto"/>
            </w:tcBorders>
            <w:shd w:val="clear" w:color="auto" w:fill="C6EFCE"/>
            <w:noWrap/>
            <w:hideMark/>
          </w:tcPr>
          <w:p w14:paraId="7971E333"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0</w:t>
            </w:r>
          </w:p>
        </w:tc>
        <w:tc>
          <w:tcPr>
            <w:tcW w:w="992" w:type="dxa"/>
            <w:tcBorders>
              <w:top w:val="nil"/>
              <w:left w:val="nil"/>
              <w:bottom w:val="single" w:sz="4" w:space="0" w:color="auto"/>
              <w:right w:val="single" w:sz="4" w:space="0" w:color="auto"/>
            </w:tcBorders>
            <w:shd w:val="clear" w:color="auto" w:fill="C6EFCE"/>
            <w:noWrap/>
            <w:hideMark/>
          </w:tcPr>
          <w:p w14:paraId="21261643"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50</w:t>
            </w:r>
          </w:p>
        </w:tc>
        <w:tc>
          <w:tcPr>
            <w:tcW w:w="850" w:type="dxa"/>
            <w:tcBorders>
              <w:top w:val="nil"/>
              <w:left w:val="nil"/>
              <w:bottom w:val="single" w:sz="4" w:space="0" w:color="auto"/>
              <w:right w:val="single" w:sz="4" w:space="0" w:color="auto"/>
            </w:tcBorders>
            <w:shd w:val="clear" w:color="auto" w:fill="C6EFCE"/>
            <w:noWrap/>
            <w:hideMark/>
          </w:tcPr>
          <w:p w14:paraId="4D30D032"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T1</w:t>
            </w:r>
          </w:p>
        </w:tc>
        <w:tc>
          <w:tcPr>
            <w:tcW w:w="709" w:type="dxa"/>
            <w:tcBorders>
              <w:top w:val="nil"/>
              <w:left w:val="nil"/>
              <w:bottom w:val="single" w:sz="4" w:space="0" w:color="auto"/>
              <w:right w:val="single" w:sz="4" w:space="0" w:color="auto"/>
            </w:tcBorders>
            <w:shd w:val="clear" w:color="auto" w:fill="C6EFCE"/>
            <w:noWrap/>
            <w:hideMark/>
          </w:tcPr>
          <w:p w14:paraId="64AFEF6B"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2026</w:t>
            </w:r>
          </w:p>
        </w:tc>
        <w:tc>
          <w:tcPr>
            <w:tcW w:w="4540" w:type="dxa"/>
            <w:tcBorders>
              <w:top w:val="nil"/>
              <w:left w:val="nil"/>
              <w:bottom w:val="single" w:sz="4" w:space="0" w:color="auto"/>
              <w:right w:val="single" w:sz="4" w:space="0" w:color="auto"/>
            </w:tcBorders>
            <w:shd w:val="clear" w:color="auto" w:fill="C6EFCE"/>
            <w:noWrap/>
          </w:tcPr>
          <w:p w14:paraId="4C80D33B" w14:textId="77777777" w:rsidR="00736704" w:rsidRPr="00225351" w:rsidRDefault="00736704" w:rsidP="00693327">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Трябва да бъде постигнато намаление с 50 % на опасните/критичните участъци за движението по пътищата в България между края на 2019 г. и края на 2025 г. (източник на данни: Министерство на вътрешните работи).</w:t>
            </w:r>
          </w:p>
          <w:p w14:paraId="053465D7" w14:textId="77777777" w:rsidR="00736704" w:rsidRPr="00225351" w:rsidRDefault="00736704" w:rsidP="00693327">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Пътните администрации (Агенция „Пътна инфраструктура“ и общините) трябва да предприемат действия на годишна база за премахване на такива участъци чрез проучвания за всеки участък от пътя и програми за приоритизиране на всички необходими дейности. Мерките се планират ежегодно в плановете/програмите на съответните администрации и се докладват на Държавна агенция „Безопасност на движението по пътищата“.</w:t>
            </w:r>
          </w:p>
          <w:p w14:paraId="46338FB2" w14:textId="77777777" w:rsidR="00736704" w:rsidRPr="008A0F8A" w:rsidRDefault="00736704" w:rsidP="00693327">
            <w:pPr>
              <w:spacing w:after="0" w:line="240" w:lineRule="auto"/>
              <w:jc w:val="both"/>
              <w:rPr>
                <w:rFonts w:ascii="Times New Roman" w:eastAsia="Times New Roman" w:hAnsi="Times New Roman" w:cs="Times New Roman"/>
                <w:noProof/>
                <w:color w:val="006100"/>
                <w:sz w:val="20"/>
                <w:szCs w:val="20"/>
                <w:lang w:val="ru-RU" w:eastAsia="en-GB"/>
              </w:rPr>
            </w:pPr>
          </w:p>
          <w:p w14:paraId="431C680C" w14:textId="5BD26214" w:rsidR="00736704" w:rsidRPr="00225351" w:rsidRDefault="00736704" w:rsidP="00693327">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Списъкът на критичните участъци за движението по пътищата се предоставя на службите на Комисията. </w:t>
            </w:r>
          </w:p>
        </w:tc>
      </w:tr>
      <w:tr w:rsidR="00225351" w:rsidRPr="005241FC" w14:paraId="1D2FC8BD" w14:textId="77777777" w:rsidTr="00A80AF7">
        <w:trPr>
          <w:jc w:val="center"/>
        </w:trPr>
        <w:tc>
          <w:tcPr>
            <w:tcW w:w="689" w:type="dxa"/>
            <w:tcBorders>
              <w:top w:val="nil"/>
              <w:left w:val="single" w:sz="4" w:space="0" w:color="auto"/>
              <w:bottom w:val="single" w:sz="4" w:space="0" w:color="auto"/>
              <w:right w:val="single" w:sz="4" w:space="0" w:color="auto"/>
            </w:tcBorders>
            <w:shd w:val="clear" w:color="auto" w:fill="C6EFCE"/>
            <w:noWrap/>
            <w:hideMark/>
          </w:tcPr>
          <w:p w14:paraId="5B0CCFA2" w14:textId="738CC610" w:rsidR="00736704" w:rsidRPr="00225351" w:rsidRDefault="00EF6843" w:rsidP="00693327">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172</w:t>
            </w:r>
          </w:p>
        </w:tc>
        <w:tc>
          <w:tcPr>
            <w:tcW w:w="1275" w:type="dxa"/>
            <w:tcBorders>
              <w:top w:val="nil"/>
              <w:left w:val="nil"/>
              <w:bottom w:val="single" w:sz="4" w:space="0" w:color="auto"/>
              <w:right w:val="single" w:sz="4" w:space="0" w:color="auto"/>
            </w:tcBorders>
            <w:shd w:val="clear" w:color="auto" w:fill="C6EFCE"/>
            <w:noWrap/>
            <w:hideMark/>
          </w:tcPr>
          <w:p w14:paraId="158663E1" w14:textId="22AB9195" w:rsidR="00736704" w:rsidRPr="00225351" w:rsidRDefault="00152560"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К8.Р2: Безопасност на движението по пътищата</w:t>
            </w:r>
          </w:p>
        </w:tc>
        <w:tc>
          <w:tcPr>
            <w:tcW w:w="1150" w:type="dxa"/>
            <w:tcBorders>
              <w:top w:val="nil"/>
              <w:left w:val="nil"/>
              <w:bottom w:val="single" w:sz="4" w:space="0" w:color="auto"/>
              <w:right w:val="single" w:sz="4" w:space="0" w:color="auto"/>
            </w:tcBorders>
            <w:shd w:val="clear" w:color="auto" w:fill="C6EFCE"/>
            <w:noWrap/>
            <w:hideMark/>
          </w:tcPr>
          <w:p w14:paraId="5FB26309"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Цел</w:t>
            </w:r>
          </w:p>
        </w:tc>
        <w:tc>
          <w:tcPr>
            <w:tcW w:w="1417" w:type="dxa"/>
            <w:tcBorders>
              <w:top w:val="nil"/>
              <w:left w:val="nil"/>
              <w:bottom w:val="single" w:sz="4" w:space="0" w:color="auto"/>
              <w:right w:val="single" w:sz="4" w:space="0" w:color="auto"/>
            </w:tcBorders>
            <w:shd w:val="clear" w:color="auto" w:fill="C6EFCE"/>
            <w:noWrap/>
            <w:hideMark/>
          </w:tcPr>
          <w:p w14:paraId="598E483A"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Намаляване на броя на жертвите на пътнотранспортни произшествия</w:t>
            </w:r>
          </w:p>
        </w:tc>
        <w:tc>
          <w:tcPr>
            <w:tcW w:w="1418" w:type="dxa"/>
            <w:tcBorders>
              <w:top w:val="nil"/>
              <w:left w:val="nil"/>
              <w:bottom w:val="single" w:sz="4" w:space="0" w:color="auto"/>
              <w:right w:val="single" w:sz="4" w:space="0" w:color="auto"/>
            </w:tcBorders>
            <w:shd w:val="clear" w:color="auto" w:fill="C6EFCE"/>
            <w:noWrap/>
            <w:hideMark/>
          </w:tcPr>
          <w:p w14:paraId="4275D1DB" w14:textId="77777777" w:rsidR="00736704" w:rsidRPr="008A0F8A" w:rsidRDefault="00736704" w:rsidP="00693327">
            <w:pPr>
              <w:rPr>
                <w:rFonts w:ascii="Times New Roman" w:eastAsia="Times New Roman" w:hAnsi="Times New Roman" w:cs="Times New Roman"/>
                <w:noProof/>
                <w:color w:val="006100"/>
                <w:sz w:val="20"/>
                <w:szCs w:val="20"/>
                <w:lang w:val="ru-RU" w:eastAsia="en-GB"/>
              </w:rPr>
            </w:pPr>
          </w:p>
        </w:tc>
        <w:tc>
          <w:tcPr>
            <w:tcW w:w="1417" w:type="dxa"/>
            <w:tcBorders>
              <w:top w:val="nil"/>
              <w:left w:val="nil"/>
              <w:bottom w:val="single" w:sz="4" w:space="0" w:color="auto"/>
              <w:right w:val="single" w:sz="4" w:space="0" w:color="auto"/>
            </w:tcBorders>
            <w:shd w:val="clear" w:color="auto" w:fill="C6EFCE"/>
            <w:noWrap/>
            <w:hideMark/>
          </w:tcPr>
          <w:p w14:paraId="3D0090E8"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Процентно намаление в сравнение с 2019 г. (%)</w:t>
            </w:r>
          </w:p>
        </w:tc>
        <w:tc>
          <w:tcPr>
            <w:tcW w:w="993" w:type="dxa"/>
            <w:tcBorders>
              <w:top w:val="nil"/>
              <w:left w:val="nil"/>
              <w:bottom w:val="single" w:sz="4" w:space="0" w:color="auto"/>
              <w:right w:val="single" w:sz="4" w:space="0" w:color="auto"/>
            </w:tcBorders>
            <w:shd w:val="clear" w:color="auto" w:fill="C6EFCE"/>
            <w:noWrap/>
            <w:hideMark/>
          </w:tcPr>
          <w:p w14:paraId="59C3DFA8"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0</w:t>
            </w:r>
          </w:p>
        </w:tc>
        <w:tc>
          <w:tcPr>
            <w:tcW w:w="992" w:type="dxa"/>
            <w:tcBorders>
              <w:top w:val="nil"/>
              <w:left w:val="nil"/>
              <w:bottom w:val="single" w:sz="4" w:space="0" w:color="auto"/>
              <w:right w:val="single" w:sz="4" w:space="0" w:color="auto"/>
            </w:tcBorders>
            <w:shd w:val="clear" w:color="auto" w:fill="C6EFCE"/>
            <w:noWrap/>
            <w:hideMark/>
          </w:tcPr>
          <w:p w14:paraId="4A6825E5"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30</w:t>
            </w:r>
          </w:p>
        </w:tc>
        <w:tc>
          <w:tcPr>
            <w:tcW w:w="850" w:type="dxa"/>
            <w:tcBorders>
              <w:top w:val="nil"/>
              <w:left w:val="nil"/>
              <w:bottom w:val="single" w:sz="4" w:space="0" w:color="auto"/>
              <w:right w:val="single" w:sz="4" w:space="0" w:color="auto"/>
            </w:tcBorders>
            <w:shd w:val="clear" w:color="auto" w:fill="C6EFCE"/>
            <w:noWrap/>
            <w:hideMark/>
          </w:tcPr>
          <w:p w14:paraId="18829152"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T1</w:t>
            </w:r>
          </w:p>
        </w:tc>
        <w:tc>
          <w:tcPr>
            <w:tcW w:w="709" w:type="dxa"/>
            <w:tcBorders>
              <w:top w:val="nil"/>
              <w:left w:val="nil"/>
              <w:bottom w:val="single" w:sz="4" w:space="0" w:color="auto"/>
              <w:right w:val="single" w:sz="4" w:space="0" w:color="auto"/>
            </w:tcBorders>
            <w:shd w:val="clear" w:color="auto" w:fill="C6EFCE"/>
            <w:noWrap/>
            <w:hideMark/>
          </w:tcPr>
          <w:p w14:paraId="640DA312"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2026</w:t>
            </w:r>
          </w:p>
        </w:tc>
        <w:tc>
          <w:tcPr>
            <w:tcW w:w="4540" w:type="dxa"/>
            <w:tcBorders>
              <w:top w:val="nil"/>
              <w:left w:val="nil"/>
              <w:bottom w:val="single" w:sz="4" w:space="0" w:color="auto"/>
              <w:right w:val="single" w:sz="4" w:space="0" w:color="auto"/>
            </w:tcBorders>
            <w:shd w:val="clear" w:color="auto" w:fill="C6EFCE"/>
            <w:noWrap/>
            <w:hideMark/>
          </w:tcPr>
          <w:p w14:paraId="7A35D0C9" w14:textId="77777777" w:rsidR="00736704" w:rsidRPr="00225351" w:rsidRDefault="00736704" w:rsidP="00693327">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Трябва да се намали годишният брой на смъртните случаи и тежките наранявания вследствие на пътнотранспортни произшествия между 2019 г. (базови данни) и 2025 г.</w:t>
            </w:r>
          </w:p>
          <w:p w14:paraId="7D97BAC2" w14:textId="77777777" w:rsidR="00736704" w:rsidRPr="008A0F8A" w:rsidRDefault="00736704" w:rsidP="00693327">
            <w:pPr>
              <w:spacing w:after="0" w:line="240" w:lineRule="auto"/>
              <w:jc w:val="both"/>
              <w:rPr>
                <w:rFonts w:ascii="Times New Roman" w:eastAsia="Times New Roman" w:hAnsi="Times New Roman" w:cs="Times New Roman"/>
                <w:noProof/>
                <w:color w:val="006100"/>
                <w:sz w:val="20"/>
                <w:szCs w:val="20"/>
                <w:lang w:val="ru-RU" w:eastAsia="en-GB"/>
              </w:rPr>
            </w:pPr>
          </w:p>
          <w:p w14:paraId="40E49B8A" w14:textId="77777777" w:rsidR="00736704" w:rsidRPr="00225351" w:rsidRDefault="00736704" w:rsidP="00693327">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Данните се отчитат в обобщен вид от Държавна агенция „Безопасност на движението по пътищата“.</w:t>
            </w:r>
          </w:p>
        </w:tc>
      </w:tr>
      <w:tr w:rsidR="00225351" w:rsidRPr="005241FC" w14:paraId="224BE200" w14:textId="77777777" w:rsidTr="00A80AF7">
        <w:trPr>
          <w:jc w:val="center"/>
        </w:trPr>
        <w:tc>
          <w:tcPr>
            <w:tcW w:w="689" w:type="dxa"/>
            <w:tcBorders>
              <w:top w:val="nil"/>
              <w:left w:val="single" w:sz="4" w:space="0" w:color="auto"/>
              <w:bottom w:val="single" w:sz="4" w:space="0" w:color="auto"/>
              <w:right w:val="single" w:sz="4" w:space="0" w:color="auto"/>
            </w:tcBorders>
            <w:shd w:val="clear" w:color="auto" w:fill="C6EFCE"/>
            <w:noWrap/>
          </w:tcPr>
          <w:p w14:paraId="4D34B8B3" w14:textId="6202F661" w:rsidR="00736704" w:rsidRPr="00225351" w:rsidRDefault="00EF6843" w:rsidP="00693327">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173</w:t>
            </w:r>
          </w:p>
        </w:tc>
        <w:tc>
          <w:tcPr>
            <w:tcW w:w="1275" w:type="dxa"/>
            <w:tcBorders>
              <w:top w:val="nil"/>
              <w:left w:val="nil"/>
              <w:bottom w:val="single" w:sz="4" w:space="0" w:color="auto"/>
              <w:right w:val="single" w:sz="4" w:space="0" w:color="auto"/>
            </w:tcBorders>
            <w:shd w:val="clear" w:color="auto" w:fill="C6EFCE"/>
            <w:noWrap/>
          </w:tcPr>
          <w:p w14:paraId="7A9E9426" w14:textId="59EE039C" w:rsidR="00736704" w:rsidRPr="00225351" w:rsidRDefault="00152560" w:rsidP="0015256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К8.Р3: Устойчива градска мобилност </w:t>
            </w:r>
          </w:p>
        </w:tc>
        <w:tc>
          <w:tcPr>
            <w:tcW w:w="1150" w:type="dxa"/>
            <w:tcBorders>
              <w:top w:val="nil"/>
              <w:left w:val="nil"/>
              <w:bottom w:val="single" w:sz="4" w:space="0" w:color="auto"/>
              <w:right w:val="single" w:sz="4" w:space="0" w:color="auto"/>
            </w:tcBorders>
            <w:shd w:val="clear" w:color="auto" w:fill="C6EFCE"/>
            <w:noWrap/>
          </w:tcPr>
          <w:p w14:paraId="30A66FF0"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417" w:type="dxa"/>
            <w:tcBorders>
              <w:top w:val="nil"/>
              <w:left w:val="nil"/>
              <w:bottom w:val="single" w:sz="4" w:space="0" w:color="auto"/>
              <w:right w:val="single" w:sz="4" w:space="0" w:color="auto"/>
            </w:tcBorders>
            <w:shd w:val="clear" w:color="auto" w:fill="C6EFCE"/>
            <w:noWrap/>
          </w:tcPr>
          <w:p w14:paraId="7C212705"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Интегриране на устойчивата градска мобилност в териториалните стратегии и планирането на развитието</w:t>
            </w:r>
          </w:p>
          <w:p w14:paraId="1EE2ED0B" w14:textId="77777777" w:rsidR="00736704" w:rsidRPr="008A0F8A" w:rsidRDefault="00736704" w:rsidP="00693327">
            <w:pPr>
              <w:spacing w:after="0" w:line="240" w:lineRule="auto"/>
              <w:rPr>
                <w:rFonts w:ascii="Times New Roman" w:eastAsia="Times New Roman" w:hAnsi="Times New Roman" w:cs="Times New Roman"/>
                <w:noProof/>
                <w:color w:val="006100"/>
                <w:sz w:val="20"/>
                <w:szCs w:val="20"/>
                <w:lang w:val="ru-RU"/>
              </w:rPr>
            </w:pPr>
          </w:p>
          <w:p w14:paraId="02AC8D26" w14:textId="77777777" w:rsidR="00736704" w:rsidRPr="008A0F8A" w:rsidRDefault="00736704" w:rsidP="00693327">
            <w:pPr>
              <w:spacing w:after="0" w:line="240" w:lineRule="auto"/>
              <w:rPr>
                <w:rFonts w:ascii="Times New Roman" w:eastAsia="Times New Roman" w:hAnsi="Times New Roman" w:cs="Times New Roman"/>
                <w:noProof/>
                <w:color w:val="006100"/>
                <w:sz w:val="20"/>
                <w:szCs w:val="20"/>
                <w:lang w:val="ru-RU"/>
              </w:rPr>
            </w:pPr>
          </w:p>
        </w:tc>
        <w:tc>
          <w:tcPr>
            <w:tcW w:w="1418" w:type="dxa"/>
            <w:tcBorders>
              <w:top w:val="nil"/>
              <w:left w:val="nil"/>
              <w:bottom w:val="single" w:sz="4" w:space="0" w:color="auto"/>
              <w:right w:val="single" w:sz="4" w:space="0" w:color="auto"/>
            </w:tcBorders>
            <w:shd w:val="clear" w:color="auto" w:fill="C6EFCE"/>
            <w:noWrap/>
          </w:tcPr>
          <w:p w14:paraId="30AFAF97" w14:textId="075B3994"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Влизане в сила на Интегрираните териториални стратегии и Плановете за интегрирано развитие на общините </w:t>
            </w:r>
          </w:p>
        </w:tc>
        <w:tc>
          <w:tcPr>
            <w:tcW w:w="1417" w:type="dxa"/>
            <w:tcBorders>
              <w:top w:val="nil"/>
              <w:left w:val="nil"/>
              <w:bottom w:val="single" w:sz="4" w:space="0" w:color="auto"/>
              <w:right w:val="single" w:sz="4" w:space="0" w:color="auto"/>
            </w:tcBorders>
            <w:shd w:val="clear" w:color="auto" w:fill="C6EFCE"/>
            <w:noWrap/>
          </w:tcPr>
          <w:p w14:paraId="5EF003F4"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993" w:type="dxa"/>
            <w:tcBorders>
              <w:top w:val="nil"/>
              <w:left w:val="nil"/>
              <w:bottom w:val="single" w:sz="4" w:space="0" w:color="auto"/>
              <w:right w:val="single" w:sz="4" w:space="0" w:color="auto"/>
            </w:tcBorders>
            <w:shd w:val="clear" w:color="auto" w:fill="C6EFCE"/>
            <w:noWrap/>
          </w:tcPr>
          <w:p w14:paraId="38D49F27"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992" w:type="dxa"/>
            <w:tcBorders>
              <w:top w:val="nil"/>
              <w:left w:val="nil"/>
              <w:bottom w:val="single" w:sz="4" w:space="0" w:color="auto"/>
              <w:right w:val="single" w:sz="4" w:space="0" w:color="auto"/>
            </w:tcBorders>
            <w:shd w:val="clear" w:color="auto" w:fill="C6EFCE"/>
            <w:noWrap/>
          </w:tcPr>
          <w:p w14:paraId="4FEA6A24"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850" w:type="dxa"/>
            <w:tcBorders>
              <w:top w:val="nil"/>
              <w:left w:val="nil"/>
              <w:bottom w:val="single" w:sz="4" w:space="0" w:color="auto"/>
              <w:right w:val="single" w:sz="4" w:space="0" w:color="auto"/>
            </w:tcBorders>
            <w:shd w:val="clear" w:color="auto" w:fill="C6EFCE"/>
            <w:noWrap/>
          </w:tcPr>
          <w:p w14:paraId="6EF6D226"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T3</w:t>
            </w:r>
          </w:p>
        </w:tc>
        <w:tc>
          <w:tcPr>
            <w:tcW w:w="709" w:type="dxa"/>
            <w:tcBorders>
              <w:top w:val="nil"/>
              <w:left w:val="nil"/>
              <w:bottom w:val="single" w:sz="4" w:space="0" w:color="auto"/>
              <w:right w:val="single" w:sz="4" w:space="0" w:color="auto"/>
            </w:tcBorders>
            <w:shd w:val="clear" w:color="auto" w:fill="C6EFCE"/>
            <w:noWrap/>
          </w:tcPr>
          <w:p w14:paraId="0DE8EB4D"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2022</w:t>
            </w:r>
          </w:p>
        </w:tc>
        <w:tc>
          <w:tcPr>
            <w:tcW w:w="4540" w:type="dxa"/>
            <w:tcBorders>
              <w:top w:val="nil"/>
              <w:left w:val="nil"/>
              <w:bottom w:val="single" w:sz="4" w:space="0" w:color="auto"/>
              <w:right w:val="single" w:sz="4" w:space="0" w:color="auto"/>
            </w:tcBorders>
            <w:shd w:val="clear" w:color="auto" w:fill="C6EFCE"/>
            <w:noWrap/>
          </w:tcPr>
          <w:p w14:paraId="3B97A73D" w14:textId="77777777" w:rsidR="00736704" w:rsidRPr="00225351" w:rsidRDefault="00736704" w:rsidP="00693327">
            <w:pPr>
              <w:spacing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Ключовият етап се отнася за подготовката и влизането в сила на:</w:t>
            </w:r>
          </w:p>
          <w:p w14:paraId="43F7A6D4" w14:textId="77777777" w:rsidR="00736704" w:rsidRPr="00225351" w:rsidRDefault="00736704" w:rsidP="00225351">
            <w:pPr>
              <w:pStyle w:val="ListParagraph"/>
              <w:numPr>
                <w:ilvl w:val="0"/>
                <w:numId w:val="35"/>
              </w:numPr>
              <w:spacing w:line="240" w:lineRule="auto"/>
              <w:ind w:left="360"/>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Интегрирани териториални стратегии за развитие на регионите за планиране от ниво NUTS 2 (Номенклатура на териториалните единици за статистически цели) с включени елементи за устойчива градска мобилност </w:t>
            </w:r>
          </w:p>
          <w:p w14:paraId="0EC7DA6D" w14:textId="77777777" w:rsidR="00736704" w:rsidRPr="00225351" w:rsidRDefault="00736704" w:rsidP="00225351">
            <w:pPr>
              <w:pStyle w:val="ListParagraph"/>
              <w:numPr>
                <w:ilvl w:val="0"/>
                <w:numId w:val="35"/>
              </w:numPr>
              <w:spacing w:line="240" w:lineRule="auto"/>
              <w:ind w:left="360"/>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Планове за интегрирано развитие на общините с включени в тях планове за устойчива градска мобилност.</w:t>
            </w:r>
          </w:p>
          <w:p w14:paraId="24133F0C" w14:textId="77777777" w:rsidR="00736704" w:rsidRPr="00225351" w:rsidRDefault="00736704" w:rsidP="00693327">
            <w:pPr>
              <w:spacing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Интегрираните териториални стратегии за регионите за планиране от ниво NUTS 2 трябва да определят целите и приоритетите за развитие за всеки от шестте региона за планиране, както и необходимите за тяхното изпълнение мерки. Интегрираните териториални стратегии трябва да включват елементи за планиране на устойчивата градска мобилност на регионално ниво. </w:t>
            </w:r>
          </w:p>
          <w:p w14:paraId="116672B9" w14:textId="77777777" w:rsidR="00736704" w:rsidRPr="00225351" w:rsidRDefault="00736704" w:rsidP="00693327">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Плановете за устойчива градска мобилност на общините трябва да са част от Плановете за интегрирано развитие на общините.</w:t>
            </w:r>
            <w:r>
              <w:rPr>
                <w:rFonts w:ascii="Times New Roman" w:hAnsi="Times New Roman"/>
                <w:noProof/>
                <w:sz w:val="20"/>
              </w:rPr>
              <w:br/>
            </w:r>
          </w:p>
        </w:tc>
      </w:tr>
      <w:tr w:rsidR="00225351" w:rsidRPr="00225351" w14:paraId="4CED38A4" w14:textId="77777777" w:rsidTr="00A80AF7">
        <w:trPr>
          <w:jc w:val="center"/>
        </w:trPr>
        <w:tc>
          <w:tcPr>
            <w:tcW w:w="689" w:type="dxa"/>
            <w:tcBorders>
              <w:top w:val="nil"/>
              <w:left w:val="single" w:sz="4" w:space="0" w:color="auto"/>
              <w:bottom w:val="single" w:sz="4" w:space="0" w:color="auto"/>
              <w:right w:val="single" w:sz="4" w:space="0" w:color="auto"/>
            </w:tcBorders>
            <w:shd w:val="clear" w:color="auto" w:fill="C6EFCE"/>
            <w:noWrap/>
          </w:tcPr>
          <w:p w14:paraId="5429D5B8" w14:textId="7D6F75E8" w:rsidR="00736704" w:rsidRPr="00225351" w:rsidRDefault="00EF6843" w:rsidP="00693327">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174</w:t>
            </w:r>
          </w:p>
        </w:tc>
        <w:tc>
          <w:tcPr>
            <w:tcW w:w="1275" w:type="dxa"/>
            <w:tcBorders>
              <w:top w:val="nil"/>
              <w:left w:val="nil"/>
              <w:bottom w:val="single" w:sz="4" w:space="0" w:color="auto"/>
              <w:right w:val="single" w:sz="4" w:space="0" w:color="auto"/>
            </w:tcBorders>
            <w:shd w:val="clear" w:color="auto" w:fill="C6EFCE"/>
            <w:noWrap/>
          </w:tcPr>
          <w:p w14:paraId="63F8C4C4" w14:textId="5A1AF37B" w:rsidR="00736704" w:rsidRPr="00225351" w:rsidRDefault="00152560" w:rsidP="0015256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К8.Р3: Устойчива градска мобилност</w:t>
            </w:r>
          </w:p>
        </w:tc>
        <w:tc>
          <w:tcPr>
            <w:tcW w:w="1150" w:type="dxa"/>
            <w:tcBorders>
              <w:top w:val="nil"/>
              <w:left w:val="nil"/>
              <w:bottom w:val="single" w:sz="4" w:space="0" w:color="auto"/>
              <w:right w:val="single" w:sz="4" w:space="0" w:color="auto"/>
            </w:tcBorders>
            <w:shd w:val="clear" w:color="auto" w:fill="C6EFCE"/>
            <w:noWrap/>
          </w:tcPr>
          <w:p w14:paraId="59A173A2"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417" w:type="dxa"/>
            <w:tcBorders>
              <w:top w:val="nil"/>
              <w:left w:val="nil"/>
              <w:bottom w:val="single" w:sz="4" w:space="0" w:color="auto"/>
              <w:right w:val="single" w:sz="4" w:space="0" w:color="auto"/>
            </w:tcBorders>
            <w:shd w:val="clear" w:color="auto" w:fill="C6EFCE"/>
            <w:noWrap/>
          </w:tcPr>
          <w:p w14:paraId="21DE054A"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Оценка на изпълнението на плановете за устойчива градска мобилност</w:t>
            </w:r>
          </w:p>
        </w:tc>
        <w:tc>
          <w:tcPr>
            <w:tcW w:w="1418" w:type="dxa"/>
            <w:tcBorders>
              <w:top w:val="nil"/>
              <w:left w:val="nil"/>
              <w:bottom w:val="single" w:sz="4" w:space="0" w:color="auto"/>
              <w:right w:val="single" w:sz="4" w:space="0" w:color="auto"/>
            </w:tcBorders>
            <w:shd w:val="clear" w:color="auto" w:fill="C6EFCE"/>
            <w:noWrap/>
          </w:tcPr>
          <w:p w14:paraId="5D7DAFE3"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Публикуване на междинна оценка </w:t>
            </w:r>
          </w:p>
        </w:tc>
        <w:tc>
          <w:tcPr>
            <w:tcW w:w="1417" w:type="dxa"/>
            <w:tcBorders>
              <w:top w:val="nil"/>
              <w:left w:val="nil"/>
              <w:bottom w:val="single" w:sz="4" w:space="0" w:color="auto"/>
              <w:right w:val="single" w:sz="4" w:space="0" w:color="auto"/>
            </w:tcBorders>
            <w:shd w:val="clear" w:color="auto" w:fill="C6EFCE"/>
            <w:noWrap/>
          </w:tcPr>
          <w:p w14:paraId="39D186A9"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993" w:type="dxa"/>
            <w:tcBorders>
              <w:top w:val="nil"/>
              <w:left w:val="nil"/>
              <w:bottom w:val="single" w:sz="4" w:space="0" w:color="auto"/>
              <w:right w:val="single" w:sz="4" w:space="0" w:color="auto"/>
            </w:tcBorders>
            <w:shd w:val="clear" w:color="auto" w:fill="C6EFCE"/>
            <w:noWrap/>
          </w:tcPr>
          <w:p w14:paraId="3627CA27"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992" w:type="dxa"/>
            <w:tcBorders>
              <w:top w:val="nil"/>
              <w:left w:val="nil"/>
              <w:bottom w:val="single" w:sz="4" w:space="0" w:color="auto"/>
              <w:right w:val="single" w:sz="4" w:space="0" w:color="auto"/>
            </w:tcBorders>
            <w:shd w:val="clear" w:color="auto" w:fill="C6EFCE"/>
            <w:noWrap/>
          </w:tcPr>
          <w:p w14:paraId="2F82FBF5"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850" w:type="dxa"/>
            <w:tcBorders>
              <w:top w:val="nil"/>
              <w:left w:val="nil"/>
              <w:bottom w:val="single" w:sz="4" w:space="0" w:color="auto"/>
              <w:right w:val="single" w:sz="4" w:space="0" w:color="auto"/>
            </w:tcBorders>
            <w:shd w:val="clear" w:color="auto" w:fill="C6EFCE"/>
            <w:noWrap/>
          </w:tcPr>
          <w:p w14:paraId="4F08ABE9"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T2</w:t>
            </w:r>
          </w:p>
        </w:tc>
        <w:tc>
          <w:tcPr>
            <w:tcW w:w="709" w:type="dxa"/>
            <w:tcBorders>
              <w:top w:val="nil"/>
              <w:left w:val="nil"/>
              <w:bottom w:val="single" w:sz="4" w:space="0" w:color="auto"/>
              <w:right w:val="single" w:sz="4" w:space="0" w:color="auto"/>
            </w:tcBorders>
            <w:shd w:val="clear" w:color="auto" w:fill="C6EFCE"/>
            <w:noWrap/>
          </w:tcPr>
          <w:p w14:paraId="1AB7F58B"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2025</w:t>
            </w:r>
          </w:p>
        </w:tc>
        <w:tc>
          <w:tcPr>
            <w:tcW w:w="4540" w:type="dxa"/>
            <w:tcBorders>
              <w:top w:val="nil"/>
              <w:left w:val="nil"/>
              <w:bottom w:val="single" w:sz="4" w:space="0" w:color="auto"/>
              <w:right w:val="single" w:sz="4" w:space="0" w:color="auto"/>
            </w:tcBorders>
            <w:shd w:val="clear" w:color="auto" w:fill="C6EFCE"/>
            <w:noWrap/>
          </w:tcPr>
          <w:p w14:paraId="1E539E8E" w14:textId="12FC3CB6" w:rsidR="00736704" w:rsidRPr="00225351" w:rsidRDefault="00736704" w:rsidP="00693327">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Компетентният орган трябва да оцени изпълнението на посочените в ключов етап 173 планове за устойчива градска мобилност. </w:t>
            </w:r>
          </w:p>
          <w:p w14:paraId="08F664E3" w14:textId="77777777" w:rsidR="00736704" w:rsidRPr="00225351" w:rsidRDefault="00736704" w:rsidP="00693327">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С оценката трябва да се прецени степента на изпълнение и постигане на цените на Плановете за интегрирано развитие на общините и включените в тях планове за устойчива градска мобилност.</w:t>
            </w:r>
          </w:p>
          <w:p w14:paraId="6F890DE3" w14:textId="77777777" w:rsidR="00736704" w:rsidRPr="008A0F8A" w:rsidRDefault="00736704" w:rsidP="00693327">
            <w:pPr>
              <w:spacing w:after="0" w:line="240" w:lineRule="auto"/>
              <w:jc w:val="both"/>
              <w:rPr>
                <w:rFonts w:ascii="Times New Roman" w:eastAsia="Times New Roman" w:hAnsi="Times New Roman" w:cs="Times New Roman"/>
                <w:noProof/>
                <w:color w:val="006100"/>
                <w:sz w:val="20"/>
                <w:szCs w:val="20"/>
                <w:lang w:val="ru-RU"/>
              </w:rPr>
            </w:pPr>
          </w:p>
          <w:p w14:paraId="77E6AADB" w14:textId="77777777" w:rsidR="00736704" w:rsidRPr="00225351" w:rsidRDefault="00736704" w:rsidP="00693327">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Изпълнението на плановете за устойчива градска мобилност трябва да бъде част от междинната оценка на Плановете за интегрирано развитие на градските общини, в която да се съдържат данни за това колко общини изпълняват плановете за устойчива градска мобилност. </w:t>
            </w:r>
          </w:p>
          <w:p w14:paraId="67359B40" w14:textId="77777777" w:rsidR="00736704" w:rsidRPr="008A0F8A" w:rsidRDefault="00736704" w:rsidP="00693327">
            <w:pPr>
              <w:spacing w:after="0" w:line="240" w:lineRule="auto"/>
              <w:jc w:val="both"/>
              <w:rPr>
                <w:rFonts w:ascii="Times New Roman" w:eastAsia="Times New Roman" w:hAnsi="Times New Roman" w:cs="Times New Roman"/>
                <w:noProof/>
                <w:color w:val="006100"/>
                <w:sz w:val="20"/>
                <w:szCs w:val="20"/>
                <w:lang w:val="ru-RU"/>
              </w:rPr>
            </w:pPr>
          </w:p>
          <w:p w14:paraId="0E91E4A8" w14:textId="77777777" w:rsidR="00736704" w:rsidRPr="00225351" w:rsidRDefault="00736704" w:rsidP="00693327">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Междинната оценка на Плановете за интегрирано развитие на общините трябва да включва:</w:t>
            </w:r>
          </w:p>
          <w:p w14:paraId="0DFDC4EB" w14:textId="77777777" w:rsidR="00736704" w:rsidRPr="00225351" w:rsidRDefault="00736704" w:rsidP="00693327">
            <w:pPr>
              <w:pStyle w:val="ListParagraph"/>
              <w:numPr>
                <w:ilvl w:val="0"/>
                <w:numId w:val="74"/>
              </w:num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оценка на първоначалните резултати от изпълнението;</w:t>
            </w:r>
          </w:p>
          <w:p w14:paraId="5B783493" w14:textId="77777777" w:rsidR="00736704" w:rsidRPr="00225351" w:rsidRDefault="00736704" w:rsidP="00693327">
            <w:pPr>
              <w:pStyle w:val="ListParagraph"/>
              <w:numPr>
                <w:ilvl w:val="0"/>
                <w:numId w:val="73"/>
              </w:num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оценка на степента, в която са постигнати съответните цели;</w:t>
            </w:r>
          </w:p>
          <w:p w14:paraId="2D85D700" w14:textId="77777777" w:rsidR="00736704" w:rsidRPr="00225351" w:rsidRDefault="00736704" w:rsidP="00693327">
            <w:pPr>
              <w:pStyle w:val="ListParagraph"/>
              <w:numPr>
                <w:ilvl w:val="0"/>
                <w:numId w:val="73"/>
              </w:num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оценка на ефективността и ефикасността на използваните ресурси;</w:t>
            </w:r>
          </w:p>
          <w:p w14:paraId="0295EE8D" w14:textId="77777777" w:rsidR="00736704" w:rsidRPr="00225351" w:rsidRDefault="00736704" w:rsidP="00693327">
            <w:pPr>
              <w:pStyle w:val="ListParagraph"/>
              <w:numPr>
                <w:ilvl w:val="0"/>
                <w:numId w:val="73"/>
              </w:num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извлечени поуки и препоръки.</w:t>
            </w:r>
          </w:p>
        </w:tc>
      </w:tr>
      <w:tr w:rsidR="00225351" w:rsidRPr="005241FC" w14:paraId="598CA072" w14:textId="77777777" w:rsidTr="00A80AF7">
        <w:trPr>
          <w:jc w:val="center"/>
        </w:trPr>
        <w:tc>
          <w:tcPr>
            <w:tcW w:w="689" w:type="dxa"/>
            <w:tcBorders>
              <w:top w:val="nil"/>
              <w:left w:val="single" w:sz="4" w:space="0" w:color="auto"/>
              <w:bottom w:val="single" w:sz="4" w:space="0" w:color="auto"/>
              <w:right w:val="single" w:sz="4" w:space="0" w:color="auto"/>
            </w:tcBorders>
            <w:shd w:val="clear" w:color="auto" w:fill="C6EFCE"/>
            <w:noWrap/>
            <w:hideMark/>
          </w:tcPr>
          <w:p w14:paraId="43A2C5DF" w14:textId="3CB0A0EC" w:rsidR="00736704" w:rsidRPr="00225351" w:rsidRDefault="00EF6843" w:rsidP="00693327">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175</w:t>
            </w:r>
          </w:p>
        </w:tc>
        <w:tc>
          <w:tcPr>
            <w:tcW w:w="1275" w:type="dxa"/>
            <w:tcBorders>
              <w:top w:val="nil"/>
              <w:left w:val="nil"/>
              <w:bottom w:val="single" w:sz="4" w:space="0" w:color="auto"/>
              <w:right w:val="single" w:sz="4" w:space="0" w:color="auto"/>
            </w:tcBorders>
            <w:shd w:val="clear" w:color="auto" w:fill="C6EFCE"/>
            <w:noWrap/>
            <w:hideMark/>
          </w:tcPr>
          <w:p w14:paraId="568DC1C5" w14:textId="31C05A53" w:rsidR="00736704" w:rsidRPr="00225351" w:rsidRDefault="00152560" w:rsidP="0015256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К8.Р4: Интегриран обществен транспорт</w:t>
            </w:r>
          </w:p>
        </w:tc>
        <w:tc>
          <w:tcPr>
            <w:tcW w:w="1150" w:type="dxa"/>
            <w:tcBorders>
              <w:top w:val="nil"/>
              <w:left w:val="nil"/>
              <w:bottom w:val="single" w:sz="4" w:space="0" w:color="auto"/>
              <w:right w:val="single" w:sz="4" w:space="0" w:color="auto"/>
            </w:tcBorders>
            <w:shd w:val="clear" w:color="auto" w:fill="C6EFCE"/>
            <w:noWrap/>
            <w:hideMark/>
          </w:tcPr>
          <w:p w14:paraId="174F8087"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417" w:type="dxa"/>
            <w:tcBorders>
              <w:top w:val="nil"/>
              <w:left w:val="nil"/>
              <w:bottom w:val="single" w:sz="4" w:space="0" w:color="auto"/>
              <w:right w:val="single" w:sz="4" w:space="0" w:color="auto"/>
            </w:tcBorders>
            <w:shd w:val="clear" w:color="auto" w:fill="C6EFCE"/>
            <w:noWrap/>
            <w:hideMark/>
          </w:tcPr>
          <w:p w14:paraId="60028C57"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Анализ на системата за обществен транспорт и преглед на нейната нормативна уредба </w:t>
            </w:r>
          </w:p>
        </w:tc>
        <w:tc>
          <w:tcPr>
            <w:tcW w:w="1418" w:type="dxa"/>
            <w:tcBorders>
              <w:top w:val="nil"/>
              <w:left w:val="nil"/>
              <w:bottom w:val="single" w:sz="4" w:space="0" w:color="auto"/>
              <w:right w:val="single" w:sz="4" w:space="0" w:color="auto"/>
            </w:tcBorders>
            <w:shd w:val="clear" w:color="auto" w:fill="C6EFCE"/>
            <w:noWrap/>
            <w:hideMark/>
          </w:tcPr>
          <w:p w14:paraId="5CCEC284"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Публикуване на анализа от компетентния орган</w:t>
            </w:r>
          </w:p>
        </w:tc>
        <w:tc>
          <w:tcPr>
            <w:tcW w:w="1417" w:type="dxa"/>
            <w:tcBorders>
              <w:top w:val="nil"/>
              <w:left w:val="nil"/>
              <w:bottom w:val="single" w:sz="4" w:space="0" w:color="auto"/>
              <w:right w:val="single" w:sz="4" w:space="0" w:color="auto"/>
            </w:tcBorders>
            <w:shd w:val="clear" w:color="auto" w:fill="C6EFCE"/>
            <w:noWrap/>
          </w:tcPr>
          <w:p w14:paraId="030924CA" w14:textId="77777777" w:rsidR="00736704" w:rsidRPr="008A0F8A" w:rsidRDefault="00736704" w:rsidP="00693327">
            <w:pPr>
              <w:spacing w:after="0" w:line="240" w:lineRule="auto"/>
              <w:rPr>
                <w:rFonts w:ascii="Times New Roman" w:eastAsia="Times New Roman" w:hAnsi="Times New Roman" w:cs="Times New Roman"/>
                <w:noProof/>
                <w:color w:val="006100"/>
                <w:sz w:val="20"/>
                <w:szCs w:val="20"/>
                <w:lang w:val="ru-RU"/>
              </w:rPr>
            </w:pPr>
          </w:p>
        </w:tc>
        <w:tc>
          <w:tcPr>
            <w:tcW w:w="993" w:type="dxa"/>
            <w:tcBorders>
              <w:top w:val="nil"/>
              <w:left w:val="nil"/>
              <w:bottom w:val="single" w:sz="4" w:space="0" w:color="auto"/>
              <w:right w:val="single" w:sz="4" w:space="0" w:color="auto"/>
            </w:tcBorders>
            <w:shd w:val="clear" w:color="auto" w:fill="C6EFCE"/>
            <w:noWrap/>
          </w:tcPr>
          <w:p w14:paraId="10D4FCE7" w14:textId="77777777" w:rsidR="00736704" w:rsidRPr="008A0F8A" w:rsidRDefault="00736704" w:rsidP="00693327">
            <w:pPr>
              <w:spacing w:after="0" w:line="240" w:lineRule="auto"/>
              <w:rPr>
                <w:rFonts w:ascii="Times New Roman" w:eastAsia="Times New Roman" w:hAnsi="Times New Roman" w:cs="Times New Roman"/>
                <w:noProof/>
                <w:color w:val="006100"/>
                <w:sz w:val="20"/>
                <w:szCs w:val="20"/>
                <w:lang w:val="ru-RU"/>
              </w:rPr>
            </w:pPr>
          </w:p>
        </w:tc>
        <w:tc>
          <w:tcPr>
            <w:tcW w:w="992" w:type="dxa"/>
            <w:tcBorders>
              <w:top w:val="nil"/>
              <w:left w:val="nil"/>
              <w:bottom w:val="single" w:sz="4" w:space="0" w:color="auto"/>
              <w:right w:val="single" w:sz="4" w:space="0" w:color="auto"/>
            </w:tcBorders>
            <w:shd w:val="clear" w:color="auto" w:fill="C6EFCE"/>
            <w:noWrap/>
          </w:tcPr>
          <w:p w14:paraId="55F6E124" w14:textId="77777777" w:rsidR="00736704" w:rsidRPr="008A0F8A" w:rsidRDefault="00736704" w:rsidP="00693327">
            <w:pPr>
              <w:spacing w:after="0" w:line="240" w:lineRule="auto"/>
              <w:rPr>
                <w:rFonts w:ascii="Times New Roman" w:eastAsia="Times New Roman" w:hAnsi="Times New Roman" w:cs="Times New Roman"/>
                <w:noProof/>
                <w:color w:val="006100"/>
                <w:sz w:val="20"/>
                <w:szCs w:val="20"/>
                <w:lang w:val="ru-RU"/>
              </w:rPr>
            </w:pPr>
          </w:p>
        </w:tc>
        <w:tc>
          <w:tcPr>
            <w:tcW w:w="850" w:type="dxa"/>
            <w:tcBorders>
              <w:top w:val="nil"/>
              <w:left w:val="nil"/>
              <w:bottom w:val="single" w:sz="4" w:space="0" w:color="auto"/>
              <w:right w:val="single" w:sz="4" w:space="0" w:color="auto"/>
            </w:tcBorders>
            <w:shd w:val="clear" w:color="auto" w:fill="C6EFCE"/>
            <w:noWrap/>
            <w:hideMark/>
          </w:tcPr>
          <w:p w14:paraId="7B280DE6"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T1</w:t>
            </w:r>
          </w:p>
        </w:tc>
        <w:tc>
          <w:tcPr>
            <w:tcW w:w="709" w:type="dxa"/>
            <w:tcBorders>
              <w:top w:val="nil"/>
              <w:left w:val="nil"/>
              <w:bottom w:val="single" w:sz="4" w:space="0" w:color="auto"/>
              <w:right w:val="single" w:sz="4" w:space="0" w:color="auto"/>
            </w:tcBorders>
            <w:shd w:val="clear" w:color="auto" w:fill="C6EFCE"/>
            <w:noWrap/>
            <w:hideMark/>
          </w:tcPr>
          <w:p w14:paraId="4AAA1901"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2023</w:t>
            </w:r>
          </w:p>
        </w:tc>
        <w:tc>
          <w:tcPr>
            <w:tcW w:w="4540" w:type="dxa"/>
            <w:tcBorders>
              <w:top w:val="nil"/>
              <w:left w:val="nil"/>
              <w:bottom w:val="single" w:sz="4" w:space="0" w:color="auto"/>
              <w:right w:val="single" w:sz="4" w:space="0" w:color="auto"/>
            </w:tcBorders>
            <w:shd w:val="clear" w:color="auto" w:fill="C6EFCE"/>
            <w:noWrap/>
            <w:hideMark/>
          </w:tcPr>
          <w:p w14:paraId="7A8E1D4B" w14:textId="69CC64A2" w:rsidR="00736704" w:rsidRPr="00225351" w:rsidRDefault="00736704" w:rsidP="00693327">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Ключовият етап се отнася за анализ на системата за обществения транспорт в България, който да послужи за основа на предложението на правителството за посочения в ключов етап 176 нов Закон за обществения транспорт.</w:t>
            </w:r>
          </w:p>
          <w:p w14:paraId="3906AF99" w14:textId="77777777" w:rsidR="00736704" w:rsidRPr="008A0F8A" w:rsidRDefault="00736704" w:rsidP="00693327">
            <w:pPr>
              <w:spacing w:after="0" w:line="240" w:lineRule="auto"/>
              <w:jc w:val="both"/>
              <w:rPr>
                <w:rFonts w:ascii="Times New Roman" w:eastAsia="Times New Roman" w:hAnsi="Times New Roman" w:cs="Times New Roman"/>
                <w:noProof/>
                <w:color w:val="006100"/>
                <w:sz w:val="20"/>
                <w:szCs w:val="20"/>
                <w:lang w:val="ru-RU"/>
              </w:rPr>
            </w:pPr>
          </w:p>
          <w:p w14:paraId="508B430B" w14:textId="77777777" w:rsidR="00736704" w:rsidRPr="00225351" w:rsidRDefault="00736704" w:rsidP="00693327">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В анализа трябва да бъдат идентифицирани проблемите и слабостите в системата за обществен транспорт и да бъдат предложени подходящи нормативни решения, включително административни или законодателни промени, за да се гарантира подобряването на услугата за превоз. </w:t>
            </w:r>
          </w:p>
          <w:p w14:paraId="0997DB42" w14:textId="77777777" w:rsidR="00736704" w:rsidRPr="008A0F8A" w:rsidRDefault="00736704" w:rsidP="00693327">
            <w:pPr>
              <w:spacing w:after="0" w:line="240" w:lineRule="auto"/>
              <w:jc w:val="both"/>
              <w:rPr>
                <w:rFonts w:ascii="Times New Roman" w:eastAsia="Times New Roman" w:hAnsi="Times New Roman" w:cs="Times New Roman"/>
                <w:noProof/>
                <w:color w:val="006100"/>
                <w:sz w:val="20"/>
                <w:szCs w:val="20"/>
                <w:lang w:val="ru-RU"/>
              </w:rPr>
            </w:pPr>
          </w:p>
          <w:p w14:paraId="21C339C9" w14:textId="77777777" w:rsidR="00736704" w:rsidRPr="00225351" w:rsidRDefault="00736704" w:rsidP="00693327">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Той трябва да включва анализ на добрите практики от други държави — членки на ЕС, и да бъде изготвен след консултации със съответните представители на администрацията, бизнеса, НПО и организациите на гражданското общество, представляващи заинтересованите страни в областта на обществения пътнически транспорт.</w:t>
            </w:r>
          </w:p>
        </w:tc>
      </w:tr>
      <w:tr w:rsidR="00225351" w:rsidRPr="005241FC" w14:paraId="09B94134" w14:textId="77777777" w:rsidTr="00A80AF7">
        <w:trPr>
          <w:jc w:val="center"/>
        </w:trPr>
        <w:tc>
          <w:tcPr>
            <w:tcW w:w="689" w:type="dxa"/>
            <w:tcBorders>
              <w:top w:val="nil"/>
              <w:left w:val="single" w:sz="4" w:space="0" w:color="auto"/>
              <w:bottom w:val="single" w:sz="4" w:space="0" w:color="auto"/>
              <w:right w:val="single" w:sz="4" w:space="0" w:color="auto"/>
            </w:tcBorders>
            <w:shd w:val="clear" w:color="auto" w:fill="C6EFCE"/>
            <w:noWrap/>
            <w:hideMark/>
          </w:tcPr>
          <w:p w14:paraId="02F419BF" w14:textId="5124C961" w:rsidR="00736704" w:rsidRPr="00225351" w:rsidRDefault="00EF6843" w:rsidP="00693327">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176</w:t>
            </w:r>
          </w:p>
        </w:tc>
        <w:tc>
          <w:tcPr>
            <w:tcW w:w="1275" w:type="dxa"/>
            <w:tcBorders>
              <w:top w:val="nil"/>
              <w:left w:val="nil"/>
              <w:bottom w:val="single" w:sz="4" w:space="0" w:color="auto"/>
              <w:right w:val="single" w:sz="4" w:space="0" w:color="auto"/>
            </w:tcBorders>
            <w:shd w:val="clear" w:color="auto" w:fill="C6EFCE"/>
            <w:noWrap/>
            <w:hideMark/>
          </w:tcPr>
          <w:p w14:paraId="698C702D" w14:textId="2AF9591C" w:rsidR="00736704" w:rsidRPr="00225351" w:rsidRDefault="00152560"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К8.Р4: Интегриран обществен транспорт</w:t>
            </w:r>
          </w:p>
        </w:tc>
        <w:tc>
          <w:tcPr>
            <w:tcW w:w="1150" w:type="dxa"/>
            <w:tcBorders>
              <w:top w:val="nil"/>
              <w:left w:val="nil"/>
              <w:bottom w:val="single" w:sz="4" w:space="0" w:color="auto"/>
              <w:right w:val="single" w:sz="4" w:space="0" w:color="auto"/>
            </w:tcBorders>
            <w:shd w:val="clear" w:color="auto" w:fill="C6EFCE"/>
            <w:noWrap/>
            <w:hideMark/>
          </w:tcPr>
          <w:p w14:paraId="4BB86C9B"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417" w:type="dxa"/>
            <w:tcBorders>
              <w:top w:val="nil"/>
              <w:left w:val="nil"/>
              <w:bottom w:val="single" w:sz="4" w:space="0" w:color="auto"/>
              <w:right w:val="single" w:sz="4" w:space="0" w:color="auto"/>
            </w:tcBorders>
            <w:shd w:val="clear" w:color="auto" w:fill="C6EFCE"/>
            <w:noWrap/>
          </w:tcPr>
          <w:p w14:paraId="7D2B4342" w14:textId="77777777" w:rsidR="00736704" w:rsidRPr="00225351" w:rsidRDefault="00736704" w:rsidP="00693327">
            <w:pPr>
              <w:spacing w:after="0" w:line="240" w:lineRule="auto"/>
              <w:rPr>
                <w:rFonts w:ascii="Times New Roman" w:eastAsia="Times New Roman" w:hAnsi="Times New Roman" w:cs="Times New Roman"/>
                <w:strike/>
                <w:noProof/>
                <w:color w:val="006100"/>
                <w:sz w:val="20"/>
                <w:szCs w:val="20"/>
              </w:rPr>
            </w:pPr>
            <w:r>
              <w:rPr>
                <w:rFonts w:ascii="Times New Roman" w:hAnsi="Times New Roman"/>
                <w:noProof/>
                <w:color w:val="006100"/>
                <w:sz w:val="20"/>
              </w:rPr>
              <w:t>Нова нормативна уредба за обществения транспорт</w:t>
            </w:r>
          </w:p>
        </w:tc>
        <w:tc>
          <w:tcPr>
            <w:tcW w:w="1418" w:type="dxa"/>
            <w:tcBorders>
              <w:top w:val="nil"/>
              <w:left w:val="nil"/>
              <w:bottom w:val="single" w:sz="4" w:space="0" w:color="auto"/>
              <w:right w:val="single" w:sz="4" w:space="0" w:color="auto"/>
            </w:tcBorders>
            <w:shd w:val="clear" w:color="auto" w:fill="C6EFCE"/>
            <w:noWrap/>
          </w:tcPr>
          <w:p w14:paraId="7FC029B8" w14:textId="77777777" w:rsidR="00736704" w:rsidRPr="00225351" w:rsidRDefault="00736704" w:rsidP="00693327">
            <w:pPr>
              <w:spacing w:after="0" w:line="240" w:lineRule="auto"/>
              <w:rPr>
                <w:rFonts w:ascii="Times New Roman" w:eastAsia="Times New Roman" w:hAnsi="Times New Roman" w:cs="Times New Roman"/>
                <w:strike/>
                <w:noProof/>
                <w:color w:val="006100"/>
                <w:sz w:val="20"/>
                <w:szCs w:val="20"/>
              </w:rPr>
            </w:pPr>
            <w:r>
              <w:rPr>
                <w:rFonts w:ascii="Times New Roman" w:hAnsi="Times New Roman"/>
                <w:noProof/>
                <w:color w:val="006100"/>
                <w:sz w:val="20"/>
              </w:rPr>
              <w:t>Влизане в сила на новия Закон за обществения транспорт</w:t>
            </w:r>
          </w:p>
        </w:tc>
        <w:tc>
          <w:tcPr>
            <w:tcW w:w="1417" w:type="dxa"/>
            <w:tcBorders>
              <w:top w:val="nil"/>
              <w:left w:val="nil"/>
              <w:bottom w:val="single" w:sz="4" w:space="0" w:color="auto"/>
              <w:right w:val="single" w:sz="4" w:space="0" w:color="auto"/>
            </w:tcBorders>
            <w:shd w:val="clear" w:color="auto" w:fill="C6EFCE"/>
            <w:noWrap/>
            <w:hideMark/>
          </w:tcPr>
          <w:p w14:paraId="0A0D63AB"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993" w:type="dxa"/>
            <w:tcBorders>
              <w:top w:val="nil"/>
              <w:left w:val="nil"/>
              <w:bottom w:val="single" w:sz="4" w:space="0" w:color="auto"/>
              <w:right w:val="single" w:sz="4" w:space="0" w:color="auto"/>
            </w:tcBorders>
            <w:shd w:val="clear" w:color="auto" w:fill="C6EFCE"/>
            <w:noWrap/>
            <w:hideMark/>
          </w:tcPr>
          <w:p w14:paraId="3EB55948"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992" w:type="dxa"/>
            <w:tcBorders>
              <w:top w:val="nil"/>
              <w:left w:val="nil"/>
              <w:bottom w:val="single" w:sz="4" w:space="0" w:color="auto"/>
              <w:right w:val="single" w:sz="4" w:space="0" w:color="auto"/>
            </w:tcBorders>
            <w:shd w:val="clear" w:color="auto" w:fill="C6EFCE"/>
            <w:noWrap/>
            <w:hideMark/>
          </w:tcPr>
          <w:p w14:paraId="4E2F07E8"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850" w:type="dxa"/>
            <w:tcBorders>
              <w:top w:val="nil"/>
              <w:left w:val="nil"/>
              <w:bottom w:val="single" w:sz="4" w:space="0" w:color="auto"/>
              <w:right w:val="single" w:sz="4" w:space="0" w:color="auto"/>
            </w:tcBorders>
            <w:shd w:val="clear" w:color="auto" w:fill="C6EFCE"/>
            <w:noWrap/>
            <w:hideMark/>
          </w:tcPr>
          <w:p w14:paraId="7D4F2692"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T1</w:t>
            </w:r>
          </w:p>
        </w:tc>
        <w:tc>
          <w:tcPr>
            <w:tcW w:w="709" w:type="dxa"/>
            <w:tcBorders>
              <w:top w:val="nil"/>
              <w:left w:val="nil"/>
              <w:bottom w:val="single" w:sz="4" w:space="0" w:color="auto"/>
              <w:right w:val="single" w:sz="4" w:space="0" w:color="auto"/>
            </w:tcBorders>
            <w:shd w:val="clear" w:color="auto" w:fill="C6EFCE"/>
            <w:noWrap/>
            <w:hideMark/>
          </w:tcPr>
          <w:p w14:paraId="6087A054"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2024</w:t>
            </w:r>
          </w:p>
        </w:tc>
        <w:tc>
          <w:tcPr>
            <w:tcW w:w="4540" w:type="dxa"/>
            <w:tcBorders>
              <w:top w:val="nil"/>
              <w:left w:val="nil"/>
              <w:bottom w:val="single" w:sz="4" w:space="0" w:color="auto"/>
              <w:right w:val="single" w:sz="4" w:space="0" w:color="auto"/>
            </w:tcBorders>
            <w:shd w:val="clear" w:color="auto" w:fill="C6EFCE"/>
            <w:noWrap/>
          </w:tcPr>
          <w:p w14:paraId="4E1EA8EE" w14:textId="5EB1BBA0" w:rsidR="00736704" w:rsidRPr="00225351" w:rsidRDefault="00736704" w:rsidP="00693327">
            <w:pPr>
              <w:spacing w:after="0" w:line="240" w:lineRule="auto"/>
              <w:jc w:val="both"/>
              <w:rPr>
                <w:rFonts w:ascii="Times New Roman" w:eastAsia="Times New Roman" w:hAnsi="Times New Roman" w:cs="Times New Roman"/>
                <w:noProof/>
                <w:color w:val="FF0000"/>
                <w:sz w:val="20"/>
                <w:szCs w:val="20"/>
              </w:rPr>
            </w:pPr>
            <w:r>
              <w:rPr>
                <w:rFonts w:ascii="Times New Roman" w:hAnsi="Times New Roman"/>
                <w:noProof/>
                <w:color w:val="006100"/>
                <w:sz w:val="20"/>
              </w:rPr>
              <w:t>Трябва да влезе в сила новото законодателство, уреждащо възлагането, експлоатацията и управлението на обществения транспорт с цел интегрирането му в единна национална транспортна схема. В новия закон трябва да бъдат отчетени резултатите от посочения в ключов етап 175 анализ.</w:t>
            </w:r>
          </w:p>
          <w:p w14:paraId="09439A51" w14:textId="77777777" w:rsidR="00736704" w:rsidRPr="008A0F8A" w:rsidRDefault="00736704" w:rsidP="00693327">
            <w:pPr>
              <w:spacing w:after="0" w:line="240" w:lineRule="auto"/>
              <w:jc w:val="both"/>
              <w:rPr>
                <w:rFonts w:ascii="Times New Roman" w:hAnsi="Times New Roman" w:cs="Times New Roman"/>
                <w:noProof/>
                <w:color w:val="000000"/>
                <w:sz w:val="20"/>
                <w:szCs w:val="20"/>
                <w:lang w:val="ru-RU"/>
              </w:rPr>
            </w:pPr>
          </w:p>
          <w:p w14:paraId="0183BF77" w14:textId="77777777" w:rsidR="00736704" w:rsidRPr="00225351" w:rsidRDefault="00736704" w:rsidP="00693327">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Новата правна уредба трябва да гарантира еднакви условия на конкуренция за всички оператори за обществен транспорт и прозрачност при избора на обществени превозвачи от страна на публичните органи и да разшири възможностите за създаване на конкурентен транспортен пазар за обществени превозни услуги, като се подкрепя цифровизацията и се увеличава използването на обществения транспорт. </w:t>
            </w:r>
          </w:p>
          <w:p w14:paraId="3654E7E3" w14:textId="77777777" w:rsidR="00736704" w:rsidRPr="008A0F8A" w:rsidRDefault="00736704" w:rsidP="00693327">
            <w:pPr>
              <w:spacing w:after="0" w:line="240" w:lineRule="auto"/>
              <w:jc w:val="both"/>
              <w:rPr>
                <w:rFonts w:ascii="Times New Roman" w:eastAsia="Times New Roman" w:hAnsi="Times New Roman" w:cs="Times New Roman"/>
                <w:noProof/>
                <w:color w:val="006100"/>
                <w:sz w:val="20"/>
                <w:szCs w:val="20"/>
                <w:lang w:val="ru-RU"/>
              </w:rPr>
            </w:pPr>
          </w:p>
          <w:p w14:paraId="7250B705" w14:textId="77777777" w:rsidR="00736704" w:rsidRPr="00225351" w:rsidRDefault="00736704" w:rsidP="00693327">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Новото законодателство трябва да установи ясна нормативна уредба, даваща определение на обществения транспорт, правните субекти, които участват във въвеждането в експлоатация на подвижния състав и в извършването на транспорта, техните отговорности и задължения, включително принципите и правилата за тяхната работа, и процеса на въвеждане в експлоатация и координация при предоставянето на превозните услуги. </w:t>
            </w:r>
          </w:p>
          <w:p w14:paraId="1D8A3208" w14:textId="77777777" w:rsidR="00736704" w:rsidRPr="008A0F8A" w:rsidRDefault="00736704" w:rsidP="00693327">
            <w:pPr>
              <w:spacing w:after="0" w:line="240" w:lineRule="auto"/>
              <w:jc w:val="both"/>
              <w:rPr>
                <w:rFonts w:ascii="Times New Roman" w:hAnsi="Times New Roman" w:cs="Times New Roman"/>
                <w:noProof/>
                <w:color w:val="000000"/>
                <w:sz w:val="20"/>
                <w:szCs w:val="20"/>
                <w:lang w:val="ru-RU"/>
              </w:rPr>
            </w:pPr>
          </w:p>
          <w:p w14:paraId="59AE1015" w14:textId="77777777" w:rsidR="00736704" w:rsidRPr="00225351" w:rsidRDefault="00736704" w:rsidP="00693327">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В новото законодателство трябва да бъдат предвидени:</w:t>
            </w:r>
          </w:p>
          <w:p w14:paraId="05ABD1CB" w14:textId="77777777" w:rsidR="00736704" w:rsidRPr="00225351" w:rsidRDefault="00736704" w:rsidP="00225351">
            <w:pPr>
              <w:pStyle w:val="ListParagraph"/>
              <w:numPr>
                <w:ilvl w:val="0"/>
                <w:numId w:val="33"/>
              </w:numPr>
              <w:spacing w:after="0" w:line="240" w:lineRule="auto"/>
              <w:ind w:left="360"/>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количествените и качествените характеристики, свързани с извършването на обществената услуга за пътнически превоз на територията на държавата, обхващащи всички видове обществен транспорт;</w:t>
            </w:r>
          </w:p>
          <w:p w14:paraId="2B9C1C42" w14:textId="77777777" w:rsidR="00736704" w:rsidRPr="00225351" w:rsidRDefault="00736704" w:rsidP="00225351">
            <w:pPr>
              <w:pStyle w:val="ListParagraph"/>
              <w:numPr>
                <w:ilvl w:val="0"/>
                <w:numId w:val="33"/>
              </w:numPr>
              <w:spacing w:after="0" w:line="240" w:lineRule="auto"/>
              <w:ind w:left="360"/>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правата и отговорностите на възлагащите органи, операторите и пътниците;</w:t>
            </w:r>
          </w:p>
          <w:p w14:paraId="1EF4DCB5" w14:textId="4A6F5F1C" w:rsidR="00736704" w:rsidRPr="00225351" w:rsidRDefault="00736704" w:rsidP="00225351">
            <w:pPr>
              <w:pStyle w:val="ListParagraph"/>
              <w:numPr>
                <w:ilvl w:val="0"/>
                <w:numId w:val="33"/>
              </w:numPr>
              <w:spacing w:after="0" w:line="240" w:lineRule="auto"/>
              <w:ind w:left="360"/>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единни правила за обществения превоз на пътници като единна система с интегрирана национална транспортна схема, както и единен стандарт за качеството на превозната услуга;</w:t>
            </w:r>
            <w:r>
              <w:rPr>
                <w:rFonts w:ascii="Times New Roman" w:hAnsi="Times New Roman"/>
                <w:noProof/>
                <w:color w:val="385623"/>
                <w:sz w:val="20"/>
              </w:rPr>
              <w:t xml:space="preserve"> </w:t>
            </w:r>
          </w:p>
          <w:p w14:paraId="32C3BF3B" w14:textId="77777777" w:rsidR="00736704" w:rsidRPr="00225351" w:rsidRDefault="00736704" w:rsidP="00225351">
            <w:pPr>
              <w:pStyle w:val="ListParagraph"/>
              <w:numPr>
                <w:ilvl w:val="0"/>
                <w:numId w:val="33"/>
              </w:numPr>
              <w:spacing w:after="0" w:line="240" w:lineRule="auto"/>
              <w:ind w:left="360"/>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правната уредба за въвеждането, най-късно до първото тримесечие на 2026 г., на услуга за единен билет и единна интегрирана транспортна схема, обхващаща допълнителни линии, обслужвани от всички видове транспорт;</w:t>
            </w:r>
          </w:p>
          <w:p w14:paraId="1A8C0C1C" w14:textId="77777777" w:rsidR="00736704" w:rsidRPr="00225351" w:rsidRDefault="00736704" w:rsidP="00225351">
            <w:pPr>
              <w:pStyle w:val="ListParagraph"/>
              <w:numPr>
                <w:ilvl w:val="0"/>
                <w:numId w:val="33"/>
              </w:numPr>
              <w:spacing w:after="0" w:line="240" w:lineRule="auto"/>
              <w:ind w:left="360"/>
              <w:jc w:val="both"/>
              <w:rPr>
                <w:rFonts w:ascii="Times New Roman" w:eastAsia="Times New Roman" w:hAnsi="Times New Roman" w:cs="Times New Roman"/>
                <w:strike/>
                <w:noProof/>
                <w:color w:val="006100"/>
                <w:sz w:val="20"/>
                <w:szCs w:val="20"/>
              </w:rPr>
            </w:pPr>
            <w:r>
              <w:rPr>
                <w:rFonts w:ascii="Times New Roman" w:hAnsi="Times New Roman"/>
                <w:noProof/>
                <w:color w:val="006100"/>
                <w:sz w:val="20"/>
              </w:rPr>
              <w:t>система за финансиране на опазването и поддръжката на публичните инфраструктури, в която се отчитат разходите за околната среда.</w:t>
            </w:r>
          </w:p>
        </w:tc>
      </w:tr>
      <w:tr w:rsidR="00225351" w:rsidRPr="005241FC" w14:paraId="3507C926" w14:textId="77777777" w:rsidTr="00A80AF7">
        <w:trPr>
          <w:jc w:val="center"/>
        </w:trPr>
        <w:tc>
          <w:tcPr>
            <w:tcW w:w="689" w:type="dxa"/>
            <w:tcBorders>
              <w:top w:val="nil"/>
              <w:left w:val="single" w:sz="4" w:space="0" w:color="auto"/>
              <w:bottom w:val="single" w:sz="4" w:space="0" w:color="auto"/>
              <w:right w:val="single" w:sz="4" w:space="0" w:color="auto"/>
            </w:tcBorders>
            <w:shd w:val="clear" w:color="auto" w:fill="C6EFCE"/>
            <w:noWrap/>
          </w:tcPr>
          <w:p w14:paraId="23070FC1" w14:textId="491A94D0" w:rsidR="00736704" w:rsidRPr="00225351" w:rsidRDefault="00EF6843" w:rsidP="00693327">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177</w:t>
            </w:r>
          </w:p>
        </w:tc>
        <w:tc>
          <w:tcPr>
            <w:tcW w:w="1275" w:type="dxa"/>
            <w:tcBorders>
              <w:top w:val="nil"/>
              <w:left w:val="nil"/>
              <w:bottom w:val="single" w:sz="4" w:space="0" w:color="auto"/>
              <w:right w:val="single" w:sz="4" w:space="0" w:color="auto"/>
            </w:tcBorders>
            <w:shd w:val="clear" w:color="auto" w:fill="C6EFCE"/>
            <w:noWrap/>
          </w:tcPr>
          <w:p w14:paraId="60F42ADD" w14:textId="7A08B714" w:rsidR="00736704" w:rsidRPr="00225351" w:rsidRDefault="00152560"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К8.Р4: Интегриран обществен транспорт</w:t>
            </w:r>
          </w:p>
        </w:tc>
        <w:tc>
          <w:tcPr>
            <w:tcW w:w="1150" w:type="dxa"/>
            <w:tcBorders>
              <w:top w:val="nil"/>
              <w:left w:val="nil"/>
              <w:bottom w:val="single" w:sz="4" w:space="0" w:color="auto"/>
              <w:right w:val="single" w:sz="4" w:space="0" w:color="auto"/>
            </w:tcBorders>
            <w:shd w:val="clear" w:color="auto" w:fill="C6EFCE"/>
            <w:noWrap/>
          </w:tcPr>
          <w:p w14:paraId="121D52A1"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417" w:type="dxa"/>
            <w:tcBorders>
              <w:top w:val="nil"/>
              <w:left w:val="nil"/>
              <w:bottom w:val="single" w:sz="4" w:space="0" w:color="auto"/>
              <w:right w:val="single" w:sz="4" w:space="0" w:color="auto"/>
            </w:tcBorders>
            <w:shd w:val="clear" w:color="auto" w:fill="C6EFCE"/>
            <w:noWrap/>
          </w:tcPr>
          <w:p w14:paraId="09F7A503" w14:textId="519D9B4D"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Въвеждане на услугата за единен билет за обществения транспорт</w:t>
            </w:r>
          </w:p>
        </w:tc>
        <w:tc>
          <w:tcPr>
            <w:tcW w:w="1418" w:type="dxa"/>
            <w:tcBorders>
              <w:top w:val="nil"/>
              <w:left w:val="nil"/>
              <w:bottom w:val="single" w:sz="4" w:space="0" w:color="auto"/>
              <w:right w:val="single" w:sz="4" w:space="0" w:color="auto"/>
            </w:tcBorders>
            <w:shd w:val="clear" w:color="auto" w:fill="C6EFCE"/>
            <w:noWrap/>
          </w:tcPr>
          <w:p w14:paraId="7C82123E"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Въвеждане на пазара</w:t>
            </w:r>
          </w:p>
        </w:tc>
        <w:tc>
          <w:tcPr>
            <w:tcW w:w="1417" w:type="dxa"/>
            <w:tcBorders>
              <w:top w:val="nil"/>
              <w:left w:val="nil"/>
              <w:bottom w:val="single" w:sz="4" w:space="0" w:color="auto"/>
              <w:right w:val="single" w:sz="4" w:space="0" w:color="auto"/>
            </w:tcBorders>
            <w:shd w:val="clear" w:color="auto" w:fill="C6EFCE"/>
            <w:noWrap/>
          </w:tcPr>
          <w:p w14:paraId="2502D088"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lang w:val="en-GB" w:eastAsia="en-IE"/>
              </w:rPr>
            </w:pPr>
          </w:p>
        </w:tc>
        <w:tc>
          <w:tcPr>
            <w:tcW w:w="993" w:type="dxa"/>
            <w:tcBorders>
              <w:top w:val="nil"/>
              <w:left w:val="nil"/>
              <w:bottom w:val="single" w:sz="4" w:space="0" w:color="auto"/>
              <w:right w:val="single" w:sz="4" w:space="0" w:color="auto"/>
            </w:tcBorders>
            <w:shd w:val="clear" w:color="auto" w:fill="C6EFCE"/>
            <w:noWrap/>
          </w:tcPr>
          <w:p w14:paraId="7806BC8E"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lang w:val="en-GB" w:eastAsia="en-IE"/>
              </w:rPr>
            </w:pPr>
          </w:p>
        </w:tc>
        <w:tc>
          <w:tcPr>
            <w:tcW w:w="992" w:type="dxa"/>
            <w:tcBorders>
              <w:top w:val="nil"/>
              <w:left w:val="nil"/>
              <w:bottom w:val="single" w:sz="4" w:space="0" w:color="auto"/>
              <w:right w:val="single" w:sz="4" w:space="0" w:color="auto"/>
            </w:tcBorders>
            <w:shd w:val="clear" w:color="auto" w:fill="C6EFCE"/>
            <w:noWrap/>
          </w:tcPr>
          <w:p w14:paraId="357C9AE8"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lang w:val="en-GB" w:eastAsia="en-IE"/>
              </w:rPr>
            </w:pPr>
          </w:p>
        </w:tc>
        <w:tc>
          <w:tcPr>
            <w:tcW w:w="850" w:type="dxa"/>
            <w:tcBorders>
              <w:top w:val="nil"/>
              <w:left w:val="nil"/>
              <w:bottom w:val="single" w:sz="4" w:space="0" w:color="auto"/>
              <w:right w:val="single" w:sz="4" w:space="0" w:color="auto"/>
            </w:tcBorders>
            <w:shd w:val="clear" w:color="auto" w:fill="C6EFCE"/>
            <w:noWrap/>
          </w:tcPr>
          <w:p w14:paraId="084F91EC" w14:textId="77777777" w:rsidR="00736704" w:rsidRPr="00225351" w:rsidRDefault="00736704" w:rsidP="00693327">
            <w:pPr>
              <w:spacing w:after="0" w:line="240" w:lineRule="auto"/>
              <w:rPr>
                <w:rFonts w:ascii="Times New Roman" w:eastAsia="Times New Roman" w:hAnsi="Times New Roman" w:cs="Times New Roman"/>
                <w:noProof/>
                <w:color w:val="385623"/>
                <w:sz w:val="20"/>
                <w:szCs w:val="20"/>
              </w:rPr>
            </w:pPr>
            <w:r>
              <w:rPr>
                <w:rFonts w:ascii="Times New Roman" w:hAnsi="Times New Roman"/>
                <w:noProof/>
                <w:color w:val="006100"/>
                <w:sz w:val="20"/>
              </w:rPr>
              <w:t>T1</w:t>
            </w:r>
          </w:p>
        </w:tc>
        <w:tc>
          <w:tcPr>
            <w:tcW w:w="709" w:type="dxa"/>
            <w:tcBorders>
              <w:top w:val="nil"/>
              <w:left w:val="nil"/>
              <w:bottom w:val="single" w:sz="4" w:space="0" w:color="auto"/>
              <w:right w:val="single" w:sz="4" w:space="0" w:color="auto"/>
            </w:tcBorders>
            <w:shd w:val="clear" w:color="auto" w:fill="C6EFCE"/>
            <w:noWrap/>
          </w:tcPr>
          <w:p w14:paraId="6F9DC3D4"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2026</w:t>
            </w:r>
          </w:p>
        </w:tc>
        <w:tc>
          <w:tcPr>
            <w:tcW w:w="4540" w:type="dxa"/>
            <w:tcBorders>
              <w:top w:val="nil"/>
              <w:left w:val="nil"/>
              <w:bottom w:val="single" w:sz="4" w:space="0" w:color="auto"/>
              <w:right w:val="single" w:sz="4" w:space="0" w:color="auto"/>
            </w:tcBorders>
            <w:shd w:val="clear" w:color="auto" w:fill="C6EFCE"/>
            <w:noWrap/>
          </w:tcPr>
          <w:p w14:paraId="126E8598" w14:textId="30A3A943" w:rsidR="00736704" w:rsidRPr="00225351" w:rsidRDefault="00736704" w:rsidP="00693327">
            <w:pPr>
              <w:spacing w:after="0" w:line="240" w:lineRule="auto"/>
              <w:rPr>
                <w:rFonts w:ascii="Times New Roman" w:eastAsia="Times New Roman" w:hAnsi="Times New Roman" w:cs="Times New Roman"/>
                <w:i/>
                <w:iCs/>
                <w:noProof/>
                <w:color w:val="006100"/>
                <w:sz w:val="20"/>
                <w:szCs w:val="20"/>
              </w:rPr>
            </w:pPr>
            <w:r>
              <w:rPr>
                <w:rFonts w:ascii="Times New Roman" w:hAnsi="Times New Roman"/>
                <w:noProof/>
                <w:color w:val="006100"/>
                <w:sz w:val="20"/>
              </w:rPr>
              <w:t>Трябва да бъде въведен за обществеността посоченият в ключов етап 176 единен билет. Билетът трябва да дава възможност на всяко пътуващо в България лице да закупи един документ за пътуване за всички видове обществен транспорт за предварително определен период от време.</w:t>
            </w:r>
          </w:p>
        </w:tc>
      </w:tr>
      <w:tr w:rsidR="00225351" w:rsidRPr="005241FC" w14:paraId="53207084" w14:textId="77777777" w:rsidTr="00A80AF7">
        <w:trPr>
          <w:jc w:val="center"/>
        </w:trPr>
        <w:tc>
          <w:tcPr>
            <w:tcW w:w="689" w:type="dxa"/>
            <w:tcBorders>
              <w:top w:val="nil"/>
              <w:left w:val="single" w:sz="4" w:space="0" w:color="auto"/>
              <w:bottom w:val="single" w:sz="4" w:space="0" w:color="auto"/>
              <w:right w:val="single" w:sz="4" w:space="0" w:color="auto"/>
            </w:tcBorders>
            <w:shd w:val="clear" w:color="auto" w:fill="C6EFCE"/>
            <w:noWrap/>
          </w:tcPr>
          <w:p w14:paraId="06BC81BD" w14:textId="3340466E" w:rsidR="00736704" w:rsidRPr="00225351" w:rsidRDefault="00EF6843" w:rsidP="00693327">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178</w:t>
            </w:r>
          </w:p>
        </w:tc>
        <w:tc>
          <w:tcPr>
            <w:tcW w:w="1275" w:type="dxa"/>
            <w:tcBorders>
              <w:top w:val="nil"/>
              <w:left w:val="nil"/>
              <w:bottom w:val="single" w:sz="4" w:space="0" w:color="auto"/>
              <w:right w:val="single" w:sz="4" w:space="0" w:color="auto"/>
            </w:tcBorders>
            <w:shd w:val="clear" w:color="auto" w:fill="C6EFCE"/>
            <w:noWrap/>
          </w:tcPr>
          <w:p w14:paraId="08C9D55A" w14:textId="6CF31E9F" w:rsidR="00736704" w:rsidRPr="00225351" w:rsidRDefault="00152560" w:rsidP="0015256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К8.Р5: Електрическа мобилност</w:t>
            </w:r>
          </w:p>
        </w:tc>
        <w:tc>
          <w:tcPr>
            <w:tcW w:w="1150" w:type="dxa"/>
            <w:tcBorders>
              <w:top w:val="nil"/>
              <w:left w:val="nil"/>
              <w:bottom w:val="single" w:sz="4" w:space="0" w:color="auto"/>
              <w:right w:val="single" w:sz="4" w:space="0" w:color="auto"/>
            </w:tcBorders>
            <w:shd w:val="clear" w:color="auto" w:fill="C6EFCE"/>
            <w:noWrap/>
          </w:tcPr>
          <w:p w14:paraId="420A9F2F"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417" w:type="dxa"/>
            <w:tcBorders>
              <w:top w:val="nil"/>
              <w:left w:val="nil"/>
              <w:bottom w:val="single" w:sz="4" w:space="0" w:color="auto"/>
              <w:right w:val="single" w:sz="4" w:space="0" w:color="auto"/>
            </w:tcBorders>
            <w:shd w:val="clear" w:color="auto" w:fill="C6EFCE"/>
            <w:noWrap/>
          </w:tcPr>
          <w:p w14:paraId="2C899E79" w14:textId="77777777" w:rsidR="00736704" w:rsidRPr="00225351" w:rsidRDefault="00736704" w:rsidP="00693327">
            <w:pPr>
              <w:spacing w:after="0" w:line="240" w:lineRule="auto"/>
              <w:rPr>
                <w:rFonts w:ascii="Times New Roman" w:eastAsia="Times New Roman" w:hAnsi="Times New Roman" w:cs="Times New Roman"/>
                <w:noProof/>
                <w:color w:val="FF0000"/>
                <w:sz w:val="20"/>
                <w:szCs w:val="20"/>
              </w:rPr>
            </w:pPr>
            <w:r>
              <w:rPr>
                <w:rFonts w:ascii="Times New Roman" w:hAnsi="Times New Roman"/>
                <w:noProof/>
                <w:color w:val="006100"/>
                <w:sz w:val="20"/>
              </w:rPr>
              <w:t>Закон за насърчаване на електрическата мобилност</w:t>
            </w:r>
          </w:p>
        </w:tc>
        <w:tc>
          <w:tcPr>
            <w:tcW w:w="1418" w:type="dxa"/>
            <w:tcBorders>
              <w:top w:val="nil"/>
              <w:left w:val="nil"/>
              <w:bottom w:val="single" w:sz="4" w:space="0" w:color="auto"/>
              <w:right w:val="single" w:sz="4" w:space="0" w:color="auto"/>
            </w:tcBorders>
            <w:shd w:val="clear" w:color="auto" w:fill="C6EFCE"/>
            <w:noWrap/>
          </w:tcPr>
          <w:p w14:paraId="36915DFA" w14:textId="77777777" w:rsidR="00736704" w:rsidRPr="00225351" w:rsidRDefault="00736704" w:rsidP="00693327">
            <w:pPr>
              <w:spacing w:after="0" w:line="240" w:lineRule="auto"/>
              <w:rPr>
                <w:rFonts w:ascii="Times New Roman" w:eastAsia="Times New Roman" w:hAnsi="Times New Roman" w:cs="Times New Roman"/>
                <w:noProof/>
                <w:color w:val="FF0000"/>
                <w:sz w:val="20"/>
                <w:szCs w:val="20"/>
              </w:rPr>
            </w:pPr>
            <w:r>
              <w:rPr>
                <w:rFonts w:ascii="Times New Roman" w:hAnsi="Times New Roman"/>
                <w:noProof/>
                <w:color w:val="006100"/>
                <w:sz w:val="20"/>
              </w:rPr>
              <w:t xml:space="preserve">Влизане в сила </w:t>
            </w:r>
          </w:p>
        </w:tc>
        <w:tc>
          <w:tcPr>
            <w:tcW w:w="1417" w:type="dxa"/>
            <w:tcBorders>
              <w:top w:val="nil"/>
              <w:left w:val="nil"/>
              <w:bottom w:val="single" w:sz="4" w:space="0" w:color="auto"/>
              <w:right w:val="single" w:sz="4" w:space="0" w:color="auto"/>
            </w:tcBorders>
            <w:shd w:val="clear" w:color="auto" w:fill="C6EFCE"/>
            <w:noWrap/>
          </w:tcPr>
          <w:p w14:paraId="01CF0762"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993" w:type="dxa"/>
            <w:tcBorders>
              <w:top w:val="nil"/>
              <w:left w:val="nil"/>
              <w:bottom w:val="single" w:sz="4" w:space="0" w:color="auto"/>
              <w:right w:val="single" w:sz="4" w:space="0" w:color="auto"/>
            </w:tcBorders>
            <w:shd w:val="clear" w:color="auto" w:fill="C6EFCE"/>
            <w:noWrap/>
          </w:tcPr>
          <w:p w14:paraId="7E5AD99E"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992" w:type="dxa"/>
            <w:tcBorders>
              <w:top w:val="nil"/>
              <w:left w:val="nil"/>
              <w:bottom w:val="single" w:sz="4" w:space="0" w:color="auto"/>
              <w:right w:val="single" w:sz="4" w:space="0" w:color="auto"/>
            </w:tcBorders>
            <w:shd w:val="clear" w:color="auto" w:fill="C6EFCE"/>
            <w:noWrap/>
          </w:tcPr>
          <w:p w14:paraId="7E5B8A3E"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850" w:type="dxa"/>
            <w:tcBorders>
              <w:top w:val="nil"/>
              <w:left w:val="nil"/>
              <w:bottom w:val="single" w:sz="4" w:space="0" w:color="auto"/>
              <w:right w:val="single" w:sz="4" w:space="0" w:color="auto"/>
            </w:tcBorders>
            <w:shd w:val="clear" w:color="auto" w:fill="C6EFCE"/>
            <w:noWrap/>
          </w:tcPr>
          <w:p w14:paraId="18D3696E"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385623"/>
                <w:sz w:val="20"/>
              </w:rPr>
              <w:t>T2</w:t>
            </w:r>
          </w:p>
        </w:tc>
        <w:tc>
          <w:tcPr>
            <w:tcW w:w="709" w:type="dxa"/>
            <w:tcBorders>
              <w:top w:val="nil"/>
              <w:left w:val="nil"/>
              <w:bottom w:val="single" w:sz="4" w:space="0" w:color="auto"/>
              <w:right w:val="single" w:sz="4" w:space="0" w:color="auto"/>
            </w:tcBorders>
            <w:shd w:val="clear" w:color="auto" w:fill="C6EFCE"/>
            <w:noWrap/>
          </w:tcPr>
          <w:p w14:paraId="01807303"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2023</w:t>
            </w:r>
          </w:p>
        </w:tc>
        <w:tc>
          <w:tcPr>
            <w:tcW w:w="4540" w:type="dxa"/>
            <w:tcBorders>
              <w:top w:val="nil"/>
              <w:left w:val="nil"/>
              <w:bottom w:val="single" w:sz="4" w:space="0" w:color="auto"/>
              <w:right w:val="single" w:sz="4" w:space="0" w:color="auto"/>
            </w:tcBorders>
            <w:shd w:val="clear" w:color="auto" w:fill="C6EFCE"/>
            <w:noWrap/>
          </w:tcPr>
          <w:p w14:paraId="37C8E998" w14:textId="77777777" w:rsidR="00736704" w:rsidRPr="00225351" w:rsidRDefault="00736704" w:rsidP="00693327">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Законът трябва да има за цел ускоряване на електрификацията на автомобилния транспорт в България и намаляване на свързаните с него емисии на парникови газове и замърсяване на въздуха.</w:t>
            </w:r>
          </w:p>
          <w:p w14:paraId="31B64C34" w14:textId="77777777" w:rsidR="00736704" w:rsidRPr="008A0F8A" w:rsidRDefault="00736704" w:rsidP="00693327">
            <w:pPr>
              <w:spacing w:after="0" w:line="240" w:lineRule="auto"/>
              <w:jc w:val="both"/>
              <w:rPr>
                <w:rFonts w:ascii="Times New Roman" w:eastAsia="Times New Roman" w:hAnsi="Times New Roman" w:cs="Times New Roman"/>
                <w:noProof/>
                <w:color w:val="006100"/>
                <w:sz w:val="20"/>
                <w:szCs w:val="20"/>
                <w:lang w:val="ru-RU" w:eastAsia="en-IE"/>
              </w:rPr>
            </w:pPr>
          </w:p>
          <w:p w14:paraId="39963FFB" w14:textId="77777777" w:rsidR="00736704" w:rsidRPr="00225351" w:rsidRDefault="00736704" w:rsidP="00693327">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Законът трябва да позволи и да стимулира разширяването на инфраструктурата за електрически зарядни станции в цялата държава. Това трябва да включва:</w:t>
            </w:r>
          </w:p>
          <w:p w14:paraId="542158E6" w14:textId="77777777" w:rsidR="00736704" w:rsidRPr="00225351" w:rsidRDefault="00736704" w:rsidP="00225351">
            <w:pPr>
              <w:numPr>
                <w:ilvl w:val="0"/>
                <w:numId w:val="33"/>
              </w:numPr>
              <w:spacing w:after="0" w:line="240" w:lineRule="auto"/>
              <w:ind w:left="360"/>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опростяване на процедурите за свързване на зарядните станции към електроенергийната мрежа и процедурите за изграждане на такива станции, </w:t>
            </w:r>
          </w:p>
          <w:p w14:paraId="1E5C4BCB" w14:textId="77777777" w:rsidR="00736704" w:rsidRPr="00225351" w:rsidRDefault="00736704" w:rsidP="00225351">
            <w:pPr>
              <w:pStyle w:val="ListParagraph"/>
              <w:numPr>
                <w:ilvl w:val="0"/>
                <w:numId w:val="33"/>
              </w:numPr>
              <w:spacing w:after="0" w:line="240" w:lineRule="auto"/>
              <w:ind w:left="360"/>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нормативно задължение за общините да осигурят места за зарядни устройства на поне две места за паркиране;</w:t>
            </w:r>
          </w:p>
          <w:p w14:paraId="55D47539" w14:textId="77777777" w:rsidR="00736704" w:rsidRPr="00225351" w:rsidRDefault="00736704" w:rsidP="00225351">
            <w:pPr>
              <w:pStyle w:val="ListParagraph"/>
              <w:numPr>
                <w:ilvl w:val="0"/>
                <w:numId w:val="33"/>
              </w:numPr>
              <w:spacing w:after="0" w:line="240" w:lineRule="auto"/>
              <w:ind w:left="360"/>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нормативно заложен стимул за електроразпределителните дружества да предоставят лесен достъп до електроенергийната мрежа; </w:t>
            </w:r>
          </w:p>
          <w:p w14:paraId="52A1FAAD" w14:textId="77777777" w:rsidR="00736704" w:rsidRPr="00225351" w:rsidRDefault="00736704" w:rsidP="00225351">
            <w:pPr>
              <w:pStyle w:val="ListParagraph"/>
              <w:numPr>
                <w:ilvl w:val="0"/>
                <w:numId w:val="33"/>
              </w:numPr>
              <w:spacing w:after="0" w:line="240" w:lineRule="auto"/>
              <w:ind w:left="360"/>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въвеждане на преференциални финансови инструменти за малките и средните предприятия, които инвестират в изграждането и управлението на инфраструктура за зареждане с електроенергия.</w:t>
            </w:r>
          </w:p>
          <w:p w14:paraId="2B1A9910" w14:textId="77777777" w:rsidR="00736704" w:rsidRPr="008A0F8A" w:rsidRDefault="00736704" w:rsidP="00693327">
            <w:pPr>
              <w:pStyle w:val="ListParagraph"/>
              <w:spacing w:after="0" w:line="240" w:lineRule="auto"/>
              <w:jc w:val="both"/>
              <w:rPr>
                <w:rFonts w:ascii="Times New Roman" w:eastAsia="Times New Roman" w:hAnsi="Times New Roman" w:cs="Times New Roman"/>
                <w:noProof/>
                <w:color w:val="006100"/>
                <w:sz w:val="20"/>
                <w:szCs w:val="20"/>
                <w:lang w:val="ru-RU" w:eastAsia="en-IE"/>
              </w:rPr>
            </w:pPr>
          </w:p>
          <w:p w14:paraId="366EC8F7" w14:textId="77777777" w:rsidR="00736704" w:rsidRPr="00225351" w:rsidRDefault="00736704" w:rsidP="00693327">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Законът трябва също така да въвежда стимули за навлизането на пазара на електрически превозни средства (ЕПС) и да е в съответствие с принципа „замърсителят плаща“, като включва специални мерки, например субсидии за превозни средства с нулеви емисии, диференциране на таксите/данъците за регистрация/собственост в зависимост от равнището на емисиите и схеми за бракуване на най-замърсяващите превозни средства (стандарт за емисии Евро 3 или по-нисък). </w:t>
            </w:r>
          </w:p>
        </w:tc>
      </w:tr>
      <w:tr w:rsidR="00225351" w:rsidRPr="005241FC" w14:paraId="79160FCD" w14:textId="77777777" w:rsidTr="00A80AF7">
        <w:trPr>
          <w:jc w:val="center"/>
        </w:trPr>
        <w:tc>
          <w:tcPr>
            <w:tcW w:w="689" w:type="dxa"/>
            <w:tcBorders>
              <w:top w:val="nil"/>
              <w:left w:val="single" w:sz="4" w:space="0" w:color="auto"/>
              <w:bottom w:val="single" w:sz="4" w:space="0" w:color="auto"/>
              <w:right w:val="single" w:sz="4" w:space="0" w:color="auto"/>
            </w:tcBorders>
            <w:shd w:val="clear" w:color="auto" w:fill="C6EFCE"/>
            <w:noWrap/>
          </w:tcPr>
          <w:p w14:paraId="1E89480E" w14:textId="38636E65" w:rsidR="00736704" w:rsidRPr="00225351" w:rsidRDefault="00EF6843" w:rsidP="00693327">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179</w:t>
            </w:r>
          </w:p>
        </w:tc>
        <w:tc>
          <w:tcPr>
            <w:tcW w:w="1275" w:type="dxa"/>
            <w:tcBorders>
              <w:top w:val="nil"/>
              <w:left w:val="nil"/>
              <w:bottom w:val="single" w:sz="4" w:space="0" w:color="auto"/>
              <w:right w:val="single" w:sz="4" w:space="0" w:color="auto"/>
            </w:tcBorders>
            <w:shd w:val="clear" w:color="auto" w:fill="C6EFCE"/>
            <w:noWrap/>
          </w:tcPr>
          <w:p w14:paraId="139DFB3C" w14:textId="72661196" w:rsidR="00736704" w:rsidRPr="00225351" w:rsidRDefault="00152560"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К8.Р5: Електрическа мобилност</w:t>
            </w:r>
          </w:p>
        </w:tc>
        <w:tc>
          <w:tcPr>
            <w:tcW w:w="1150" w:type="dxa"/>
            <w:tcBorders>
              <w:top w:val="nil"/>
              <w:left w:val="nil"/>
              <w:bottom w:val="single" w:sz="4" w:space="0" w:color="auto"/>
              <w:right w:val="single" w:sz="4" w:space="0" w:color="auto"/>
            </w:tcBorders>
            <w:shd w:val="clear" w:color="auto" w:fill="C6EFCE"/>
            <w:noWrap/>
          </w:tcPr>
          <w:p w14:paraId="2EBBDE7A"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Цел</w:t>
            </w:r>
          </w:p>
        </w:tc>
        <w:tc>
          <w:tcPr>
            <w:tcW w:w="1417" w:type="dxa"/>
            <w:tcBorders>
              <w:top w:val="nil"/>
              <w:left w:val="nil"/>
              <w:bottom w:val="single" w:sz="4" w:space="0" w:color="auto"/>
              <w:right w:val="single" w:sz="4" w:space="0" w:color="auto"/>
            </w:tcBorders>
            <w:shd w:val="clear" w:color="auto" w:fill="C6EFCE"/>
            <w:noWrap/>
          </w:tcPr>
          <w:p w14:paraId="7852B234" w14:textId="77777777" w:rsidR="00736704" w:rsidRPr="00225351" w:rsidRDefault="00736704" w:rsidP="00693327">
            <w:pPr>
              <w:spacing w:after="0" w:line="240" w:lineRule="auto"/>
              <w:rPr>
                <w:rFonts w:ascii="Times New Roman" w:eastAsia="Times New Roman" w:hAnsi="Times New Roman" w:cs="Times New Roman"/>
                <w:noProof/>
                <w:color w:val="FF0000"/>
                <w:sz w:val="20"/>
                <w:szCs w:val="20"/>
              </w:rPr>
            </w:pPr>
            <w:r>
              <w:rPr>
                <w:rFonts w:ascii="Times New Roman" w:hAnsi="Times New Roman"/>
                <w:noProof/>
                <w:color w:val="006100"/>
                <w:sz w:val="20"/>
              </w:rPr>
              <w:t>Нови публични електрически зарядни станции</w:t>
            </w:r>
          </w:p>
        </w:tc>
        <w:tc>
          <w:tcPr>
            <w:tcW w:w="1418" w:type="dxa"/>
            <w:tcBorders>
              <w:top w:val="nil"/>
              <w:left w:val="nil"/>
              <w:bottom w:val="single" w:sz="4" w:space="0" w:color="auto"/>
              <w:right w:val="single" w:sz="4" w:space="0" w:color="auto"/>
            </w:tcBorders>
            <w:shd w:val="clear" w:color="auto" w:fill="C6EFCE"/>
            <w:noWrap/>
          </w:tcPr>
          <w:p w14:paraId="178B6476" w14:textId="77777777" w:rsidR="00736704" w:rsidRPr="00225351" w:rsidRDefault="00736704" w:rsidP="00693327">
            <w:pPr>
              <w:spacing w:after="0" w:line="240" w:lineRule="auto"/>
              <w:rPr>
                <w:rFonts w:ascii="Times New Roman" w:eastAsia="Times New Roman" w:hAnsi="Times New Roman" w:cs="Times New Roman"/>
                <w:noProof/>
                <w:color w:val="FF0000"/>
                <w:sz w:val="20"/>
                <w:szCs w:val="20"/>
              </w:rPr>
            </w:pPr>
            <w:r>
              <w:rPr>
                <w:rFonts w:ascii="Times New Roman" w:hAnsi="Times New Roman"/>
                <w:noProof/>
                <w:color w:val="006100"/>
                <w:sz w:val="20"/>
              </w:rPr>
              <w:t> </w:t>
            </w:r>
          </w:p>
        </w:tc>
        <w:tc>
          <w:tcPr>
            <w:tcW w:w="1417" w:type="dxa"/>
            <w:tcBorders>
              <w:top w:val="nil"/>
              <w:left w:val="nil"/>
              <w:bottom w:val="single" w:sz="4" w:space="0" w:color="auto"/>
              <w:right w:val="single" w:sz="4" w:space="0" w:color="auto"/>
            </w:tcBorders>
            <w:shd w:val="clear" w:color="auto" w:fill="C6EFCE"/>
            <w:noWrap/>
          </w:tcPr>
          <w:p w14:paraId="5999C82D"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Брой</w:t>
            </w:r>
          </w:p>
        </w:tc>
        <w:tc>
          <w:tcPr>
            <w:tcW w:w="993" w:type="dxa"/>
            <w:tcBorders>
              <w:top w:val="nil"/>
              <w:left w:val="nil"/>
              <w:bottom w:val="single" w:sz="4" w:space="0" w:color="auto"/>
              <w:right w:val="single" w:sz="4" w:space="0" w:color="auto"/>
            </w:tcBorders>
            <w:shd w:val="clear" w:color="auto" w:fill="C6EFCE"/>
            <w:noWrap/>
          </w:tcPr>
          <w:p w14:paraId="7BA140DC"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340</w:t>
            </w:r>
          </w:p>
        </w:tc>
        <w:tc>
          <w:tcPr>
            <w:tcW w:w="992" w:type="dxa"/>
            <w:tcBorders>
              <w:top w:val="nil"/>
              <w:left w:val="nil"/>
              <w:bottom w:val="single" w:sz="4" w:space="0" w:color="auto"/>
              <w:right w:val="single" w:sz="4" w:space="0" w:color="auto"/>
            </w:tcBorders>
            <w:shd w:val="clear" w:color="auto" w:fill="C6EFCE"/>
            <w:noWrap/>
          </w:tcPr>
          <w:p w14:paraId="744221F1"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4000</w:t>
            </w:r>
          </w:p>
        </w:tc>
        <w:tc>
          <w:tcPr>
            <w:tcW w:w="850" w:type="dxa"/>
            <w:tcBorders>
              <w:top w:val="nil"/>
              <w:left w:val="nil"/>
              <w:bottom w:val="single" w:sz="4" w:space="0" w:color="auto"/>
              <w:right w:val="single" w:sz="4" w:space="0" w:color="auto"/>
            </w:tcBorders>
            <w:shd w:val="clear" w:color="auto" w:fill="C6EFCE"/>
            <w:noWrap/>
          </w:tcPr>
          <w:p w14:paraId="281D1BA7"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T4</w:t>
            </w:r>
          </w:p>
        </w:tc>
        <w:tc>
          <w:tcPr>
            <w:tcW w:w="709" w:type="dxa"/>
            <w:tcBorders>
              <w:top w:val="nil"/>
              <w:left w:val="nil"/>
              <w:bottom w:val="single" w:sz="4" w:space="0" w:color="auto"/>
              <w:right w:val="single" w:sz="4" w:space="0" w:color="auto"/>
            </w:tcBorders>
            <w:shd w:val="clear" w:color="auto" w:fill="C6EFCE"/>
            <w:noWrap/>
          </w:tcPr>
          <w:p w14:paraId="7FBAAE4E"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2024</w:t>
            </w:r>
          </w:p>
        </w:tc>
        <w:tc>
          <w:tcPr>
            <w:tcW w:w="4540" w:type="dxa"/>
            <w:tcBorders>
              <w:top w:val="nil"/>
              <w:left w:val="nil"/>
              <w:bottom w:val="single" w:sz="4" w:space="0" w:color="auto"/>
              <w:right w:val="single" w:sz="4" w:space="0" w:color="auto"/>
            </w:tcBorders>
            <w:shd w:val="clear" w:color="auto" w:fill="C6EFCE"/>
            <w:noWrap/>
          </w:tcPr>
          <w:p w14:paraId="37BDE1F8" w14:textId="31097EA5"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В България трябва да бъдат инсталирани и въведени в експлоатация електрически зарядни станции. </w:t>
            </w:r>
          </w:p>
          <w:p w14:paraId="0A92B5D9" w14:textId="77777777" w:rsidR="00736704" w:rsidRPr="008A0F8A" w:rsidRDefault="00736704" w:rsidP="00693327">
            <w:pPr>
              <w:spacing w:after="0" w:line="240" w:lineRule="auto"/>
              <w:rPr>
                <w:rFonts w:ascii="Times New Roman" w:eastAsia="Times New Roman" w:hAnsi="Times New Roman" w:cs="Times New Roman"/>
                <w:noProof/>
                <w:color w:val="006100"/>
                <w:sz w:val="20"/>
                <w:szCs w:val="20"/>
                <w:lang w:val="ru-RU" w:eastAsia="en-IE"/>
              </w:rPr>
            </w:pPr>
          </w:p>
          <w:p w14:paraId="3956F5A3" w14:textId="77777777" w:rsidR="00736704" w:rsidRPr="00225351" w:rsidRDefault="00736704" w:rsidP="00693327">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Зарядните станции трябва да са публично достъпни през цялото време, а възлагането на обществените поръчки за тях трябва да се извърши чрез открити и конкурентни процедури.</w:t>
            </w:r>
            <w:r>
              <w:rPr>
                <w:rFonts w:ascii="Times New Roman" w:hAnsi="Times New Roman"/>
                <w:noProof/>
                <w:color w:val="FF0000"/>
                <w:sz w:val="20"/>
              </w:rPr>
              <w:t xml:space="preserve"> </w:t>
            </w:r>
            <w:r>
              <w:rPr>
                <w:rFonts w:ascii="Times New Roman" w:hAnsi="Times New Roman"/>
                <w:noProof/>
                <w:color w:val="006100"/>
                <w:sz w:val="20"/>
              </w:rPr>
              <w:t>Регионалното разпределение трябва да е балансирано и да дава предимство на районите с най-големи задръствания. Местоположенията се избират въз основа на нуждите от пътища, пътническия капацитет на пътищата, нивото на задръствания на пътищата или конкретни свързани с бизнес развитието казуси.</w:t>
            </w:r>
          </w:p>
          <w:p w14:paraId="581A43B5" w14:textId="77777777" w:rsidR="00736704" w:rsidRPr="008A0F8A" w:rsidRDefault="00736704" w:rsidP="00693327">
            <w:pPr>
              <w:spacing w:after="0" w:line="240" w:lineRule="auto"/>
              <w:jc w:val="both"/>
              <w:rPr>
                <w:rFonts w:ascii="Times New Roman" w:eastAsia="Times New Roman" w:hAnsi="Times New Roman" w:cs="Times New Roman"/>
                <w:noProof/>
                <w:color w:val="006100"/>
                <w:sz w:val="20"/>
                <w:szCs w:val="20"/>
                <w:lang w:val="ru-RU"/>
              </w:rPr>
            </w:pPr>
          </w:p>
          <w:p w14:paraId="02A45A43" w14:textId="77777777" w:rsidR="00736704" w:rsidRPr="00225351" w:rsidRDefault="00736704" w:rsidP="00693327">
            <w:pPr>
              <w:spacing w:line="240" w:lineRule="auto"/>
              <w:jc w:val="both"/>
              <w:rPr>
                <w:rFonts w:ascii="Times New Roman" w:hAnsi="Times New Roman" w:cs="Times New Roman"/>
                <w:noProof/>
                <w:sz w:val="20"/>
                <w:szCs w:val="20"/>
              </w:rPr>
            </w:pPr>
            <w:r>
              <w:rPr>
                <w:rFonts w:ascii="Times New Roman" w:hAnsi="Times New Roman"/>
                <w:noProof/>
                <w:color w:val="006100"/>
                <w:sz w:val="20"/>
              </w:rPr>
              <w:t>Новите зарядни станции трябва да включват:</w:t>
            </w:r>
          </w:p>
          <w:p w14:paraId="76277834" w14:textId="77777777" w:rsidR="00736704" w:rsidRPr="00225351" w:rsidRDefault="00736704" w:rsidP="0062519B">
            <w:pPr>
              <w:pStyle w:val="ListParagraph"/>
              <w:numPr>
                <w:ilvl w:val="0"/>
                <w:numId w:val="34"/>
              </w:numPr>
              <w:spacing w:line="240" w:lineRule="auto"/>
              <w:ind w:left="360"/>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най-малко 20 станции за бързо зареждане с постоянен ток и с мощност от 1—2 MW, разположени в автомагистрални центрове на TEN-T;</w:t>
            </w:r>
          </w:p>
          <w:p w14:paraId="633B681D" w14:textId="77777777" w:rsidR="00736704" w:rsidRPr="00225351" w:rsidRDefault="00736704" w:rsidP="0062519B">
            <w:pPr>
              <w:pStyle w:val="ListParagraph"/>
              <w:numPr>
                <w:ilvl w:val="0"/>
                <w:numId w:val="33"/>
              </w:numPr>
              <w:spacing w:line="240" w:lineRule="auto"/>
              <w:ind w:left="360"/>
              <w:jc w:val="both"/>
              <w:rPr>
                <w:rFonts w:ascii="Times New Roman" w:eastAsia="Times New Roman" w:hAnsi="Times New Roman" w:cs="Times New Roman"/>
                <w:noProof/>
                <w:color w:val="006100"/>
                <w:sz w:val="20"/>
                <w:szCs w:val="20"/>
              </w:rPr>
            </w:pPr>
            <w:r>
              <w:rPr>
                <w:rFonts w:ascii="Times New Roman" w:hAnsi="Times New Roman"/>
                <w:noProof/>
                <w:color w:val="385623"/>
                <w:sz w:val="20"/>
              </w:rPr>
              <w:t>най-малко 150</w:t>
            </w:r>
            <w:r>
              <w:rPr>
                <w:rFonts w:ascii="Times New Roman" w:hAnsi="Times New Roman"/>
                <w:noProof/>
                <w:color w:val="006100"/>
                <w:sz w:val="20"/>
              </w:rPr>
              <w:t xml:space="preserve"> станции за бързо зареждане с минимална изходна мощност от 50 kW, изградени в междуградски пътни мрежи и градове.</w:t>
            </w:r>
            <w:r>
              <w:rPr>
                <w:rFonts w:ascii="Times New Roman" w:hAnsi="Times New Roman"/>
                <w:noProof/>
                <w:color w:val="385623"/>
                <w:sz w:val="20"/>
              </w:rPr>
              <w:t xml:space="preserve"> </w:t>
            </w:r>
          </w:p>
        </w:tc>
      </w:tr>
      <w:tr w:rsidR="00225351" w:rsidRPr="005241FC" w14:paraId="6359E61C" w14:textId="77777777" w:rsidTr="00A80AF7">
        <w:trPr>
          <w:jc w:val="center"/>
        </w:trPr>
        <w:tc>
          <w:tcPr>
            <w:tcW w:w="689" w:type="dxa"/>
            <w:tcBorders>
              <w:top w:val="nil"/>
              <w:left w:val="single" w:sz="4" w:space="0" w:color="auto"/>
              <w:bottom w:val="single" w:sz="4" w:space="0" w:color="auto"/>
              <w:right w:val="single" w:sz="4" w:space="0" w:color="auto"/>
            </w:tcBorders>
            <w:shd w:val="clear" w:color="auto" w:fill="C6EFCE"/>
            <w:noWrap/>
          </w:tcPr>
          <w:p w14:paraId="5E69218F" w14:textId="2A20BC0E" w:rsidR="00736704" w:rsidRPr="00225351" w:rsidRDefault="00EF6843" w:rsidP="00693327">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180</w:t>
            </w:r>
          </w:p>
        </w:tc>
        <w:tc>
          <w:tcPr>
            <w:tcW w:w="1275" w:type="dxa"/>
            <w:tcBorders>
              <w:top w:val="nil"/>
              <w:left w:val="nil"/>
              <w:bottom w:val="single" w:sz="4" w:space="0" w:color="auto"/>
              <w:right w:val="single" w:sz="4" w:space="0" w:color="auto"/>
            </w:tcBorders>
            <w:shd w:val="clear" w:color="auto" w:fill="C6EFCE"/>
            <w:noWrap/>
          </w:tcPr>
          <w:p w14:paraId="02394EFC" w14:textId="280713ED" w:rsidR="00736704" w:rsidRPr="00225351" w:rsidRDefault="00152560"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К8.Р5: Електрическа мобилност</w:t>
            </w:r>
          </w:p>
        </w:tc>
        <w:tc>
          <w:tcPr>
            <w:tcW w:w="1150" w:type="dxa"/>
            <w:tcBorders>
              <w:top w:val="nil"/>
              <w:left w:val="nil"/>
              <w:bottom w:val="single" w:sz="4" w:space="0" w:color="auto"/>
              <w:right w:val="single" w:sz="4" w:space="0" w:color="auto"/>
            </w:tcBorders>
            <w:shd w:val="clear" w:color="auto" w:fill="C6EFCE"/>
            <w:noWrap/>
          </w:tcPr>
          <w:p w14:paraId="6B97B977"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Цел</w:t>
            </w:r>
          </w:p>
        </w:tc>
        <w:tc>
          <w:tcPr>
            <w:tcW w:w="1417" w:type="dxa"/>
            <w:tcBorders>
              <w:top w:val="nil"/>
              <w:left w:val="nil"/>
              <w:bottom w:val="single" w:sz="4" w:space="0" w:color="auto"/>
              <w:right w:val="single" w:sz="4" w:space="0" w:color="auto"/>
            </w:tcBorders>
            <w:shd w:val="clear" w:color="auto" w:fill="C6EFCE"/>
            <w:noWrap/>
          </w:tcPr>
          <w:p w14:paraId="36B2F29C" w14:textId="77777777" w:rsidR="00736704" w:rsidRPr="00225351" w:rsidRDefault="00736704" w:rsidP="00693327">
            <w:pPr>
              <w:spacing w:after="0" w:line="240" w:lineRule="auto"/>
              <w:rPr>
                <w:rFonts w:ascii="Times New Roman" w:eastAsia="Times New Roman" w:hAnsi="Times New Roman" w:cs="Times New Roman"/>
                <w:noProof/>
                <w:color w:val="FF0000"/>
                <w:sz w:val="20"/>
                <w:szCs w:val="20"/>
              </w:rPr>
            </w:pPr>
            <w:r>
              <w:rPr>
                <w:rFonts w:ascii="Times New Roman" w:hAnsi="Times New Roman"/>
                <w:noProof/>
                <w:color w:val="006100"/>
                <w:sz w:val="20"/>
              </w:rPr>
              <w:t>Нови публични електрически зарядни станции</w:t>
            </w:r>
          </w:p>
        </w:tc>
        <w:tc>
          <w:tcPr>
            <w:tcW w:w="1418" w:type="dxa"/>
            <w:tcBorders>
              <w:top w:val="nil"/>
              <w:left w:val="nil"/>
              <w:bottom w:val="single" w:sz="4" w:space="0" w:color="auto"/>
              <w:right w:val="single" w:sz="4" w:space="0" w:color="auto"/>
            </w:tcBorders>
            <w:shd w:val="clear" w:color="auto" w:fill="C6EFCE"/>
            <w:noWrap/>
          </w:tcPr>
          <w:p w14:paraId="0A121621" w14:textId="77777777" w:rsidR="00736704" w:rsidRPr="00225351" w:rsidRDefault="00736704" w:rsidP="00693327">
            <w:pPr>
              <w:spacing w:after="0" w:line="240" w:lineRule="auto"/>
              <w:rPr>
                <w:rFonts w:ascii="Times New Roman" w:eastAsia="Times New Roman" w:hAnsi="Times New Roman" w:cs="Times New Roman"/>
                <w:noProof/>
                <w:color w:val="FF0000"/>
                <w:sz w:val="20"/>
                <w:szCs w:val="20"/>
              </w:rPr>
            </w:pPr>
            <w:r>
              <w:rPr>
                <w:rFonts w:ascii="Times New Roman" w:hAnsi="Times New Roman"/>
                <w:noProof/>
                <w:color w:val="006100"/>
                <w:sz w:val="20"/>
              </w:rPr>
              <w:t> </w:t>
            </w:r>
          </w:p>
        </w:tc>
        <w:tc>
          <w:tcPr>
            <w:tcW w:w="1417" w:type="dxa"/>
            <w:tcBorders>
              <w:top w:val="nil"/>
              <w:left w:val="nil"/>
              <w:bottom w:val="single" w:sz="4" w:space="0" w:color="auto"/>
              <w:right w:val="single" w:sz="4" w:space="0" w:color="auto"/>
            </w:tcBorders>
            <w:shd w:val="clear" w:color="auto" w:fill="C6EFCE"/>
            <w:noWrap/>
          </w:tcPr>
          <w:p w14:paraId="72E7A017"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Брой</w:t>
            </w:r>
          </w:p>
        </w:tc>
        <w:tc>
          <w:tcPr>
            <w:tcW w:w="993" w:type="dxa"/>
            <w:tcBorders>
              <w:top w:val="nil"/>
              <w:left w:val="nil"/>
              <w:bottom w:val="single" w:sz="4" w:space="0" w:color="auto"/>
              <w:right w:val="single" w:sz="4" w:space="0" w:color="auto"/>
            </w:tcBorders>
            <w:shd w:val="clear" w:color="auto" w:fill="C6EFCE"/>
            <w:noWrap/>
          </w:tcPr>
          <w:p w14:paraId="3AF583B9" w14:textId="7C2B2EA7" w:rsidR="00736704" w:rsidRPr="00225351" w:rsidRDefault="00736704" w:rsidP="00660FA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4000</w:t>
            </w:r>
          </w:p>
        </w:tc>
        <w:tc>
          <w:tcPr>
            <w:tcW w:w="992" w:type="dxa"/>
            <w:tcBorders>
              <w:top w:val="nil"/>
              <w:left w:val="nil"/>
              <w:bottom w:val="single" w:sz="4" w:space="0" w:color="auto"/>
              <w:right w:val="single" w:sz="4" w:space="0" w:color="auto"/>
            </w:tcBorders>
            <w:shd w:val="clear" w:color="auto" w:fill="C6EFCE"/>
            <w:noWrap/>
          </w:tcPr>
          <w:p w14:paraId="77CB234D" w14:textId="602E1591"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10000</w:t>
            </w:r>
          </w:p>
        </w:tc>
        <w:tc>
          <w:tcPr>
            <w:tcW w:w="850" w:type="dxa"/>
            <w:tcBorders>
              <w:top w:val="nil"/>
              <w:left w:val="nil"/>
              <w:bottom w:val="single" w:sz="4" w:space="0" w:color="auto"/>
              <w:right w:val="single" w:sz="4" w:space="0" w:color="auto"/>
            </w:tcBorders>
            <w:shd w:val="clear" w:color="auto" w:fill="C6EFCE"/>
            <w:noWrap/>
          </w:tcPr>
          <w:p w14:paraId="47162BAC"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T2</w:t>
            </w:r>
          </w:p>
        </w:tc>
        <w:tc>
          <w:tcPr>
            <w:tcW w:w="709" w:type="dxa"/>
            <w:tcBorders>
              <w:top w:val="nil"/>
              <w:left w:val="nil"/>
              <w:bottom w:val="single" w:sz="4" w:space="0" w:color="auto"/>
              <w:right w:val="single" w:sz="4" w:space="0" w:color="auto"/>
            </w:tcBorders>
            <w:shd w:val="clear" w:color="auto" w:fill="C6EFCE"/>
            <w:noWrap/>
          </w:tcPr>
          <w:p w14:paraId="38963223"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2026</w:t>
            </w:r>
          </w:p>
        </w:tc>
        <w:tc>
          <w:tcPr>
            <w:tcW w:w="4540" w:type="dxa"/>
            <w:tcBorders>
              <w:top w:val="nil"/>
              <w:left w:val="nil"/>
              <w:bottom w:val="single" w:sz="4" w:space="0" w:color="auto"/>
              <w:right w:val="single" w:sz="4" w:space="0" w:color="auto"/>
            </w:tcBorders>
            <w:shd w:val="clear" w:color="auto" w:fill="C6EFCE"/>
            <w:noWrap/>
          </w:tcPr>
          <w:p w14:paraId="750E3B95" w14:textId="544C5090" w:rsidR="00736704" w:rsidRPr="00225351" w:rsidRDefault="00736704" w:rsidP="00693327">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В България трябва да бъдат инсталирани и въведени в експлоатация електрически зарядни станции. </w:t>
            </w:r>
          </w:p>
          <w:p w14:paraId="3E10BF49" w14:textId="77777777" w:rsidR="00736704" w:rsidRPr="008A0F8A" w:rsidRDefault="00736704" w:rsidP="00693327">
            <w:pPr>
              <w:spacing w:after="0" w:line="240" w:lineRule="auto"/>
              <w:jc w:val="both"/>
              <w:rPr>
                <w:rFonts w:ascii="Times New Roman" w:eastAsia="Times New Roman" w:hAnsi="Times New Roman" w:cs="Times New Roman"/>
                <w:noProof/>
                <w:color w:val="006100"/>
                <w:sz w:val="20"/>
                <w:szCs w:val="20"/>
                <w:lang w:val="ru-RU" w:eastAsia="en-IE"/>
              </w:rPr>
            </w:pPr>
          </w:p>
          <w:p w14:paraId="23872C9D" w14:textId="77777777" w:rsidR="00736704" w:rsidRPr="00225351" w:rsidRDefault="00736704" w:rsidP="00693327">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Зарядните станции трябва да са публично достъпни през цялото време, а възлагането на обществените поръчки за тях трябва да се извърши чрез открити и конкурентни процедури.</w:t>
            </w:r>
            <w:r>
              <w:rPr>
                <w:rFonts w:ascii="Times New Roman" w:hAnsi="Times New Roman"/>
                <w:noProof/>
                <w:color w:val="FF0000"/>
                <w:sz w:val="20"/>
              </w:rPr>
              <w:t xml:space="preserve"> </w:t>
            </w:r>
            <w:r>
              <w:rPr>
                <w:rFonts w:ascii="Times New Roman" w:hAnsi="Times New Roman"/>
                <w:noProof/>
                <w:color w:val="006100"/>
                <w:sz w:val="20"/>
              </w:rPr>
              <w:t>Регионалното разпределение трябва да е балансирано и да дава предимство на районите с най-големи задръствания. Местоположенията се избират въз основа на нуждите от пътища, пътническия капацитет на пътищата, нивото на задръствания на пътищата или конкретни свързани с бизнес развитието казуси.</w:t>
            </w:r>
          </w:p>
          <w:p w14:paraId="13C73564" w14:textId="77777777" w:rsidR="00736704" w:rsidRPr="008A0F8A" w:rsidRDefault="00736704" w:rsidP="00693327">
            <w:pPr>
              <w:spacing w:after="0" w:line="240" w:lineRule="auto"/>
              <w:rPr>
                <w:rFonts w:ascii="Times New Roman" w:eastAsia="Times New Roman" w:hAnsi="Times New Roman" w:cs="Times New Roman"/>
                <w:noProof/>
                <w:color w:val="006100"/>
                <w:sz w:val="20"/>
                <w:szCs w:val="20"/>
                <w:lang w:val="ru-RU"/>
              </w:rPr>
            </w:pPr>
          </w:p>
          <w:p w14:paraId="5C57F333" w14:textId="77777777" w:rsidR="00736704" w:rsidRPr="00225351" w:rsidRDefault="00736704" w:rsidP="00693327">
            <w:pPr>
              <w:spacing w:line="240" w:lineRule="auto"/>
              <w:jc w:val="both"/>
              <w:rPr>
                <w:rFonts w:ascii="Times New Roman" w:hAnsi="Times New Roman" w:cs="Times New Roman"/>
                <w:noProof/>
                <w:sz w:val="20"/>
                <w:szCs w:val="20"/>
              </w:rPr>
            </w:pPr>
            <w:r>
              <w:rPr>
                <w:rFonts w:ascii="Times New Roman" w:hAnsi="Times New Roman"/>
                <w:noProof/>
                <w:color w:val="006100"/>
                <w:sz w:val="20"/>
              </w:rPr>
              <w:t>Новите зарядни станции трябва да включват:</w:t>
            </w:r>
          </w:p>
          <w:p w14:paraId="3519DC5F" w14:textId="77777777" w:rsidR="00736704" w:rsidRPr="00225351" w:rsidRDefault="00736704" w:rsidP="0062519B">
            <w:pPr>
              <w:pStyle w:val="ListParagraph"/>
              <w:numPr>
                <w:ilvl w:val="0"/>
                <w:numId w:val="34"/>
              </w:numPr>
              <w:spacing w:line="240" w:lineRule="auto"/>
              <w:ind w:left="360"/>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най-малко 30 станции за бързо зареждане с постоянен ток и с мощност от 1—2 MW, разположени в автомагистрални центрове на TEN-T</w:t>
            </w:r>
          </w:p>
          <w:p w14:paraId="3C27F11E" w14:textId="77777777" w:rsidR="00736704" w:rsidRPr="00225351" w:rsidRDefault="00736704" w:rsidP="0062519B">
            <w:pPr>
              <w:pStyle w:val="ListParagraph"/>
              <w:numPr>
                <w:ilvl w:val="0"/>
                <w:numId w:val="34"/>
              </w:numPr>
              <w:spacing w:line="256" w:lineRule="auto"/>
              <w:ind w:left="360"/>
              <w:jc w:val="both"/>
              <w:rPr>
                <w:rFonts w:ascii="Times New Roman" w:hAnsi="Times New Roman" w:cs="Times New Roman"/>
                <w:noProof/>
                <w:sz w:val="20"/>
                <w:szCs w:val="20"/>
              </w:rPr>
            </w:pPr>
            <w:r>
              <w:rPr>
                <w:rFonts w:ascii="Times New Roman" w:hAnsi="Times New Roman"/>
                <w:noProof/>
                <w:color w:val="006100"/>
                <w:sz w:val="20"/>
              </w:rPr>
              <w:t>най-малко 325 станции за бързо зареждане с минимална изходна мощност от 50 kW, изградени в междуградски пътни мрежи и градове.</w:t>
            </w:r>
            <w:r>
              <w:rPr>
                <w:rFonts w:ascii="Times New Roman" w:hAnsi="Times New Roman"/>
                <w:noProof/>
                <w:color w:val="385623"/>
                <w:sz w:val="20"/>
              </w:rPr>
              <w:t xml:space="preserve"> </w:t>
            </w:r>
          </w:p>
        </w:tc>
      </w:tr>
      <w:tr w:rsidR="00225351" w:rsidRPr="005241FC" w14:paraId="2EE11988" w14:textId="77777777" w:rsidTr="00A80AF7">
        <w:trPr>
          <w:jc w:val="center"/>
        </w:trPr>
        <w:tc>
          <w:tcPr>
            <w:tcW w:w="689" w:type="dxa"/>
            <w:tcBorders>
              <w:top w:val="nil"/>
              <w:left w:val="single" w:sz="4" w:space="0" w:color="auto"/>
              <w:bottom w:val="single" w:sz="4" w:space="0" w:color="auto"/>
              <w:right w:val="single" w:sz="4" w:space="0" w:color="auto"/>
            </w:tcBorders>
            <w:shd w:val="clear" w:color="auto" w:fill="C6EFCE"/>
            <w:noWrap/>
          </w:tcPr>
          <w:p w14:paraId="0ADDB4B0" w14:textId="720E8D36" w:rsidR="00736704" w:rsidRPr="00225351" w:rsidRDefault="00EF6843" w:rsidP="00693327">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181</w:t>
            </w:r>
          </w:p>
        </w:tc>
        <w:tc>
          <w:tcPr>
            <w:tcW w:w="1275" w:type="dxa"/>
            <w:tcBorders>
              <w:top w:val="nil"/>
              <w:left w:val="nil"/>
              <w:bottom w:val="single" w:sz="4" w:space="0" w:color="auto"/>
              <w:right w:val="single" w:sz="4" w:space="0" w:color="auto"/>
            </w:tcBorders>
            <w:shd w:val="clear" w:color="auto" w:fill="C6EFCE"/>
            <w:noWrap/>
          </w:tcPr>
          <w:p w14:paraId="766988B8" w14:textId="285FFEB4" w:rsidR="00736704" w:rsidRPr="00225351" w:rsidRDefault="00152560"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К8.Р5: Електрическа мобилност</w:t>
            </w:r>
          </w:p>
        </w:tc>
        <w:tc>
          <w:tcPr>
            <w:tcW w:w="1150" w:type="dxa"/>
            <w:tcBorders>
              <w:top w:val="nil"/>
              <w:left w:val="nil"/>
              <w:bottom w:val="single" w:sz="4" w:space="0" w:color="auto"/>
              <w:right w:val="single" w:sz="4" w:space="0" w:color="auto"/>
            </w:tcBorders>
            <w:shd w:val="clear" w:color="auto" w:fill="C6EFCE"/>
            <w:noWrap/>
          </w:tcPr>
          <w:p w14:paraId="49AEF14E"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Цел</w:t>
            </w:r>
          </w:p>
        </w:tc>
        <w:tc>
          <w:tcPr>
            <w:tcW w:w="1417" w:type="dxa"/>
            <w:tcBorders>
              <w:top w:val="nil"/>
              <w:left w:val="nil"/>
              <w:bottom w:val="single" w:sz="4" w:space="0" w:color="auto"/>
              <w:right w:val="single" w:sz="4" w:space="0" w:color="auto"/>
            </w:tcBorders>
            <w:shd w:val="clear" w:color="auto" w:fill="C6EFCE"/>
            <w:noWrap/>
          </w:tcPr>
          <w:p w14:paraId="576C1DEB"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385623"/>
                <w:sz w:val="20"/>
              </w:rPr>
              <w:t>Зони с ниски емисии</w:t>
            </w:r>
          </w:p>
        </w:tc>
        <w:tc>
          <w:tcPr>
            <w:tcW w:w="1418" w:type="dxa"/>
            <w:tcBorders>
              <w:top w:val="nil"/>
              <w:left w:val="nil"/>
              <w:bottom w:val="single" w:sz="4" w:space="0" w:color="auto"/>
              <w:right w:val="single" w:sz="4" w:space="0" w:color="auto"/>
            </w:tcBorders>
            <w:shd w:val="clear" w:color="auto" w:fill="C6EFCE"/>
            <w:noWrap/>
          </w:tcPr>
          <w:p w14:paraId="69C49F61" w14:textId="11384B69" w:rsidR="00736704" w:rsidRPr="00225351" w:rsidRDefault="00736704" w:rsidP="00693327">
            <w:pPr>
              <w:spacing w:after="0" w:line="240" w:lineRule="auto"/>
              <w:rPr>
                <w:rFonts w:ascii="Times New Roman" w:eastAsia="Times New Roman" w:hAnsi="Times New Roman" w:cs="Times New Roman"/>
                <w:noProof/>
                <w:color w:val="385623" w:themeColor="accent6" w:themeShade="80"/>
                <w:sz w:val="20"/>
                <w:szCs w:val="20"/>
                <w:lang w:val="en-IE"/>
              </w:rPr>
            </w:pPr>
          </w:p>
        </w:tc>
        <w:tc>
          <w:tcPr>
            <w:tcW w:w="1417" w:type="dxa"/>
            <w:tcBorders>
              <w:top w:val="nil"/>
              <w:left w:val="nil"/>
              <w:bottom w:val="single" w:sz="4" w:space="0" w:color="auto"/>
              <w:right w:val="single" w:sz="4" w:space="0" w:color="auto"/>
            </w:tcBorders>
            <w:shd w:val="clear" w:color="auto" w:fill="C6EFCE"/>
            <w:noWrap/>
          </w:tcPr>
          <w:p w14:paraId="3723325E"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Брой</w:t>
            </w:r>
          </w:p>
        </w:tc>
        <w:tc>
          <w:tcPr>
            <w:tcW w:w="993" w:type="dxa"/>
            <w:tcBorders>
              <w:top w:val="nil"/>
              <w:left w:val="nil"/>
              <w:bottom w:val="single" w:sz="4" w:space="0" w:color="auto"/>
              <w:right w:val="single" w:sz="4" w:space="0" w:color="auto"/>
            </w:tcBorders>
            <w:shd w:val="clear" w:color="auto" w:fill="C6EFCE"/>
            <w:noWrap/>
          </w:tcPr>
          <w:p w14:paraId="5C5009BA"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385623"/>
                <w:sz w:val="20"/>
              </w:rPr>
              <w:t>0</w:t>
            </w:r>
          </w:p>
        </w:tc>
        <w:tc>
          <w:tcPr>
            <w:tcW w:w="992" w:type="dxa"/>
            <w:tcBorders>
              <w:top w:val="nil"/>
              <w:left w:val="nil"/>
              <w:bottom w:val="single" w:sz="4" w:space="0" w:color="auto"/>
              <w:right w:val="single" w:sz="4" w:space="0" w:color="auto"/>
            </w:tcBorders>
            <w:shd w:val="clear" w:color="auto" w:fill="C6EFCE"/>
            <w:noWrap/>
          </w:tcPr>
          <w:p w14:paraId="05920CA6"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385623"/>
                <w:sz w:val="20"/>
              </w:rPr>
              <w:t>3</w:t>
            </w:r>
          </w:p>
        </w:tc>
        <w:tc>
          <w:tcPr>
            <w:tcW w:w="850" w:type="dxa"/>
            <w:tcBorders>
              <w:top w:val="nil"/>
              <w:left w:val="nil"/>
              <w:bottom w:val="single" w:sz="4" w:space="0" w:color="auto"/>
              <w:right w:val="single" w:sz="4" w:space="0" w:color="auto"/>
            </w:tcBorders>
            <w:shd w:val="clear" w:color="auto" w:fill="C6EFCE"/>
            <w:noWrap/>
          </w:tcPr>
          <w:p w14:paraId="4EFBFB3E" w14:textId="77777777" w:rsidR="00736704" w:rsidRPr="00225351" w:rsidDel="00361A12" w:rsidRDefault="00736704" w:rsidP="00693327">
            <w:pPr>
              <w:spacing w:after="0" w:line="240" w:lineRule="auto"/>
              <w:rPr>
                <w:rFonts w:ascii="Times New Roman" w:eastAsia="Times New Roman" w:hAnsi="Times New Roman" w:cs="Times New Roman"/>
                <w:noProof/>
                <w:color w:val="385623"/>
                <w:sz w:val="20"/>
                <w:szCs w:val="20"/>
              </w:rPr>
            </w:pPr>
            <w:r>
              <w:rPr>
                <w:rFonts w:ascii="Times New Roman" w:hAnsi="Times New Roman"/>
                <w:noProof/>
                <w:color w:val="385623"/>
                <w:sz w:val="20"/>
              </w:rPr>
              <w:t>T2</w:t>
            </w:r>
          </w:p>
        </w:tc>
        <w:tc>
          <w:tcPr>
            <w:tcW w:w="709" w:type="dxa"/>
            <w:tcBorders>
              <w:top w:val="nil"/>
              <w:left w:val="nil"/>
              <w:bottom w:val="single" w:sz="4" w:space="0" w:color="auto"/>
              <w:right w:val="single" w:sz="4" w:space="0" w:color="auto"/>
            </w:tcBorders>
            <w:shd w:val="clear" w:color="auto" w:fill="C6EFCE"/>
            <w:noWrap/>
          </w:tcPr>
          <w:p w14:paraId="33E2698B"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385623"/>
                <w:sz w:val="20"/>
              </w:rPr>
              <w:t>2025</w:t>
            </w:r>
          </w:p>
        </w:tc>
        <w:tc>
          <w:tcPr>
            <w:tcW w:w="4540" w:type="dxa"/>
            <w:tcBorders>
              <w:top w:val="nil"/>
              <w:left w:val="nil"/>
              <w:bottom w:val="single" w:sz="4" w:space="0" w:color="auto"/>
              <w:right w:val="single" w:sz="4" w:space="0" w:color="auto"/>
            </w:tcBorders>
            <w:shd w:val="clear" w:color="auto" w:fill="C6EFCE"/>
            <w:noWrap/>
          </w:tcPr>
          <w:p w14:paraId="0FF7C22E" w14:textId="0402B31C" w:rsidR="00736704" w:rsidRPr="00225351" w:rsidRDefault="00736704" w:rsidP="00693327">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Трябва да бъдат въведени зони с ниски емисии в поне три областни града, всеки с население над 100 000 жители и общо население от най-малко 1,5 милиона души. Тези зони с ниски емисии трябва да са насочени към областните градове с най-високи нива на замърсяване и да обхващат широкия градския център. В тези зони трябва да се забрани достъпът и движението на най-замърсяващите автомобили (стандарт за емисии Евро 3 или по-нисък).</w:t>
            </w:r>
            <w:r>
              <w:rPr>
                <w:rFonts w:ascii="Times New Roman" w:hAnsi="Times New Roman"/>
                <w:i/>
                <w:noProof/>
                <w:color w:val="FF0000"/>
                <w:sz w:val="20"/>
              </w:rPr>
              <w:t xml:space="preserve"> </w:t>
            </w:r>
          </w:p>
        </w:tc>
      </w:tr>
      <w:tr w:rsidR="00225351" w:rsidRPr="005241FC" w14:paraId="2495639C" w14:textId="77777777" w:rsidTr="00A80AF7">
        <w:trPr>
          <w:jc w:val="center"/>
        </w:trPr>
        <w:tc>
          <w:tcPr>
            <w:tcW w:w="689" w:type="dxa"/>
            <w:tcBorders>
              <w:top w:val="nil"/>
              <w:left w:val="single" w:sz="4" w:space="0" w:color="auto"/>
              <w:bottom w:val="single" w:sz="4" w:space="0" w:color="auto"/>
              <w:right w:val="single" w:sz="4" w:space="0" w:color="auto"/>
            </w:tcBorders>
            <w:shd w:val="clear" w:color="auto" w:fill="C6EFCE"/>
            <w:noWrap/>
          </w:tcPr>
          <w:p w14:paraId="0C9D4070" w14:textId="23D90063" w:rsidR="00736704" w:rsidRPr="00225351" w:rsidRDefault="00130047" w:rsidP="00401D06">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182</w:t>
            </w:r>
          </w:p>
        </w:tc>
        <w:tc>
          <w:tcPr>
            <w:tcW w:w="1275" w:type="dxa"/>
            <w:tcBorders>
              <w:top w:val="nil"/>
              <w:left w:val="nil"/>
              <w:bottom w:val="single" w:sz="4" w:space="0" w:color="auto"/>
              <w:right w:val="single" w:sz="4" w:space="0" w:color="auto"/>
            </w:tcBorders>
            <w:shd w:val="clear" w:color="auto" w:fill="C6EFCE"/>
            <w:noWrap/>
          </w:tcPr>
          <w:p w14:paraId="07BDCDDA" w14:textId="6FA2A8C4" w:rsidR="00736704" w:rsidRPr="00225351" w:rsidRDefault="00152560"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К8.Р5: Електрическа мобилност</w:t>
            </w:r>
          </w:p>
        </w:tc>
        <w:tc>
          <w:tcPr>
            <w:tcW w:w="1150" w:type="dxa"/>
            <w:tcBorders>
              <w:top w:val="nil"/>
              <w:left w:val="nil"/>
              <w:bottom w:val="single" w:sz="4" w:space="0" w:color="auto"/>
              <w:right w:val="single" w:sz="4" w:space="0" w:color="auto"/>
            </w:tcBorders>
            <w:shd w:val="clear" w:color="auto" w:fill="C6EFCE"/>
            <w:noWrap/>
          </w:tcPr>
          <w:p w14:paraId="178ECA69"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Цел</w:t>
            </w:r>
          </w:p>
        </w:tc>
        <w:tc>
          <w:tcPr>
            <w:tcW w:w="1417" w:type="dxa"/>
            <w:tcBorders>
              <w:top w:val="nil"/>
              <w:left w:val="nil"/>
              <w:bottom w:val="single" w:sz="4" w:space="0" w:color="auto"/>
              <w:right w:val="single" w:sz="4" w:space="0" w:color="auto"/>
            </w:tcBorders>
            <w:shd w:val="clear" w:color="auto" w:fill="C6EFCE"/>
            <w:noWrap/>
          </w:tcPr>
          <w:p w14:paraId="5BF7EA0C"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Регистрирани превозни средства с нулеви и ниски емисии</w:t>
            </w:r>
          </w:p>
        </w:tc>
        <w:tc>
          <w:tcPr>
            <w:tcW w:w="1418" w:type="dxa"/>
            <w:tcBorders>
              <w:top w:val="nil"/>
              <w:left w:val="nil"/>
              <w:bottom w:val="single" w:sz="4" w:space="0" w:color="auto"/>
              <w:right w:val="single" w:sz="4" w:space="0" w:color="auto"/>
            </w:tcBorders>
            <w:shd w:val="clear" w:color="auto" w:fill="C6EFCE"/>
            <w:noWrap/>
          </w:tcPr>
          <w:p w14:paraId="50DAA846" w14:textId="77777777" w:rsidR="00736704" w:rsidRPr="008A0F8A" w:rsidRDefault="00736704" w:rsidP="00693327">
            <w:pPr>
              <w:spacing w:after="0" w:line="240" w:lineRule="auto"/>
              <w:rPr>
                <w:rFonts w:ascii="Times New Roman" w:eastAsia="Times New Roman" w:hAnsi="Times New Roman" w:cs="Times New Roman"/>
                <w:noProof/>
                <w:color w:val="006100"/>
                <w:sz w:val="20"/>
                <w:szCs w:val="20"/>
                <w:lang w:val="ru-RU"/>
              </w:rPr>
            </w:pPr>
          </w:p>
        </w:tc>
        <w:tc>
          <w:tcPr>
            <w:tcW w:w="1417" w:type="dxa"/>
            <w:tcBorders>
              <w:top w:val="nil"/>
              <w:left w:val="nil"/>
              <w:bottom w:val="single" w:sz="4" w:space="0" w:color="auto"/>
              <w:right w:val="single" w:sz="4" w:space="0" w:color="auto"/>
            </w:tcBorders>
            <w:shd w:val="clear" w:color="auto" w:fill="C6EFCE"/>
            <w:noWrap/>
          </w:tcPr>
          <w:p w14:paraId="6F765E11"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Брой</w:t>
            </w:r>
          </w:p>
        </w:tc>
        <w:tc>
          <w:tcPr>
            <w:tcW w:w="993" w:type="dxa"/>
            <w:tcBorders>
              <w:top w:val="nil"/>
              <w:left w:val="nil"/>
              <w:bottom w:val="single" w:sz="4" w:space="0" w:color="auto"/>
              <w:right w:val="single" w:sz="4" w:space="0" w:color="auto"/>
            </w:tcBorders>
            <w:shd w:val="clear" w:color="auto" w:fill="C6EFCE"/>
            <w:noWrap/>
          </w:tcPr>
          <w:p w14:paraId="2B03ADCF" w14:textId="63BC6CE5" w:rsidR="00736704" w:rsidRPr="00225351" w:rsidRDefault="001C00FB"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2500</w:t>
            </w:r>
          </w:p>
        </w:tc>
        <w:tc>
          <w:tcPr>
            <w:tcW w:w="992" w:type="dxa"/>
            <w:tcBorders>
              <w:top w:val="nil"/>
              <w:left w:val="nil"/>
              <w:bottom w:val="single" w:sz="4" w:space="0" w:color="auto"/>
              <w:right w:val="single" w:sz="4" w:space="0" w:color="auto"/>
            </w:tcBorders>
            <w:shd w:val="clear" w:color="auto" w:fill="C6EFCE"/>
            <w:noWrap/>
          </w:tcPr>
          <w:p w14:paraId="472FACF3" w14:textId="6178B8A1" w:rsidR="00736704" w:rsidRPr="00225351" w:rsidRDefault="001C00FB"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15000</w:t>
            </w:r>
          </w:p>
        </w:tc>
        <w:tc>
          <w:tcPr>
            <w:tcW w:w="850" w:type="dxa"/>
            <w:tcBorders>
              <w:top w:val="nil"/>
              <w:left w:val="nil"/>
              <w:bottom w:val="single" w:sz="4" w:space="0" w:color="auto"/>
              <w:right w:val="single" w:sz="4" w:space="0" w:color="auto"/>
            </w:tcBorders>
            <w:shd w:val="clear" w:color="auto" w:fill="C6EFCE"/>
            <w:noWrap/>
          </w:tcPr>
          <w:p w14:paraId="0B0ABC73" w14:textId="77777777" w:rsidR="00736704" w:rsidRPr="00225351" w:rsidDel="00361A12"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T2</w:t>
            </w:r>
          </w:p>
        </w:tc>
        <w:tc>
          <w:tcPr>
            <w:tcW w:w="709" w:type="dxa"/>
            <w:tcBorders>
              <w:top w:val="nil"/>
              <w:left w:val="nil"/>
              <w:bottom w:val="single" w:sz="4" w:space="0" w:color="auto"/>
              <w:right w:val="single" w:sz="4" w:space="0" w:color="auto"/>
            </w:tcBorders>
            <w:shd w:val="clear" w:color="auto" w:fill="C6EFCE"/>
            <w:noWrap/>
          </w:tcPr>
          <w:p w14:paraId="35EC36E8"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2024</w:t>
            </w:r>
          </w:p>
        </w:tc>
        <w:tc>
          <w:tcPr>
            <w:tcW w:w="4540" w:type="dxa"/>
            <w:tcBorders>
              <w:top w:val="nil"/>
              <w:left w:val="nil"/>
              <w:bottom w:val="single" w:sz="4" w:space="0" w:color="auto"/>
              <w:right w:val="single" w:sz="4" w:space="0" w:color="auto"/>
            </w:tcBorders>
            <w:shd w:val="clear" w:color="auto" w:fill="C6EFCE"/>
            <w:noWrap/>
          </w:tcPr>
          <w:p w14:paraId="420345C9" w14:textId="77777777" w:rsidR="00736704" w:rsidRPr="00225351" w:rsidRDefault="00736704" w:rsidP="00693327">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До средата на 2024 г. в България трябва да бъдат регистрирани нови или използвани превозни средства с нулеви и ниски емисии (т.е. електрически и водородни, включително хибридни електрически превозни средства с възможност за включване към електрическата мрежа) (M1 — леки пътнически автомобили, N1 — леки търговски превозни средства; N2 и N3 — тежкотоварни превозни средства, въз основа на стандартите на Икономическата комисия за Европа на Организацията на обединените нации). </w:t>
            </w:r>
          </w:p>
          <w:p w14:paraId="12991241" w14:textId="77777777" w:rsidR="00736704" w:rsidRPr="00225351" w:rsidRDefault="00736704" w:rsidP="00693327">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Базовата стойност се отнася за броя на регистрираните към края на 2020 г. такива превозни средства.</w:t>
            </w:r>
          </w:p>
          <w:p w14:paraId="155E001D" w14:textId="77777777" w:rsidR="00736704" w:rsidRPr="00225351" w:rsidRDefault="00736704" w:rsidP="00693327">
            <w:pPr>
              <w:pStyle w:val="Default"/>
              <w:jc w:val="both"/>
              <w:rPr>
                <w:rFonts w:eastAsia="Times New Roman"/>
                <w:noProof/>
                <w:color w:val="006100"/>
                <w:sz w:val="20"/>
                <w:szCs w:val="20"/>
              </w:rPr>
            </w:pPr>
            <w:r>
              <w:rPr>
                <w:noProof/>
                <w:color w:val="006100"/>
                <w:sz w:val="20"/>
              </w:rPr>
              <w:t>За целите на мониторинга Националният статистически институт трябва да докладва официалните данни на Европейската обсерватория за алтернативни горива.</w:t>
            </w:r>
          </w:p>
          <w:p w14:paraId="52370A5D" w14:textId="77777777" w:rsidR="00736704" w:rsidRPr="008A0F8A" w:rsidRDefault="00736704" w:rsidP="00693327">
            <w:pPr>
              <w:spacing w:after="0" w:line="240" w:lineRule="auto"/>
              <w:jc w:val="both"/>
              <w:rPr>
                <w:rFonts w:ascii="Times New Roman" w:eastAsia="Times New Roman" w:hAnsi="Times New Roman" w:cs="Times New Roman"/>
                <w:noProof/>
                <w:color w:val="006100"/>
                <w:sz w:val="20"/>
                <w:szCs w:val="20"/>
                <w:lang w:val="ru-RU"/>
              </w:rPr>
            </w:pPr>
          </w:p>
        </w:tc>
      </w:tr>
      <w:tr w:rsidR="00225351" w:rsidRPr="005241FC" w14:paraId="34EA2409" w14:textId="77777777" w:rsidTr="00A80AF7">
        <w:trPr>
          <w:jc w:val="center"/>
        </w:trPr>
        <w:tc>
          <w:tcPr>
            <w:tcW w:w="689" w:type="dxa"/>
            <w:tcBorders>
              <w:top w:val="nil"/>
              <w:left w:val="single" w:sz="4" w:space="0" w:color="auto"/>
              <w:bottom w:val="single" w:sz="4" w:space="0" w:color="auto"/>
              <w:right w:val="single" w:sz="4" w:space="0" w:color="auto"/>
            </w:tcBorders>
            <w:shd w:val="clear" w:color="auto" w:fill="C6EFCE"/>
            <w:noWrap/>
          </w:tcPr>
          <w:p w14:paraId="121B18A3" w14:textId="7827A9F4" w:rsidR="00736704" w:rsidRPr="00225351" w:rsidRDefault="00EF6843" w:rsidP="00693327">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183</w:t>
            </w:r>
          </w:p>
        </w:tc>
        <w:tc>
          <w:tcPr>
            <w:tcW w:w="1275" w:type="dxa"/>
            <w:tcBorders>
              <w:top w:val="nil"/>
              <w:left w:val="nil"/>
              <w:bottom w:val="single" w:sz="4" w:space="0" w:color="auto"/>
              <w:right w:val="single" w:sz="4" w:space="0" w:color="auto"/>
            </w:tcBorders>
            <w:shd w:val="clear" w:color="auto" w:fill="C6EFCE"/>
            <w:noWrap/>
          </w:tcPr>
          <w:p w14:paraId="348CEB33" w14:textId="5A67FF09" w:rsidR="00736704" w:rsidRPr="00225351" w:rsidRDefault="00152560"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К8.Р5: Електрическа мобилност</w:t>
            </w:r>
          </w:p>
        </w:tc>
        <w:tc>
          <w:tcPr>
            <w:tcW w:w="1150" w:type="dxa"/>
            <w:tcBorders>
              <w:top w:val="nil"/>
              <w:left w:val="nil"/>
              <w:bottom w:val="single" w:sz="4" w:space="0" w:color="auto"/>
              <w:right w:val="single" w:sz="4" w:space="0" w:color="auto"/>
            </w:tcBorders>
            <w:shd w:val="clear" w:color="auto" w:fill="C6EFCE"/>
            <w:noWrap/>
          </w:tcPr>
          <w:p w14:paraId="1D27D008"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Цел</w:t>
            </w:r>
          </w:p>
        </w:tc>
        <w:tc>
          <w:tcPr>
            <w:tcW w:w="1417" w:type="dxa"/>
            <w:tcBorders>
              <w:top w:val="nil"/>
              <w:left w:val="nil"/>
              <w:bottom w:val="single" w:sz="4" w:space="0" w:color="auto"/>
              <w:right w:val="single" w:sz="4" w:space="0" w:color="auto"/>
            </w:tcBorders>
            <w:shd w:val="clear" w:color="auto" w:fill="C6EFCE"/>
            <w:noWrap/>
          </w:tcPr>
          <w:p w14:paraId="1B6487D8"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Регистрирани превозни средства с нулеви и ниски емисии</w:t>
            </w:r>
          </w:p>
        </w:tc>
        <w:tc>
          <w:tcPr>
            <w:tcW w:w="1418" w:type="dxa"/>
            <w:tcBorders>
              <w:top w:val="nil"/>
              <w:left w:val="nil"/>
              <w:bottom w:val="single" w:sz="4" w:space="0" w:color="auto"/>
              <w:right w:val="single" w:sz="4" w:space="0" w:color="auto"/>
            </w:tcBorders>
            <w:shd w:val="clear" w:color="auto" w:fill="C6EFCE"/>
            <w:noWrap/>
          </w:tcPr>
          <w:p w14:paraId="7ABC2123" w14:textId="77777777" w:rsidR="00736704" w:rsidRPr="008A0F8A" w:rsidRDefault="00736704" w:rsidP="00693327">
            <w:pPr>
              <w:spacing w:after="0" w:line="240" w:lineRule="auto"/>
              <w:rPr>
                <w:rFonts w:ascii="Times New Roman" w:eastAsia="Times New Roman" w:hAnsi="Times New Roman" w:cs="Times New Roman"/>
                <w:noProof/>
                <w:color w:val="006100"/>
                <w:sz w:val="20"/>
                <w:szCs w:val="20"/>
                <w:lang w:val="ru-RU"/>
              </w:rPr>
            </w:pPr>
          </w:p>
        </w:tc>
        <w:tc>
          <w:tcPr>
            <w:tcW w:w="1417" w:type="dxa"/>
            <w:tcBorders>
              <w:top w:val="nil"/>
              <w:left w:val="nil"/>
              <w:bottom w:val="single" w:sz="4" w:space="0" w:color="auto"/>
              <w:right w:val="single" w:sz="4" w:space="0" w:color="auto"/>
            </w:tcBorders>
            <w:shd w:val="clear" w:color="auto" w:fill="C6EFCE"/>
            <w:noWrap/>
          </w:tcPr>
          <w:p w14:paraId="1E503A59"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Брой</w:t>
            </w:r>
          </w:p>
        </w:tc>
        <w:tc>
          <w:tcPr>
            <w:tcW w:w="993" w:type="dxa"/>
            <w:tcBorders>
              <w:top w:val="nil"/>
              <w:left w:val="nil"/>
              <w:bottom w:val="single" w:sz="4" w:space="0" w:color="auto"/>
              <w:right w:val="single" w:sz="4" w:space="0" w:color="auto"/>
            </w:tcBorders>
            <w:shd w:val="clear" w:color="auto" w:fill="C6EFCE"/>
            <w:noWrap/>
          </w:tcPr>
          <w:p w14:paraId="06DB1AEA" w14:textId="3D651ABC" w:rsidR="00736704" w:rsidRPr="00225351" w:rsidRDefault="001C00FB"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15000</w:t>
            </w:r>
          </w:p>
        </w:tc>
        <w:tc>
          <w:tcPr>
            <w:tcW w:w="992" w:type="dxa"/>
            <w:tcBorders>
              <w:top w:val="nil"/>
              <w:left w:val="nil"/>
              <w:bottom w:val="single" w:sz="4" w:space="0" w:color="auto"/>
              <w:right w:val="single" w:sz="4" w:space="0" w:color="auto"/>
            </w:tcBorders>
            <w:shd w:val="clear" w:color="auto" w:fill="C6EFCE"/>
            <w:noWrap/>
          </w:tcPr>
          <w:p w14:paraId="1EA4276D" w14:textId="66AD5710" w:rsidR="00736704" w:rsidRPr="00225351" w:rsidRDefault="001C00FB"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30000</w:t>
            </w:r>
          </w:p>
        </w:tc>
        <w:tc>
          <w:tcPr>
            <w:tcW w:w="850" w:type="dxa"/>
            <w:tcBorders>
              <w:top w:val="nil"/>
              <w:left w:val="nil"/>
              <w:bottom w:val="single" w:sz="4" w:space="0" w:color="auto"/>
              <w:right w:val="single" w:sz="4" w:space="0" w:color="auto"/>
            </w:tcBorders>
            <w:shd w:val="clear" w:color="auto" w:fill="C6EFCE"/>
            <w:noWrap/>
          </w:tcPr>
          <w:p w14:paraId="1A893EB7" w14:textId="77777777" w:rsidR="00736704" w:rsidRPr="00225351" w:rsidDel="00361A12"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T2</w:t>
            </w:r>
          </w:p>
        </w:tc>
        <w:tc>
          <w:tcPr>
            <w:tcW w:w="709" w:type="dxa"/>
            <w:tcBorders>
              <w:top w:val="nil"/>
              <w:left w:val="nil"/>
              <w:bottom w:val="single" w:sz="4" w:space="0" w:color="auto"/>
              <w:right w:val="single" w:sz="4" w:space="0" w:color="auto"/>
            </w:tcBorders>
            <w:shd w:val="clear" w:color="auto" w:fill="C6EFCE"/>
            <w:noWrap/>
          </w:tcPr>
          <w:p w14:paraId="1E37BC36"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2026</w:t>
            </w:r>
          </w:p>
        </w:tc>
        <w:tc>
          <w:tcPr>
            <w:tcW w:w="4540" w:type="dxa"/>
            <w:tcBorders>
              <w:top w:val="nil"/>
              <w:left w:val="nil"/>
              <w:bottom w:val="single" w:sz="4" w:space="0" w:color="auto"/>
              <w:right w:val="single" w:sz="4" w:space="0" w:color="auto"/>
            </w:tcBorders>
            <w:shd w:val="clear" w:color="auto" w:fill="C6EFCE"/>
            <w:noWrap/>
          </w:tcPr>
          <w:p w14:paraId="5B3C3344" w14:textId="77777777" w:rsidR="00736704" w:rsidRPr="00225351" w:rsidRDefault="00736704" w:rsidP="00693327">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До средата на 2026 г. в България трябва да бъдат регистрирани нови или използвани превозни средства с нулеви и ниски емисии (т.е. електрически и водородни, включително хибридни електрически превозни средства с възможност за включване към електрическата мрежа) (M1 — леки пътнически автомобили, N1 — леки търговски превозни средства; N2 и N3 — тежкотоварни превозни средства, въз основа на стандартите на Икономическата комисия за Европа на Организацията на обединените нации).</w:t>
            </w:r>
          </w:p>
          <w:p w14:paraId="2F8794C4" w14:textId="77777777" w:rsidR="00736704" w:rsidRPr="00225351" w:rsidRDefault="00736704" w:rsidP="00693327">
            <w:pPr>
              <w:pStyle w:val="Default"/>
              <w:jc w:val="both"/>
              <w:rPr>
                <w:rFonts w:eastAsia="Times New Roman"/>
                <w:noProof/>
                <w:color w:val="006100"/>
                <w:sz w:val="20"/>
                <w:szCs w:val="20"/>
              </w:rPr>
            </w:pPr>
          </w:p>
          <w:p w14:paraId="7F62ED9A" w14:textId="77777777" w:rsidR="00736704" w:rsidRPr="00225351" w:rsidRDefault="00736704" w:rsidP="00693327">
            <w:pPr>
              <w:pStyle w:val="Default"/>
              <w:jc w:val="both"/>
              <w:rPr>
                <w:rFonts w:eastAsia="Times New Roman"/>
                <w:noProof/>
                <w:color w:val="006100"/>
                <w:sz w:val="20"/>
                <w:szCs w:val="20"/>
              </w:rPr>
            </w:pPr>
            <w:r>
              <w:rPr>
                <w:noProof/>
                <w:color w:val="006100"/>
                <w:sz w:val="20"/>
              </w:rPr>
              <w:t>За целите на мониторинга Националният статистически институт трябва да докладва официалните данни на Европейската обсерватория за алтернативни горива.</w:t>
            </w:r>
          </w:p>
          <w:p w14:paraId="11423B50" w14:textId="77777777" w:rsidR="00736704" w:rsidRPr="008A0F8A" w:rsidRDefault="00736704" w:rsidP="00693327">
            <w:pPr>
              <w:spacing w:after="0" w:line="240" w:lineRule="auto"/>
              <w:rPr>
                <w:rFonts w:ascii="Times New Roman" w:eastAsia="Times New Roman" w:hAnsi="Times New Roman" w:cs="Times New Roman"/>
                <w:noProof/>
                <w:color w:val="006100"/>
                <w:sz w:val="20"/>
                <w:szCs w:val="20"/>
                <w:lang w:val="ru-RU"/>
              </w:rPr>
            </w:pPr>
          </w:p>
        </w:tc>
      </w:tr>
      <w:tr w:rsidR="00225351" w:rsidRPr="005241FC" w14:paraId="65A27C99" w14:textId="77777777" w:rsidTr="00A80AF7">
        <w:trPr>
          <w:jc w:val="center"/>
        </w:trPr>
        <w:tc>
          <w:tcPr>
            <w:tcW w:w="689" w:type="dxa"/>
            <w:tcBorders>
              <w:top w:val="nil"/>
              <w:left w:val="single" w:sz="4" w:space="0" w:color="auto"/>
              <w:bottom w:val="single" w:sz="4" w:space="0" w:color="auto"/>
              <w:right w:val="single" w:sz="4" w:space="0" w:color="auto"/>
            </w:tcBorders>
            <w:shd w:val="clear" w:color="auto" w:fill="C6EFCE"/>
            <w:noWrap/>
          </w:tcPr>
          <w:p w14:paraId="15753B0C" w14:textId="16066A3F" w:rsidR="00736704" w:rsidRPr="00225351" w:rsidRDefault="00736704" w:rsidP="00693327">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 184</w:t>
            </w:r>
          </w:p>
        </w:tc>
        <w:tc>
          <w:tcPr>
            <w:tcW w:w="1275" w:type="dxa"/>
            <w:tcBorders>
              <w:top w:val="nil"/>
              <w:left w:val="nil"/>
              <w:bottom w:val="single" w:sz="4" w:space="0" w:color="auto"/>
              <w:right w:val="single" w:sz="4" w:space="0" w:color="auto"/>
            </w:tcBorders>
            <w:shd w:val="clear" w:color="auto" w:fill="C6EFCE"/>
            <w:noWrap/>
          </w:tcPr>
          <w:p w14:paraId="4D6703AA" w14:textId="05393CC3" w:rsidR="00736704" w:rsidRPr="00225351" w:rsidRDefault="00152560" w:rsidP="0015256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К8.И1: Железопътен подвижен състав</w:t>
            </w:r>
          </w:p>
        </w:tc>
        <w:tc>
          <w:tcPr>
            <w:tcW w:w="1150" w:type="dxa"/>
            <w:tcBorders>
              <w:top w:val="nil"/>
              <w:left w:val="nil"/>
              <w:bottom w:val="single" w:sz="4" w:space="0" w:color="auto"/>
              <w:right w:val="single" w:sz="4" w:space="0" w:color="auto"/>
            </w:tcBorders>
            <w:shd w:val="clear" w:color="auto" w:fill="C6EFCE"/>
            <w:noWrap/>
          </w:tcPr>
          <w:p w14:paraId="04047577"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417" w:type="dxa"/>
            <w:tcBorders>
              <w:top w:val="nil"/>
              <w:left w:val="nil"/>
              <w:bottom w:val="single" w:sz="4" w:space="0" w:color="auto"/>
              <w:right w:val="single" w:sz="4" w:space="0" w:color="auto"/>
            </w:tcBorders>
            <w:shd w:val="clear" w:color="auto" w:fill="C6EFCE"/>
            <w:noWrap/>
          </w:tcPr>
          <w:p w14:paraId="3A1B0E81"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Договор(и) за доставка на нов железопътен подвижен състав с нулеви емисии за крайградски и междурегионални превози и маневрени локомотиви</w:t>
            </w:r>
          </w:p>
          <w:p w14:paraId="3B082E26" w14:textId="77777777" w:rsidR="00736704" w:rsidRPr="008A0F8A" w:rsidRDefault="00736704" w:rsidP="00693327">
            <w:pPr>
              <w:spacing w:after="0" w:line="240" w:lineRule="auto"/>
              <w:rPr>
                <w:rFonts w:ascii="Times New Roman" w:eastAsia="Times New Roman" w:hAnsi="Times New Roman" w:cs="Times New Roman"/>
                <w:noProof/>
                <w:color w:val="006100"/>
                <w:sz w:val="20"/>
                <w:szCs w:val="20"/>
                <w:lang w:val="ru-RU"/>
              </w:rPr>
            </w:pPr>
          </w:p>
        </w:tc>
        <w:tc>
          <w:tcPr>
            <w:tcW w:w="1418" w:type="dxa"/>
            <w:tcBorders>
              <w:top w:val="nil"/>
              <w:left w:val="nil"/>
              <w:bottom w:val="single" w:sz="4" w:space="0" w:color="auto"/>
              <w:right w:val="single" w:sz="4" w:space="0" w:color="auto"/>
            </w:tcBorders>
            <w:shd w:val="clear" w:color="auto" w:fill="C6EFCE"/>
            <w:noWrap/>
          </w:tcPr>
          <w:p w14:paraId="43DF45FD" w14:textId="77777777" w:rsidR="00736704" w:rsidRPr="00225351" w:rsidRDefault="00736704" w:rsidP="00693327">
            <w:pPr>
              <w:spacing w:after="0" w:line="240" w:lineRule="auto"/>
              <w:rPr>
                <w:rFonts w:ascii="Times New Roman" w:eastAsia="Calibri" w:hAnsi="Times New Roman" w:cs="Times New Roman"/>
                <w:noProof/>
                <w:color w:val="004377"/>
                <w:sz w:val="20"/>
                <w:szCs w:val="20"/>
                <w:u w:val="single"/>
              </w:rPr>
            </w:pPr>
            <w:r>
              <w:rPr>
                <w:rFonts w:ascii="Times New Roman" w:hAnsi="Times New Roman"/>
                <w:noProof/>
                <w:color w:val="006100"/>
                <w:sz w:val="20"/>
              </w:rPr>
              <w:t>Подписване на договор(и) след открита(и) и конкурентна(и) процедура(и) за възлагане</w:t>
            </w:r>
          </w:p>
        </w:tc>
        <w:tc>
          <w:tcPr>
            <w:tcW w:w="1417" w:type="dxa"/>
            <w:tcBorders>
              <w:top w:val="nil"/>
              <w:left w:val="nil"/>
              <w:bottom w:val="single" w:sz="4" w:space="0" w:color="auto"/>
              <w:right w:val="single" w:sz="4" w:space="0" w:color="auto"/>
            </w:tcBorders>
            <w:shd w:val="clear" w:color="auto" w:fill="C6EFCE"/>
            <w:noWrap/>
          </w:tcPr>
          <w:p w14:paraId="678CE11C"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993" w:type="dxa"/>
            <w:tcBorders>
              <w:top w:val="nil"/>
              <w:left w:val="nil"/>
              <w:bottom w:val="single" w:sz="4" w:space="0" w:color="auto"/>
              <w:right w:val="single" w:sz="4" w:space="0" w:color="auto"/>
            </w:tcBorders>
            <w:shd w:val="clear" w:color="auto" w:fill="C6EFCE"/>
            <w:noWrap/>
          </w:tcPr>
          <w:p w14:paraId="22A4E616"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992" w:type="dxa"/>
            <w:tcBorders>
              <w:top w:val="nil"/>
              <w:left w:val="nil"/>
              <w:bottom w:val="single" w:sz="4" w:space="0" w:color="auto"/>
              <w:right w:val="single" w:sz="4" w:space="0" w:color="auto"/>
            </w:tcBorders>
            <w:shd w:val="clear" w:color="auto" w:fill="C6EFCE"/>
            <w:noWrap/>
          </w:tcPr>
          <w:p w14:paraId="2B1B9796"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850" w:type="dxa"/>
            <w:tcBorders>
              <w:top w:val="nil"/>
              <w:left w:val="nil"/>
              <w:bottom w:val="single" w:sz="4" w:space="0" w:color="auto"/>
              <w:right w:val="single" w:sz="4" w:space="0" w:color="auto"/>
            </w:tcBorders>
            <w:shd w:val="clear" w:color="auto" w:fill="C6EFCE"/>
            <w:noWrap/>
          </w:tcPr>
          <w:p w14:paraId="5C9314CE" w14:textId="0D110C00" w:rsidR="00736704" w:rsidRPr="00225351" w:rsidRDefault="00736704" w:rsidP="00693327">
            <w:pPr>
              <w:spacing w:after="0" w:line="240" w:lineRule="auto"/>
              <w:rPr>
                <w:rFonts w:ascii="Times New Roman" w:eastAsia="Times New Roman" w:hAnsi="Times New Roman" w:cs="Times New Roman"/>
                <w:noProof/>
                <w:color w:val="FF0000"/>
                <w:sz w:val="20"/>
                <w:szCs w:val="20"/>
              </w:rPr>
            </w:pPr>
            <w:r>
              <w:rPr>
                <w:rFonts w:ascii="Times New Roman" w:hAnsi="Times New Roman"/>
                <w:noProof/>
                <w:color w:val="006100"/>
                <w:sz w:val="20"/>
              </w:rPr>
              <w:t>T1</w:t>
            </w:r>
          </w:p>
        </w:tc>
        <w:tc>
          <w:tcPr>
            <w:tcW w:w="709" w:type="dxa"/>
            <w:tcBorders>
              <w:top w:val="nil"/>
              <w:left w:val="nil"/>
              <w:bottom w:val="single" w:sz="4" w:space="0" w:color="auto"/>
              <w:right w:val="single" w:sz="4" w:space="0" w:color="auto"/>
            </w:tcBorders>
            <w:shd w:val="clear" w:color="auto" w:fill="C6EFCE"/>
            <w:noWrap/>
          </w:tcPr>
          <w:p w14:paraId="11920F56" w14:textId="62061698" w:rsidR="00736704" w:rsidRPr="00225351" w:rsidRDefault="00736704" w:rsidP="00693327">
            <w:pPr>
              <w:spacing w:after="0" w:line="240" w:lineRule="auto"/>
              <w:rPr>
                <w:rFonts w:ascii="Times New Roman" w:eastAsia="Times New Roman" w:hAnsi="Times New Roman" w:cs="Times New Roman"/>
                <w:noProof/>
                <w:color w:val="FF0000"/>
                <w:sz w:val="20"/>
                <w:szCs w:val="20"/>
              </w:rPr>
            </w:pPr>
            <w:r>
              <w:rPr>
                <w:rFonts w:ascii="Times New Roman" w:hAnsi="Times New Roman"/>
                <w:noProof/>
                <w:color w:val="006100"/>
                <w:sz w:val="20"/>
              </w:rPr>
              <w:t>2023</w:t>
            </w:r>
          </w:p>
        </w:tc>
        <w:tc>
          <w:tcPr>
            <w:tcW w:w="4540" w:type="dxa"/>
            <w:tcBorders>
              <w:top w:val="nil"/>
              <w:left w:val="nil"/>
              <w:bottom w:val="single" w:sz="4" w:space="0" w:color="auto"/>
              <w:right w:val="single" w:sz="4" w:space="0" w:color="auto"/>
            </w:tcBorders>
            <w:shd w:val="clear" w:color="auto" w:fill="C6EFCE"/>
            <w:noWrap/>
          </w:tcPr>
          <w:p w14:paraId="2B630A52" w14:textId="77777777" w:rsidR="00736704" w:rsidRPr="00225351" w:rsidRDefault="00736704" w:rsidP="00693327">
            <w:pPr>
              <w:spacing w:after="24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Трябва да бъде(ат) подписан(и) договор(и) след открита(и) публична(и) и недискриминационна(и) конкурентна(и) процедура(и) за възлагане за закупуване на: </w:t>
            </w:r>
          </w:p>
          <w:p w14:paraId="118FA87C" w14:textId="769DF14A" w:rsidR="00736704" w:rsidRPr="00225351" w:rsidRDefault="00736704" w:rsidP="00693327">
            <w:pPr>
              <w:spacing w:after="24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- 42 електрически мотрисни влака (ЕМВ) за пътнически услуги в крайградския транспорт с максимална скорост от 160 km/h, оборудвани с бордова апаратура за ERTMS — 7 двуетажни ЕМВ с минимален капацитет от 300 места за сядане и 35 едноетажни ЕМВ с минимален капацитет от 200 места за сядане;</w:t>
            </w:r>
          </w:p>
          <w:p w14:paraId="4F3F5578" w14:textId="77777777" w:rsidR="00736704" w:rsidRPr="00225351" w:rsidRDefault="00736704" w:rsidP="00693327">
            <w:pPr>
              <w:spacing w:after="24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- 20 влакови композиции с двустранно (бутане-теглене) управление за междурегионален транспорт, включително оборудвани с бордова апаратура за ERTMS локомотиви с максимална скорост от 200 km/h;</w:t>
            </w:r>
          </w:p>
          <w:p w14:paraId="4BBEADD1" w14:textId="77777777" w:rsidR="00736704" w:rsidRPr="00225351" w:rsidRDefault="00736704" w:rsidP="00693327">
            <w:pPr>
              <w:spacing w:after="24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- 18 дистанционно управлявани маневрени локомотива с акумулаторна батерия.</w:t>
            </w:r>
          </w:p>
          <w:p w14:paraId="6D1F00DE" w14:textId="77777777" w:rsidR="00736704" w:rsidRPr="00225351" w:rsidRDefault="00736704" w:rsidP="00693327">
            <w:pPr>
              <w:spacing w:after="24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Новият подвижен състав трябва да бъде с нулеви емисии в съответствие с принципа за ненанасяне на значителни вреди.</w:t>
            </w:r>
          </w:p>
          <w:p w14:paraId="59712B99" w14:textId="0EBB8F3D" w:rsidR="00736704" w:rsidRPr="00225351" w:rsidRDefault="00736704" w:rsidP="00BB7BE6">
            <w:pPr>
              <w:spacing w:after="240" w:line="240" w:lineRule="auto"/>
              <w:jc w:val="both"/>
              <w:rPr>
                <w:rFonts w:ascii="Times New Roman" w:eastAsia="Times New Roman" w:hAnsi="Times New Roman" w:cs="Times New Roman"/>
                <w:noProof/>
                <w:color w:val="FF0000"/>
                <w:sz w:val="20"/>
                <w:szCs w:val="20"/>
              </w:rPr>
            </w:pPr>
            <w:r>
              <w:rPr>
                <w:rFonts w:ascii="Times New Roman" w:hAnsi="Times New Roman"/>
                <w:noProof/>
                <w:color w:val="006100"/>
                <w:sz w:val="20"/>
              </w:rPr>
              <w:t>Българското Министерство на транспорта и съобщенията трябва да стане собственик на влаковите композиции (т.е. ЕМВ, влаковете с двустранно (бутане-теглене) управление и маневрените локомотиви с акумулаторна батерия). Съгласно договора за задължението за извършване на обществена услуга собствеността трябва да не може да бъде прехвърлена на избраното железопътно предприятие. Железопътното предприятие в качеството си на оператор трябва да стане само временен ползвател/държател.</w:t>
            </w:r>
          </w:p>
        </w:tc>
      </w:tr>
      <w:tr w:rsidR="00225351" w:rsidRPr="005241FC" w14:paraId="062DF14E" w14:textId="77777777" w:rsidTr="00A80AF7">
        <w:trPr>
          <w:jc w:val="center"/>
        </w:trPr>
        <w:tc>
          <w:tcPr>
            <w:tcW w:w="689" w:type="dxa"/>
            <w:tcBorders>
              <w:top w:val="nil"/>
              <w:left w:val="single" w:sz="4" w:space="0" w:color="auto"/>
              <w:bottom w:val="single" w:sz="4" w:space="0" w:color="auto"/>
              <w:right w:val="single" w:sz="4" w:space="0" w:color="auto"/>
            </w:tcBorders>
            <w:shd w:val="clear" w:color="auto" w:fill="C6EFCE"/>
            <w:noWrap/>
          </w:tcPr>
          <w:p w14:paraId="2592E8A1" w14:textId="1693D2E0" w:rsidR="00736704" w:rsidRPr="00225351" w:rsidRDefault="00736704" w:rsidP="00693327">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 185</w:t>
            </w:r>
          </w:p>
        </w:tc>
        <w:tc>
          <w:tcPr>
            <w:tcW w:w="1275" w:type="dxa"/>
            <w:tcBorders>
              <w:top w:val="nil"/>
              <w:left w:val="nil"/>
              <w:bottom w:val="single" w:sz="4" w:space="0" w:color="auto"/>
              <w:right w:val="single" w:sz="4" w:space="0" w:color="auto"/>
            </w:tcBorders>
            <w:shd w:val="clear" w:color="auto" w:fill="C6EFCE"/>
            <w:noWrap/>
          </w:tcPr>
          <w:p w14:paraId="0FF3234F" w14:textId="1D4D87DC" w:rsidR="00736704" w:rsidRPr="00225351" w:rsidRDefault="00152560"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К8.И1: Железопътен подвижен състав</w:t>
            </w:r>
          </w:p>
        </w:tc>
        <w:tc>
          <w:tcPr>
            <w:tcW w:w="1150" w:type="dxa"/>
            <w:tcBorders>
              <w:top w:val="nil"/>
              <w:left w:val="nil"/>
              <w:bottom w:val="single" w:sz="4" w:space="0" w:color="auto"/>
              <w:right w:val="single" w:sz="4" w:space="0" w:color="auto"/>
            </w:tcBorders>
            <w:shd w:val="clear" w:color="auto" w:fill="C6EFCE"/>
            <w:noWrap/>
          </w:tcPr>
          <w:p w14:paraId="7D9E57BA"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Цел</w:t>
            </w:r>
          </w:p>
        </w:tc>
        <w:tc>
          <w:tcPr>
            <w:tcW w:w="1417" w:type="dxa"/>
            <w:tcBorders>
              <w:top w:val="nil"/>
              <w:left w:val="nil"/>
              <w:bottom w:val="single" w:sz="4" w:space="0" w:color="auto"/>
              <w:right w:val="single" w:sz="4" w:space="0" w:color="auto"/>
            </w:tcBorders>
            <w:shd w:val="clear" w:color="auto" w:fill="C6EFCE"/>
            <w:noWrap/>
          </w:tcPr>
          <w:p w14:paraId="3E986618"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Въвеждане в експлоатация на нов железопътен подвижен състав с нулеви емисии (I)</w:t>
            </w:r>
          </w:p>
          <w:p w14:paraId="7791735E" w14:textId="77777777" w:rsidR="00736704" w:rsidRPr="008A0F8A" w:rsidRDefault="00736704" w:rsidP="00693327">
            <w:pPr>
              <w:spacing w:after="0" w:line="240" w:lineRule="auto"/>
              <w:rPr>
                <w:rFonts w:ascii="Times New Roman" w:eastAsia="Times New Roman" w:hAnsi="Times New Roman" w:cs="Times New Roman"/>
                <w:noProof/>
                <w:color w:val="006100"/>
                <w:sz w:val="20"/>
                <w:szCs w:val="20"/>
                <w:lang w:val="ru-RU"/>
              </w:rPr>
            </w:pPr>
          </w:p>
        </w:tc>
        <w:tc>
          <w:tcPr>
            <w:tcW w:w="1418" w:type="dxa"/>
            <w:tcBorders>
              <w:top w:val="nil"/>
              <w:left w:val="nil"/>
              <w:bottom w:val="single" w:sz="4" w:space="0" w:color="auto"/>
              <w:right w:val="single" w:sz="4" w:space="0" w:color="auto"/>
            </w:tcBorders>
            <w:shd w:val="clear" w:color="auto" w:fill="C6EFCE"/>
            <w:noWrap/>
          </w:tcPr>
          <w:p w14:paraId="2203D662" w14:textId="77777777" w:rsidR="00736704" w:rsidRPr="008A0F8A" w:rsidRDefault="00736704" w:rsidP="00693327">
            <w:pPr>
              <w:spacing w:after="0" w:line="240" w:lineRule="auto"/>
              <w:rPr>
                <w:rFonts w:ascii="Times New Roman" w:eastAsia="Times New Roman" w:hAnsi="Times New Roman" w:cs="Times New Roman"/>
                <w:noProof/>
                <w:color w:val="006100"/>
                <w:sz w:val="20"/>
                <w:szCs w:val="20"/>
                <w:lang w:val="ru-RU"/>
              </w:rPr>
            </w:pPr>
          </w:p>
        </w:tc>
        <w:tc>
          <w:tcPr>
            <w:tcW w:w="1417" w:type="dxa"/>
            <w:tcBorders>
              <w:top w:val="nil"/>
              <w:left w:val="nil"/>
              <w:bottom w:val="single" w:sz="4" w:space="0" w:color="auto"/>
              <w:right w:val="single" w:sz="4" w:space="0" w:color="auto"/>
            </w:tcBorders>
            <w:shd w:val="clear" w:color="auto" w:fill="C6EFCE"/>
            <w:noWrap/>
          </w:tcPr>
          <w:p w14:paraId="0844438C"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Брой</w:t>
            </w:r>
          </w:p>
        </w:tc>
        <w:tc>
          <w:tcPr>
            <w:tcW w:w="993" w:type="dxa"/>
            <w:tcBorders>
              <w:top w:val="nil"/>
              <w:left w:val="nil"/>
              <w:bottom w:val="single" w:sz="4" w:space="0" w:color="auto"/>
              <w:right w:val="single" w:sz="4" w:space="0" w:color="auto"/>
            </w:tcBorders>
            <w:shd w:val="clear" w:color="auto" w:fill="C6EFCE"/>
            <w:noWrap/>
          </w:tcPr>
          <w:p w14:paraId="3DE01273"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0</w:t>
            </w:r>
          </w:p>
        </w:tc>
        <w:tc>
          <w:tcPr>
            <w:tcW w:w="992" w:type="dxa"/>
            <w:tcBorders>
              <w:top w:val="nil"/>
              <w:left w:val="nil"/>
              <w:bottom w:val="single" w:sz="4" w:space="0" w:color="auto"/>
              <w:right w:val="single" w:sz="4" w:space="0" w:color="auto"/>
            </w:tcBorders>
            <w:shd w:val="clear" w:color="auto" w:fill="C6EFCE"/>
            <w:noWrap/>
          </w:tcPr>
          <w:p w14:paraId="58308F48"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35</w:t>
            </w:r>
          </w:p>
        </w:tc>
        <w:tc>
          <w:tcPr>
            <w:tcW w:w="850" w:type="dxa"/>
            <w:tcBorders>
              <w:top w:val="nil"/>
              <w:left w:val="nil"/>
              <w:bottom w:val="single" w:sz="4" w:space="0" w:color="auto"/>
              <w:right w:val="single" w:sz="4" w:space="0" w:color="auto"/>
            </w:tcBorders>
            <w:shd w:val="clear" w:color="auto" w:fill="C6EFCE"/>
            <w:noWrap/>
          </w:tcPr>
          <w:p w14:paraId="59F59E43" w14:textId="77777777" w:rsidR="00736704" w:rsidRPr="00225351" w:rsidRDefault="00736704" w:rsidP="00693327">
            <w:pPr>
              <w:spacing w:after="0" w:line="240" w:lineRule="auto"/>
              <w:rPr>
                <w:rFonts w:ascii="Times New Roman" w:eastAsia="Times New Roman" w:hAnsi="Times New Roman" w:cs="Times New Roman"/>
                <w:noProof/>
                <w:color w:val="FF0000"/>
                <w:sz w:val="20"/>
                <w:szCs w:val="20"/>
              </w:rPr>
            </w:pPr>
            <w:r>
              <w:rPr>
                <w:rFonts w:ascii="Times New Roman" w:hAnsi="Times New Roman"/>
                <w:noProof/>
                <w:color w:val="006100"/>
                <w:sz w:val="20"/>
              </w:rPr>
              <w:t>T1</w:t>
            </w:r>
          </w:p>
        </w:tc>
        <w:tc>
          <w:tcPr>
            <w:tcW w:w="709" w:type="dxa"/>
            <w:tcBorders>
              <w:top w:val="nil"/>
              <w:left w:val="nil"/>
              <w:bottom w:val="single" w:sz="4" w:space="0" w:color="auto"/>
              <w:right w:val="single" w:sz="4" w:space="0" w:color="auto"/>
            </w:tcBorders>
            <w:shd w:val="clear" w:color="auto" w:fill="C6EFCE"/>
            <w:noWrap/>
          </w:tcPr>
          <w:p w14:paraId="3EC559C4" w14:textId="77777777" w:rsidR="00736704" w:rsidRPr="00225351" w:rsidRDefault="00736704" w:rsidP="00693327">
            <w:pPr>
              <w:spacing w:after="0" w:line="240" w:lineRule="auto"/>
              <w:rPr>
                <w:rFonts w:ascii="Times New Roman" w:eastAsia="Times New Roman" w:hAnsi="Times New Roman" w:cs="Times New Roman"/>
                <w:noProof/>
                <w:color w:val="FF0000"/>
                <w:sz w:val="20"/>
                <w:szCs w:val="20"/>
              </w:rPr>
            </w:pPr>
            <w:r>
              <w:rPr>
                <w:rFonts w:ascii="Times New Roman" w:hAnsi="Times New Roman"/>
                <w:noProof/>
                <w:color w:val="006100"/>
                <w:sz w:val="20"/>
              </w:rPr>
              <w:t>2025</w:t>
            </w:r>
          </w:p>
        </w:tc>
        <w:tc>
          <w:tcPr>
            <w:tcW w:w="4540" w:type="dxa"/>
            <w:tcBorders>
              <w:top w:val="nil"/>
              <w:left w:val="nil"/>
              <w:bottom w:val="single" w:sz="4" w:space="0" w:color="auto"/>
              <w:right w:val="single" w:sz="4" w:space="0" w:color="auto"/>
            </w:tcBorders>
            <w:shd w:val="clear" w:color="auto" w:fill="C6EFCE"/>
            <w:noWrap/>
          </w:tcPr>
          <w:p w14:paraId="34117D7C" w14:textId="593AFBDA" w:rsidR="00736704" w:rsidRPr="00225351" w:rsidRDefault="00736704" w:rsidP="00693327">
            <w:pPr>
              <w:spacing w:after="24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Целта се отнася за доставката и въвеждането и пускането в експлоатация на нов подвижен състав като първа част за доставка по посочения(те) в ключов етап 184 договор(и): 35 едноетажни електрически мотрисни влака с максимална скорост от 160 km/h и минимален капацитет от 200 места за сядане. </w:t>
            </w:r>
          </w:p>
          <w:p w14:paraId="1E07CA40" w14:textId="4C72D25A" w:rsidR="00736704" w:rsidRPr="00225351" w:rsidRDefault="00736704" w:rsidP="00693327">
            <w:pPr>
              <w:spacing w:after="24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Влаковете трябва да бъдат експлоатирани от железопътно(и) предприятие(я) за превоз на пътници по силата на договор за обществена услуга (ДОУ) за периода след 2024 г. ДОУ трябва да бъде възложен чрез конкурентна процедура в съответствие с приложимото към момента на провеждане на процедурата законодателство на Съюза.</w:t>
            </w:r>
          </w:p>
          <w:p w14:paraId="2BE6C8AD" w14:textId="77777777" w:rsidR="00736704" w:rsidRPr="00225351" w:rsidRDefault="00736704" w:rsidP="003E1114">
            <w:pPr>
              <w:spacing w:after="24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Притежаваният от компетентния орган нов железопътен подвижен състав трябва да бъде предоставен безплатно на операторите за железопътни пътнически превози по договори за обществена услуга, възложени в съответствие с Регламент (ЕО) № 1370/2007. </w:t>
            </w:r>
          </w:p>
          <w:p w14:paraId="53BFF52F" w14:textId="77777777" w:rsidR="00736704" w:rsidRPr="00225351" w:rsidRDefault="00736704" w:rsidP="003E1114">
            <w:pPr>
              <w:spacing w:after="24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Операторите трябва да са задължени да върнат на собственика подвижния състав в състоянието, в което е получен, като се вземе предвид нормалната амортизационна норма, за да може държавата да го предостави на следващия оператор на обществена услуга.</w:t>
            </w:r>
          </w:p>
        </w:tc>
      </w:tr>
      <w:tr w:rsidR="00225351" w:rsidRPr="005241FC" w14:paraId="5C889125" w14:textId="77777777" w:rsidTr="00A80AF7">
        <w:trPr>
          <w:jc w:val="center"/>
        </w:trPr>
        <w:tc>
          <w:tcPr>
            <w:tcW w:w="689" w:type="dxa"/>
            <w:tcBorders>
              <w:top w:val="nil"/>
              <w:left w:val="single" w:sz="4" w:space="0" w:color="auto"/>
              <w:bottom w:val="single" w:sz="4" w:space="0" w:color="auto"/>
              <w:right w:val="single" w:sz="4" w:space="0" w:color="auto"/>
            </w:tcBorders>
            <w:shd w:val="clear" w:color="auto" w:fill="C6EFCE"/>
            <w:noWrap/>
          </w:tcPr>
          <w:p w14:paraId="2B8F0006" w14:textId="7BBDEFB2" w:rsidR="00736704" w:rsidRPr="00225351" w:rsidRDefault="00736704" w:rsidP="00693327">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 186</w:t>
            </w:r>
          </w:p>
        </w:tc>
        <w:tc>
          <w:tcPr>
            <w:tcW w:w="1275" w:type="dxa"/>
            <w:tcBorders>
              <w:top w:val="nil"/>
              <w:left w:val="nil"/>
              <w:bottom w:val="single" w:sz="4" w:space="0" w:color="auto"/>
              <w:right w:val="single" w:sz="4" w:space="0" w:color="auto"/>
            </w:tcBorders>
            <w:shd w:val="clear" w:color="auto" w:fill="C6EFCE"/>
            <w:noWrap/>
          </w:tcPr>
          <w:p w14:paraId="2800B2FC" w14:textId="553DCF3A" w:rsidR="00736704" w:rsidRPr="00225351" w:rsidRDefault="00152560"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К8.И1: Железопътен подвижен състав</w:t>
            </w:r>
          </w:p>
        </w:tc>
        <w:tc>
          <w:tcPr>
            <w:tcW w:w="1150" w:type="dxa"/>
            <w:tcBorders>
              <w:top w:val="nil"/>
              <w:left w:val="nil"/>
              <w:bottom w:val="single" w:sz="4" w:space="0" w:color="auto"/>
              <w:right w:val="single" w:sz="4" w:space="0" w:color="auto"/>
            </w:tcBorders>
            <w:shd w:val="clear" w:color="auto" w:fill="C6EFCE"/>
            <w:noWrap/>
          </w:tcPr>
          <w:p w14:paraId="3DDF27FE"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Цел</w:t>
            </w:r>
          </w:p>
        </w:tc>
        <w:tc>
          <w:tcPr>
            <w:tcW w:w="1417" w:type="dxa"/>
            <w:tcBorders>
              <w:top w:val="nil"/>
              <w:left w:val="nil"/>
              <w:bottom w:val="single" w:sz="4" w:space="0" w:color="auto"/>
              <w:right w:val="single" w:sz="4" w:space="0" w:color="auto"/>
            </w:tcBorders>
            <w:shd w:val="clear" w:color="auto" w:fill="C6EFCE"/>
            <w:noWrap/>
          </w:tcPr>
          <w:p w14:paraId="350E08D3" w14:textId="77777777" w:rsidR="00736704" w:rsidRPr="00225351" w:rsidRDefault="00736704" w:rsidP="00693327">
            <w:pPr>
              <w:spacing w:after="0" w:line="240" w:lineRule="auto"/>
              <w:rPr>
                <w:rFonts w:ascii="Times New Roman" w:eastAsia="Times New Roman" w:hAnsi="Times New Roman" w:cs="Times New Roman"/>
                <w:noProof/>
                <w:color w:val="FF0000"/>
                <w:sz w:val="20"/>
                <w:szCs w:val="20"/>
              </w:rPr>
            </w:pPr>
            <w:r>
              <w:rPr>
                <w:rFonts w:ascii="Times New Roman" w:hAnsi="Times New Roman"/>
                <w:noProof/>
                <w:color w:val="006100"/>
                <w:sz w:val="20"/>
              </w:rPr>
              <w:t>Въвеждане в експлоатация на нов железопътен подвижен състав</w:t>
            </w:r>
            <w:r>
              <w:rPr>
                <w:rFonts w:ascii="Times New Roman" w:hAnsi="Times New Roman"/>
                <w:noProof/>
                <w:color w:val="385623"/>
                <w:sz w:val="20"/>
              </w:rPr>
              <w:t xml:space="preserve"> с нулеви емисии (II)</w:t>
            </w:r>
          </w:p>
          <w:p w14:paraId="7675606A" w14:textId="77777777" w:rsidR="00736704" w:rsidRPr="008A0F8A" w:rsidRDefault="00736704" w:rsidP="00693327">
            <w:pPr>
              <w:spacing w:after="0" w:line="240" w:lineRule="auto"/>
              <w:rPr>
                <w:rFonts w:ascii="Times New Roman" w:eastAsia="Times New Roman" w:hAnsi="Times New Roman" w:cs="Times New Roman"/>
                <w:noProof/>
                <w:color w:val="006100"/>
                <w:sz w:val="20"/>
                <w:szCs w:val="20"/>
                <w:lang w:val="ru-RU"/>
              </w:rPr>
            </w:pPr>
          </w:p>
        </w:tc>
        <w:tc>
          <w:tcPr>
            <w:tcW w:w="1418" w:type="dxa"/>
            <w:tcBorders>
              <w:top w:val="nil"/>
              <w:left w:val="nil"/>
              <w:bottom w:val="single" w:sz="4" w:space="0" w:color="auto"/>
              <w:right w:val="single" w:sz="4" w:space="0" w:color="auto"/>
            </w:tcBorders>
            <w:shd w:val="clear" w:color="auto" w:fill="C6EFCE"/>
            <w:noWrap/>
          </w:tcPr>
          <w:p w14:paraId="1000B394"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1417" w:type="dxa"/>
            <w:tcBorders>
              <w:top w:val="nil"/>
              <w:left w:val="nil"/>
              <w:bottom w:val="single" w:sz="4" w:space="0" w:color="auto"/>
              <w:right w:val="single" w:sz="4" w:space="0" w:color="auto"/>
            </w:tcBorders>
            <w:shd w:val="clear" w:color="auto" w:fill="C6EFCE"/>
            <w:noWrap/>
          </w:tcPr>
          <w:p w14:paraId="05F5EBFE"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Брой</w:t>
            </w:r>
          </w:p>
        </w:tc>
        <w:tc>
          <w:tcPr>
            <w:tcW w:w="993" w:type="dxa"/>
            <w:tcBorders>
              <w:top w:val="nil"/>
              <w:left w:val="nil"/>
              <w:bottom w:val="single" w:sz="4" w:space="0" w:color="auto"/>
              <w:right w:val="single" w:sz="4" w:space="0" w:color="auto"/>
            </w:tcBorders>
            <w:shd w:val="clear" w:color="auto" w:fill="C6EFCE"/>
            <w:noWrap/>
          </w:tcPr>
          <w:p w14:paraId="466B1DBB"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35</w:t>
            </w:r>
          </w:p>
        </w:tc>
        <w:tc>
          <w:tcPr>
            <w:tcW w:w="992" w:type="dxa"/>
            <w:tcBorders>
              <w:top w:val="nil"/>
              <w:left w:val="nil"/>
              <w:bottom w:val="single" w:sz="4" w:space="0" w:color="auto"/>
              <w:right w:val="single" w:sz="4" w:space="0" w:color="auto"/>
            </w:tcBorders>
            <w:shd w:val="clear" w:color="auto" w:fill="C6EFCE"/>
            <w:noWrap/>
          </w:tcPr>
          <w:p w14:paraId="16605A17"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80</w:t>
            </w:r>
          </w:p>
        </w:tc>
        <w:tc>
          <w:tcPr>
            <w:tcW w:w="850" w:type="dxa"/>
            <w:tcBorders>
              <w:top w:val="nil"/>
              <w:left w:val="nil"/>
              <w:bottom w:val="single" w:sz="4" w:space="0" w:color="auto"/>
              <w:right w:val="single" w:sz="4" w:space="0" w:color="auto"/>
            </w:tcBorders>
            <w:shd w:val="clear" w:color="auto" w:fill="C6EFCE"/>
            <w:noWrap/>
          </w:tcPr>
          <w:p w14:paraId="096CDEF4" w14:textId="77777777" w:rsidR="00736704" w:rsidRPr="00225351" w:rsidRDefault="00736704" w:rsidP="00693327">
            <w:pPr>
              <w:spacing w:after="0" w:line="240" w:lineRule="auto"/>
              <w:rPr>
                <w:rFonts w:ascii="Times New Roman" w:eastAsia="Times New Roman" w:hAnsi="Times New Roman" w:cs="Times New Roman"/>
                <w:noProof/>
                <w:color w:val="FF0000"/>
                <w:sz w:val="20"/>
                <w:szCs w:val="20"/>
              </w:rPr>
            </w:pPr>
            <w:r>
              <w:rPr>
                <w:rFonts w:ascii="Times New Roman" w:hAnsi="Times New Roman"/>
                <w:noProof/>
                <w:color w:val="006100"/>
                <w:sz w:val="20"/>
              </w:rPr>
              <w:t>T1</w:t>
            </w:r>
          </w:p>
        </w:tc>
        <w:tc>
          <w:tcPr>
            <w:tcW w:w="709" w:type="dxa"/>
            <w:tcBorders>
              <w:top w:val="nil"/>
              <w:left w:val="nil"/>
              <w:bottom w:val="single" w:sz="4" w:space="0" w:color="auto"/>
              <w:right w:val="single" w:sz="4" w:space="0" w:color="auto"/>
            </w:tcBorders>
            <w:shd w:val="clear" w:color="auto" w:fill="C6EFCE"/>
            <w:noWrap/>
          </w:tcPr>
          <w:p w14:paraId="30B1EBC4" w14:textId="77777777" w:rsidR="00736704" w:rsidRPr="00225351" w:rsidRDefault="00736704" w:rsidP="00693327">
            <w:pPr>
              <w:spacing w:after="0" w:line="240" w:lineRule="auto"/>
              <w:rPr>
                <w:rFonts w:ascii="Times New Roman" w:eastAsia="Times New Roman" w:hAnsi="Times New Roman" w:cs="Times New Roman"/>
                <w:noProof/>
                <w:color w:val="FF0000"/>
                <w:sz w:val="20"/>
                <w:szCs w:val="20"/>
              </w:rPr>
            </w:pPr>
            <w:r>
              <w:rPr>
                <w:rFonts w:ascii="Times New Roman" w:hAnsi="Times New Roman"/>
                <w:noProof/>
                <w:color w:val="006100"/>
                <w:sz w:val="20"/>
              </w:rPr>
              <w:t>2026</w:t>
            </w:r>
          </w:p>
        </w:tc>
        <w:tc>
          <w:tcPr>
            <w:tcW w:w="4540" w:type="dxa"/>
            <w:tcBorders>
              <w:top w:val="nil"/>
              <w:left w:val="nil"/>
              <w:bottom w:val="single" w:sz="4" w:space="0" w:color="auto"/>
              <w:right w:val="single" w:sz="4" w:space="0" w:color="auto"/>
            </w:tcBorders>
            <w:shd w:val="clear" w:color="auto" w:fill="C6EFCE"/>
            <w:noWrap/>
          </w:tcPr>
          <w:p w14:paraId="34AE8FBA" w14:textId="1B722BF7" w:rsidR="00736704" w:rsidRPr="00225351" w:rsidRDefault="00736704" w:rsidP="00693327">
            <w:pPr>
              <w:spacing w:after="24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Целта се отнася за доставката и въвеждането в експлоатация на нов подвижен състав за доставка по посочения(те) в ключов етап 184 договор(и):</w:t>
            </w:r>
          </w:p>
          <w:p w14:paraId="27CC9E06" w14:textId="12718E6F" w:rsidR="00736704" w:rsidRPr="00225351" w:rsidRDefault="00736704" w:rsidP="00693327">
            <w:pPr>
              <w:spacing w:after="24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- 42 електрически мотрисни влака (ЕМВ) за пътнически услуги в крайградския транспорт с максимална скорост от 160 km/h, оборудвани с бордова апаратура за ERTMS — 7 двуетажни ЕМВ с минимален капацитет от 300 места за сядане и 35 едноетажни ЕМВ с минимален капацитет от 200 места за сядане; </w:t>
            </w:r>
          </w:p>
          <w:p w14:paraId="6FD722A5" w14:textId="77777777" w:rsidR="00736704" w:rsidRPr="00225351" w:rsidRDefault="00736704" w:rsidP="00693327">
            <w:pPr>
              <w:spacing w:after="24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- 20 влакови композиции с двустранно (бутане-теглене) управление за междурегионален транспорт (включително оборудвани с бордова апаратура за ERTMS локомотиви с максимална скорост от 200 km/h); </w:t>
            </w:r>
          </w:p>
          <w:p w14:paraId="2B59054F" w14:textId="77777777" w:rsidR="00736704" w:rsidRPr="00225351" w:rsidRDefault="00736704" w:rsidP="00693327">
            <w:pPr>
              <w:spacing w:after="24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- 18 дистанционно управлявани маневрени локомотива с акумулаторна батерия. </w:t>
            </w:r>
          </w:p>
          <w:p w14:paraId="112D7ACC" w14:textId="77777777" w:rsidR="00736704" w:rsidRPr="00225351" w:rsidRDefault="00736704" w:rsidP="00693327">
            <w:pPr>
              <w:spacing w:after="24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Новият подвижен състав трябва да бъде с нулеви емисии в съответствие с принципа за ненанасяне на значителни вреди.</w:t>
            </w:r>
          </w:p>
          <w:p w14:paraId="18CCA872" w14:textId="77777777" w:rsidR="00736704" w:rsidRPr="00225351" w:rsidRDefault="00736704" w:rsidP="00693327">
            <w:pPr>
              <w:spacing w:after="24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Влаковете трябва да бъдат експлоатирани от железопътно(и) предприятие(я) за превоз на пътници по силата на договор за обществена услуга (ДОУ) за периода след 2024 г. ДОУ трябва да бъде възложен чрез конкурентна процедура в съответствие с приложимата към момента на провеждане на процедурата уредба на Съюза.</w:t>
            </w:r>
          </w:p>
          <w:p w14:paraId="7E66EA10" w14:textId="77777777" w:rsidR="00736704" w:rsidRPr="00225351" w:rsidRDefault="00736704" w:rsidP="00693327">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Притежаваният от компетентния орган нов железопътен подвижен състав трябва да бъде предоставен безплатно на операторите за железопътни пътнически превози по договори за обществена услуга, възложени в съответствие с Регламент (ЕО) № 1370/2007. </w:t>
            </w:r>
          </w:p>
          <w:p w14:paraId="4D2E610C" w14:textId="77777777" w:rsidR="00736704" w:rsidRPr="008A0F8A" w:rsidRDefault="00736704" w:rsidP="00693327">
            <w:pPr>
              <w:spacing w:after="0" w:line="240" w:lineRule="auto"/>
              <w:jc w:val="both"/>
              <w:rPr>
                <w:rFonts w:ascii="Times New Roman" w:eastAsia="Times New Roman" w:hAnsi="Times New Roman" w:cs="Times New Roman"/>
                <w:noProof/>
                <w:color w:val="006100"/>
                <w:sz w:val="20"/>
                <w:szCs w:val="20"/>
                <w:lang w:val="ru-RU" w:eastAsia="en-IE"/>
              </w:rPr>
            </w:pPr>
          </w:p>
          <w:p w14:paraId="2E78149B" w14:textId="77777777" w:rsidR="00736704" w:rsidRPr="00225351" w:rsidRDefault="00736704" w:rsidP="00693327">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Операторите трябва да са задължени да върнат на собственика подвижния състав в състоянието, в което е получен, като се вземе предвид нормалната амортизационна норма, за да може българската държава да го предостави на следващия оператор на обществена услуга.</w:t>
            </w:r>
          </w:p>
          <w:p w14:paraId="4FBB390D" w14:textId="77777777" w:rsidR="00736704" w:rsidRPr="008A0F8A" w:rsidRDefault="00736704" w:rsidP="00693327">
            <w:pPr>
              <w:spacing w:after="0" w:line="240" w:lineRule="auto"/>
              <w:jc w:val="both"/>
              <w:rPr>
                <w:rFonts w:ascii="Times New Roman" w:eastAsia="Times New Roman" w:hAnsi="Times New Roman" w:cs="Times New Roman"/>
                <w:noProof/>
                <w:color w:val="006100"/>
                <w:sz w:val="20"/>
                <w:szCs w:val="20"/>
                <w:lang w:val="ru-RU" w:eastAsia="en-IE"/>
              </w:rPr>
            </w:pPr>
          </w:p>
        </w:tc>
      </w:tr>
      <w:tr w:rsidR="00225351" w:rsidRPr="005241FC" w14:paraId="27CEE369" w14:textId="77777777" w:rsidTr="00A80AF7">
        <w:trPr>
          <w:jc w:val="center"/>
        </w:trPr>
        <w:tc>
          <w:tcPr>
            <w:tcW w:w="689" w:type="dxa"/>
            <w:tcBorders>
              <w:top w:val="nil"/>
              <w:left w:val="single" w:sz="4" w:space="0" w:color="auto"/>
              <w:bottom w:val="single" w:sz="4" w:space="0" w:color="auto"/>
              <w:right w:val="single" w:sz="4" w:space="0" w:color="auto"/>
            </w:tcBorders>
            <w:shd w:val="clear" w:color="auto" w:fill="C6EFCE"/>
            <w:noWrap/>
          </w:tcPr>
          <w:p w14:paraId="7E352815" w14:textId="39798B9C" w:rsidR="00736704" w:rsidRPr="00225351" w:rsidRDefault="00EF6843" w:rsidP="00693327">
            <w:pPr>
              <w:spacing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187</w:t>
            </w:r>
          </w:p>
        </w:tc>
        <w:tc>
          <w:tcPr>
            <w:tcW w:w="1275" w:type="dxa"/>
            <w:tcBorders>
              <w:top w:val="nil"/>
              <w:left w:val="nil"/>
              <w:bottom w:val="single" w:sz="4" w:space="0" w:color="auto"/>
              <w:right w:val="single" w:sz="4" w:space="0" w:color="auto"/>
            </w:tcBorders>
            <w:shd w:val="clear" w:color="auto" w:fill="C6EFCE"/>
            <w:noWrap/>
          </w:tcPr>
          <w:p w14:paraId="584FA031" w14:textId="11165473" w:rsidR="00736704" w:rsidRPr="00225351" w:rsidRDefault="00152560" w:rsidP="0015256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К8.И2: Бордово оборудване за Европейската система за управление на влаковете</w:t>
            </w:r>
          </w:p>
        </w:tc>
        <w:tc>
          <w:tcPr>
            <w:tcW w:w="1150" w:type="dxa"/>
            <w:tcBorders>
              <w:top w:val="nil"/>
              <w:left w:val="nil"/>
              <w:bottom w:val="single" w:sz="4" w:space="0" w:color="auto"/>
              <w:right w:val="single" w:sz="4" w:space="0" w:color="auto"/>
            </w:tcBorders>
            <w:shd w:val="clear" w:color="auto" w:fill="C6EFCE"/>
            <w:noWrap/>
          </w:tcPr>
          <w:p w14:paraId="01C16DAB" w14:textId="77777777" w:rsidR="00736704" w:rsidRPr="00225351" w:rsidRDefault="00736704" w:rsidP="00693327">
            <w:pPr>
              <w:spacing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417" w:type="dxa"/>
            <w:tcBorders>
              <w:top w:val="nil"/>
              <w:left w:val="nil"/>
              <w:bottom w:val="single" w:sz="4" w:space="0" w:color="auto"/>
              <w:right w:val="single" w:sz="4" w:space="0" w:color="auto"/>
            </w:tcBorders>
            <w:shd w:val="clear" w:color="auto" w:fill="C6EFCE"/>
            <w:noWrap/>
          </w:tcPr>
          <w:p w14:paraId="7498E1E1" w14:textId="77777777" w:rsidR="00736704" w:rsidRPr="00225351" w:rsidRDefault="00736704" w:rsidP="00693327">
            <w:pPr>
              <w:spacing w:line="240" w:lineRule="auto"/>
              <w:rPr>
                <w:rFonts w:ascii="Times New Roman" w:eastAsia="Times New Roman" w:hAnsi="Times New Roman" w:cs="Times New Roman"/>
                <w:noProof/>
                <w:color w:val="FF0000"/>
                <w:sz w:val="20"/>
                <w:szCs w:val="20"/>
              </w:rPr>
            </w:pPr>
            <w:r>
              <w:rPr>
                <w:rFonts w:ascii="Times New Roman" w:hAnsi="Times New Roman"/>
                <w:noProof/>
                <w:color w:val="006100"/>
                <w:sz w:val="20"/>
              </w:rPr>
              <w:t>Механизъм за подбор на подпомагани оператори за железопътни превози за бордово оборудване за ERTMS/ETCS</w:t>
            </w:r>
          </w:p>
        </w:tc>
        <w:tc>
          <w:tcPr>
            <w:tcW w:w="1418" w:type="dxa"/>
            <w:tcBorders>
              <w:top w:val="nil"/>
              <w:left w:val="nil"/>
              <w:bottom w:val="single" w:sz="4" w:space="0" w:color="auto"/>
              <w:right w:val="single" w:sz="4" w:space="0" w:color="auto"/>
            </w:tcBorders>
            <w:shd w:val="clear" w:color="auto" w:fill="C6EFCE"/>
            <w:noWrap/>
          </w:tcPr>
          <w:p w14:paraId="281E6DC0" w14:textId="77777777" w:rsidR="00736704" w:rsidRPr="00225351" w:rsidRDefault="00736704" w:rsidP="00693327">
            <w:pPr>
              <w:spacing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Определяне и класиране на железопътните предприятия, които отговарят на условията за инсталиране на борда на бордово оборудване за ETCS</w:t>
            </w:r>
          </w:p>
        </w:tc>
        <w:tc>
          <w:tcPr>
            <w:tcW w:w="1417" w:type="dxa"/>
            <w:tcBorders>
              <w:top w:val="nil"/>
              <w:left w:val="nil"/>
              <w:bottom w:val="single" w:sz="4" w:space="0" w:color="auto"/>
              <w:right w:val="single" w:sz="4" w:space="0" w:color="auto"/>
            </w:tcBorders>
            <w:shd w:val="clear" w:color="auto" w:fill="C6EFCE"/>
            <w:noWrap/>
          </w:tcPr>
          <w:p w14:paraId="326536A4" w14:textId="77777777" w:rsidR="00736704" w:rsidRPr="008A0F8A" w:rsidRDefault="00736704" w:rsidP="00693327">
            <w:pPr>
              <w:spacing w:line="240" w:lineRule="auto"/>
              <w:rPr>
                <w:rFonts w:ascii="Times New Roman" w:eastAsia="Times New Roman" w:hAnsi="Times New Roman" w:cs="Times New Roman"/>
                <w:noProof/>
                <w:color w:val="006100"/>
                <w:sz w:val="20"/>
                <w:szCs w:val="20"/>
                <w:lang w:val="ru-RU" w:eastAsia="en-IE"/>
              </w:rPr>
            </w:pPr>
          </w:p>
        </w:tc>
        <w:tc>
          <w:tcPr>
            <w:tcW w:w="993" w:type="dxa"/>
            <w:tcBorders>
              <w:top w:val="nil"/>
              <w:left w:val="nil"/>
              <w:bottom w:val="single" w:sz="4" w:space="0" w:color="auto"/>
              <w:right w:val="single" w:sz="4" w:space="0" w:color="auto"/>
            </w:tcBorders>
            <w:shd w:val="clear" w:color="auto" w:fill="C6EFCE"/>
            <w:noWrap/>
          </w:tcPr>
          <w:p w14:paraId="6FEE0DE3" w14:textId="77777777" w:rsidR="00736704" w:rsidRPr="008A0F8A" w:rsidRDefault="00736704" w:rsidP="00693327">
            <w:pPr>
              <w:spacing w:line="240" w:lineRule="auto"/>
              <w:rPr>
                <w:rFonts w:ascii="Times New Roman" w:eastAsia="Times New Roman" w:hAnsi="Times New Roman" w:cs="Times New Roman"/>
                <w:noProof/>
                <w:color w:val="006100"/>
                <w:sz w:val="20"/>
                <w:szCs w:val="20"/>
                <w:lang w:val="ru-RU" w:eastAsia="en-IE"/>
              </w:rPr>
            </w:pPr>
          </w:p>
        </w:tc>
        <w:tc>
          <w:tcPr>
            <w:tcW w:w="992" w:type="dxa"/>
            <w:tcBorders>
              <w:top w:val="nil"/>
              <w:left w:val="nil"/>
              <w:bottom w:val="single" w:sz="4" w:space="0" w:color="auto"/>
              <w:right w:val="single" w:sz="4" w:space="0" w:color="auto"/>
            </w:tcBorders>
            <w:shd w:val="clear" w:color="auto" w:fill="C6EFCE"/>
            <w:noWrap/>
          </w:tcPr>
          <w:p w14:paraId="1A97B547" w14:textId="77777777" w:rsidR="00736704" w:rsidRPr="008A0F8A" w:rsidRDefault="00736704" w:rsidP="00693327">
            <w:pPr>
              <w:spacing w:line="240" w:lineRule="auto"/>
              <w:rPr>
                <w:rFonts w:ascii="Times New Roman" w:eastAsia="Times New Roman" w:hAnsi="Times New Roman" w:cs="Times New Roman"/>
                <w:noProof/>
                <w:color w:val="006100"/>
                <w:sz w:val="20"/>
                <w:szCs w:val="20"/>
                <w:lang w:val="ru-RU" w:eastAsia="en-IE"/>
              </w:rPr>
            </w:pPr>
          </w:p>
        </w:tc>
        <w:tc>
          <w:tcPr>
            <w:tcW w:w="850" w:type="dxa"/>
            <w:tcBorders>
              <w:top w:val="nil"/>
              <w:left w:val="nil"/>
              <w:bottom w:val="single" w:sz="4" w:space="0" w:color="auto"/>
              <w:right w:val="single" w:sz="4" w:space="0" w:color="auto"/>
            </w:tcBorders>
            <w:shd w:val="clear" w:color="auto" w:fill="C6EFCE"/>
            <w:noWrap/>
          </w:tcPr>
          <w:p w14:paraId="4912295A" w14:textId="77777777" w:rsidR="00736704" w:rsidRPr="00225351" w:rsidRDefault="00736704" w:rsidP="00693327">
            <w:pPr>
              <w:spacing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T3</w:t>
            </w:r>
          </w:p>
        </w:tc>
        <w:tc>
          <w:tcPr>
            <w:tcW w:w="709" w:type="dxa"/>
            <w:tcBorders>
              <w:top w:val="nil"/>
              <w:left w:val="nil"/>
              <w:bottom w:val="single" w:sz="4" w:space="0" w:color="auto"/>
              <w:right w:val="single" w:sz="4" w:space="0" w:color="auto"/>
            </w:tcBorders>
            <w:shd w:val="clear" w:color="auto" w:fill="C6EFCE"/>
            <w:noWrap/>
          </w:tcPr>
          <w:p w14:paraId="58C94340" w14:textId="77777777" w:rsidR="00736704" w:rsidRPr="00225351" w:rsidRDefault="00736704" w:rsidP="00693327">
            <w:pPr>
              <w:spacing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2022</w:t>
            </w:r>
          </w:p>
        </w:tc>
        <w:tc>
          <w:tcPr>
            <w:tcW w:w="4540" w:type="dxa"/>
            <w:tcBorders>
              <w:top w:val="nil"/>
              <w:left w:val="nil"/>
              <w:bottom w:val="single" w:sz="4" w:space="0" w:color="auto"/>
              <w:right w:val="single" w:sz="4" w:space="0" w:color="auto"/>
            </w:tcBorders>
            <w:shd w:val="clear" w:color="auto" w:fill="C6EFCE"/>
            <w:noWrap/>
          </w:tcPr>
          <w:p w14:paraId="3C25DB1F" w14:textId="0F4E92CA" w:rsidR="00736704" w:rsidRPr="00225351" w:rsidRDefault="00736704" w:rsidP="00693327">
            <w:pPr>
              <w:jc w:val="both"/>
              <w:rPr>
                <w:rFonts w:ascii="Times New Roman" w:eastAsia="Calibri" w:hAnsi="Times New Roman" w:cs="Times New Roman"/>
                <w:noProof/>
                <w:color w:val="006100"/>
                <w:sz w:val="20"/>
                <w:szCs w:val="20"/>
              </w:rPr>
            </w:pPr>
            <w:r>
              <w:rPr>
                <w:rFonts w:ascii="Times New Roman" w:hAnsi="Times New Roman"/>
                <w:noProof/>
                <w:color w:val="006100"/>
                <w:sz w:val="20"/>
              </w:rPr>
              <w:t>Ключовият етап се отнася за процеса на подбор за разпределяне на средствата между железопътните предприятия (бенефициерите), който включва следните стъпки:</w:t>
            </w:r>
          </w:p>
          <w:p w14:paraId="29751CB4" w14:textId="775C8907" w:rsidR="0062519B" w:rsidRPr="0062519B" w:rsidRDefault="00736704" w:rsidP="0062519B">
            <w:pPr>
              <w:pStyle w:val="ListParagraph"/>
              <w:numPr>
                <w:ilvl w:val="0"/>
                <w:numId w:val="106"/>
              </w:numPr>
              <w:ind w:left="456" w:hanging="425"/>
              <w:jc w:val="both"/>
              <w:rPr>
                <w:rFonts w:ascii="Times New Roman" w:eastAsia="Calibri" w:hAnsi="Times New Roman" w:cs="Times New Roman"/>
                <w:noProof/>
                <w:color w:val="006100"/>
                <w:sz w:val="20"/>
                <w:szCs w:val="20"/>
              </w:rPr>
            </w:pPr>
            <w:r>
              <w:rPr>
                <w:rFonts w:ascii="Times New Roman" w:hAnsi="Times New Roman"/>
                <w:noProof/>
                <w:color w:val="006100"/>
                <w:sz w:val="20"/>
              </w:rPr>
              <w:t>пазарна консултация за получаване от железопътните превозвачи на данни за подвижния състав, който може да бъде модернизиран с бордово оборудване за ERTMS;</w:t>
            </w:r>
          </w:p>
          <w:p w14:paraId="76E672CE" w14:textId="77777777" w:rsidR="0062519B" w:rsidRDefault="00736704" w:rsidP="0062519B">
            <w:pPr>
              <w:pStyle w:val="ListParagraph"/>
              <w:numPr>
                <w:ilvl w:val="0"/>
                <w:numId w:val="106"/>
              </w:numPr>
              <w:ind w:left="456" w:hanging="425"/>
              <w:jc w:val="both"/>
              <w:rPr>
                <w:rFonts w:ascii="Times New Roman" w:eastAsia="Calibri" w:hAnsi="Times New Roman" w:cs="Times New Roman"/>
                <w:noProof/>
                <w:color w:val="006100"/>
                <w:sz w:val="20"/>
                <w:szCs w:val="20"/>
              </w:rPr>
            </w:pPr>
            <w:r>
              <w:rPr>
                <w:rFonts w:ascii="Times New Roman" w:hAnsi="Times New Roman"/>
                <w:noProof/>
                <w:color w:val="006100"/>
                <w:sz w:val="20"/>
              </w:rPr>
              <w:t xml:space="preserve">разработване на ясен механизъм за разпределяне на средствата между бенефициерите въз основа на критерии за ефикасност и ефективност на разходите; </w:t>
            </w:r>
          </w:p>
          <w:p w14:paraId="13540B2E" w14:textId="40D458F2" w:rsidR="00736704" w:rsidRPr="0062519B" w:rsidRDefault="00736704" w:rsidP="0062519B">
            <w:pPr>
              <w:pStyle w:val="ListParagraph"/>
              <w:numPr>
                <w:ilvl w:val="0"/>
                <w:numId w:val="106"/>
              </w:numPr>
              <w:ind w:left="456" w:hanging="425"/>
              <w:jc w:val="both"/>
              <w:rPr>
                <w:rFonts w:ascii="Times New Roman" w:eastAsia="Calibri" w:hAnsi="Times New Roman" w:cs="Times New Roman"/>
                <w:noProof/>
                <w:color w:val="006100"/>
                <w:sz w:val="20"/>
                <w:szCs w:val="20"/>
              </w:rPr>
            </w:pPr>
            <w:r>
              <w:rPr>
                <w:rFonts w:ascii="Times New Roman" w:hAnsi="Times New Roman"/>
                <w:noProof/>
                <w:color w:val="006100"/>
                <w:sz w:val="20"/>
              </w:rPr>
              <w:t>определяне на допустимите бенефициери и класиране въз основа на критериите за ефикасност и ефективност на разходите.</w:t>
            </w:r>
          </w:p>
          <w:p w14:paraId="1A3DB22A" w14:textId="2FFC132F" w:rsidR="00736704" w:rsidRPr="00225351" w:rsidRDefault="00736704" w:rsidP="00693327">
            <w:pPr>
              <w:spacing w:line="240" w:lineRule="auto"/>
              <w:jc w:val="both"/>
              <w:rPr>
                <w:rFonts w:ascii="Times New Roman" w:eastAsia="Calibri" w:hAnsi="Times New Roman" w:cs="Times New Roman"/>
                <w:noProof/>
                <w:sz w:val="20"/>
                <w:szCs w:val="20"/>
              </w:rPr>
            </w:pPr>
            <w:r>
              <w:rPr>
                <w:rFonts w:ascii="Times New Roman" w:hAnsi="Times New Roman"/>
                <w:noProof/>
                <w:color w:val="006100"/>
                <w:sz w:val="20"/>
              </w:rPr>
              <w:t>Трябва да бъде проведена открита, публична и недискриминационна конкурентна процедура за подбора на железопътните предприятия, които да получат средства по програмата. В този контекст всеки бенефициер трябва да представи бизнес план с обосновка за минималния брой влак-километри годишно, които трябва да бъдат покрити при експлоатацията на оборудването. Трябва също така да бъде предоставена информация за осигуряването на собствено финансиране (тъй като от бенефициерите се очаква да финансират 50 % от общите разходи).</w:t>
            </w:r>
          </w:p>
          <w:p w14:paraId="4BE8AF8D" w14:textId="77777777" w:rsidR="00736704" w:rsidRPr="00225351" w:rsidRDefault="00736704" w:rsidP="00693327">
            <w:pPr>
              <w:spacing w:line="240" w:lineRule="auto"/>
              <w:jc w:val="both"/>
              <w:rPr>
                <w:rFonts w:ascii="Times New Roman" w:eastAsia="Calibri" w:hAnsi="Times New Roman" w:cs="Times New Roman"/>
                <w:noProof/>
                <w:color w:val="006100"/>
                <w:sz w:val="20"/>
                <w:szCs w:val="20"/>
              </w:rPr>
            </w:pPr>
            <w:r>
              <w:rPr>
                <w:rFonts w:ascii="Times New Roman" w:hAnsi="Times New Roman"/>
                <w:noProof/>
                <w:color w:val="006100"/>
                <w:sz w:val="20"/>
              </w:rPr>
              <w:t xml:space="preserve">В процедурата трябва да могат да участват всички лицензирани и сертифицирани железопътни предприятия в България. </w:t>
            </w:r>
            <w:r>
              <w:rPr>
                <w:rFonts w:ascii="Times New Roman" w:hAnsi="Times New Roman"/>
                <w:noProof/>
                <w:sz w:val="20"/>
              </w:rPr>
              <w:br/>
            </w:r>
          </w:p>
          <w:p w14:paraId="38A39A33" w14:textId="77777777" w:rsidR="00736704" w:rsidRPr="00225351" w:rsidRDefault="00736704" w:rsidP="00693327">
            <w:pPr>
              <w:spacing w:line="240" w:lineRule="auto"/>
              <w:jc w:val="both"/>
              <w:rPr>
                <w:rFonts w:ascii="Times New Roman" w:eastAsia="Calibri" w:hAnsi="Times New Roman" w:cs="Times New Roman"/>
                <w:noProof/>
                <w:color w:val="006100"/>
                <w:sz w:val="20"/>
                <w:szCs w:val="20"/>
              </w:rPr>
            </w:pPr>
            <w:r>
              <w:rPr>
                <w:rFonts w:ascii="Times New Roman" w:hAnsi="Times New Roman"/>
                <w:noProof/>
                <w:color w:val="006100"/>
                <w:sz w:val="20"/>
              </w:rPr>
              <w:t xml:space="preserve">Всяко избрано железопътно предприятие трябва да декларира, че подвижният състав, отговарящ на условията за инсталиране на бордово оборудване за ERTMS в рамките на настоящата програма, трябва да бъде в редовна експлоатация в продължение на най-малко 10 години след инсталирането. </w:t>
            </w:r>
          </w:p>
          <w:p w14:paraId="775F7888" w14:textId="6BFCB390" w:rsidR="00736704" w:rsidRPr="00225351" w:rsidRDefault="00736704" w:rsidP="00693327">
            <w:pPr>
              <w:spacing w:line="240" w:lineRule="auto"/>
              <w:jc w:val="both"/>
              <w:rPr>
                <w:rFonts w:ascii="Times New Roman" w:eastAsia="Calibri" w:hAnsi="Times New Roman" w:cs="Times New Roman"/>
                <w:noProof/>
                <w:color w:val="006100"/>
                <w:sz w:val="20"/>
                <w:szCs w:val="20"/>
              </w:rPr>
            </w:pPr>
            <w:r>
              <w:rPr>
                <w:rFonts w:ascii="Times New Roman" w:hAnsi="Times New Roman"/>
                <w:noProof/>
                <w:color w:val="006100"/>
                <w:sz w:val="20"/>
              </w:rPr>
              <w:t>Трябва да бъде оборудван само съществуващият електрически подвижен състав с нулеви емисии и с остатъчен икономически живот от най-малко 10 години. Ако има основателна причина дадена единица от подвижния състав да не бъде експлоатирана в продължение на най-малко 10 години, бенефициерите трябва да поемат задължението да прехвърлят за своя сметка бордовото оборудване на друг подвижен състав с нулеви емисии, който да бъде експлоатиран най-малко за оставащото време до края на 10-годишния период.</w:t>
            </w:r>
          </w:p>
          <w:p w14:paraId="25D642D6" w14:textId="5A4205E5" w:rsidR="00736704" w:rsidRPr="00225351" w:rsidRDefault="00736704" w:rsidP="00693327">
            <w:pPr>
              <w:spacing w:line="240" w:lineRule="auto"/>
              <w:jc w:val="both"/>
              <w:rPr>
                <w:rFonts w:ascii="Times New Roman" w:eastAsia="Calibri" w:hAnsi="Times New Roman" w:cs="Times New Roman"/>
                <w:noProof/>
                <w:color w:val="006100"/>
                <w:sz w:val="20"/>
                <w:szCs w:val="20"/>
              </w:rPr>
            </w:pPr>
            <w:r>
              <w:rPr>
                <w:rFonts w:ascii="Times New Roman" w:hAnsi="Times New Roman"/>
                <w:noProof/>
                <w:color w:val="006100"/>
                <w:sz w:val="20"/>
              </w:rPr>
              <w:t>Избраният за подпомагане подвижен състав трябва да бъде прехвърлен на следващия оператор по договор за обществена услуга по пазарна цена, която не включва/от която се приспада получената от бенефициера помощ.</w:t>
            </w:r>
          </w:p>
        </w:tc>
      </w:tr>
      <w:tr w:rsidR="00225351" w:rsidRPr="005241FC" w14:paraId="4D8F9C59" w14:textId="77777777" w:rsidTr="00A80AF7">
        <w:trPr>
          <w:jc w:val="center"/>
        </w:trPr>
        <w:tc>
          <w:tcPr>
            <w:tcW w:w="689" w:type="dxa"/>
            <w:tcBorders>
              <w:top w:val="nil"/>
              <w:left w:val="single" w:sz="4" w:space="0" w:color="auto"/>
              <w:bottom w:val="single" w:sz="4" w:space="0" w:color="auto"/>
              <w:right w:val="single" w:sz="4" w:space="0" w:color="auto"/>
            </w:tcBorders>
            <w:shd w:val="clear" w:color="auto" w:fill="C6EFCE"/>
            <w:noWrap/>
          </w:tcPr>
          <w:p w14:paraId="46F6FA8D" w14:textId="42B82BD4" w:rsidR="00736704" w:rsidRPr="00225351" w:rsidRDefault="00736704" w:rsidP="00693327">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 188</w:t>
            </w:r>
          </w:p>
        </w:tc>
        <w:tc>
          <w:tcPr>
            <w:tcW w:w="1275" w:type="dxa"/>
            <w:tcBorders>
              <w:top w:val="nil"/>
              <w:left w:val="nil"/>
              <w:bottom w:val="single" w:sz="4" w:space="0" w:color="auto"/>
              <w:right w:val="single" w:sz="4" w:space="0" w:color="auto"/>
            </w:tcBorders>
            <w:shd w:val="clear" w:color="auto" w:fill="C6EFCE"/>
            <w:noWrap/>
          </w:tcPr>
          <w:p w14:paraId="0BF6D109" w14:textId="73CEDC97" w:rsidR="00736704" w:rsidRPr="00225351" w:rsidRDefault="00152560"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К8.И2: Бордово оборудване за Европейската система за управление на влаковете</w:t>
            </w:r>
          </w:p>
        </w:tc>
        <w:tc>
          <w:tcPr>
            <w:tcW w:w="1150" w:type="dxa"/>
            <w:tcBorders>
              <w:top w:val="nil"/>
              <w:left w:val="nil"/>
              <w:bottom w:val="single" w:sz="4" w:space="0" w:color="auto"/>
              <w:right w:val="single" w:sz="4" w:space="0" w:color="auto"/>
            </w:tcBorders>
            <w:shd w:val="clear" w:color="auto" w:fill="C6EFCE"/>
            <w:noWrap/>
          </w:tcPr>
          <w:p w14:paraId="16BE09A2"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417" w:type="dxa"/>
            <w:tcBorders>
              <w:top w:val="nil"/>
              <w:left w:val="nil"/>
              <w:bottom w:val="single" w:sz="4" w:space="0" w:color="auto"/>
              <w:right w:val="single" w:sz="4" w:space="0" w:color="auto"/>
            </w:tcBorders>
            <w:shd w:val="clear" w:color="auto" w:fill="C6EFCE"/>
            <w:noWrap/>
          </w:tcPr>
          <w:p w14:paraId="13844AA5"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Договори за инсталиране на бордово оборудване за ERTMS (ETCS)</w:t>
            </w:r>
          </w:p>
        </w:tc>
        <w:tc>
          <w:tcPr>
            <w:tcW w:w="1418" w:type="dxa"/>
            <w:tcBorders>
              <w:top w:val="nil"/>
              <w:left w:val="nil"/>
              <w:bottom w:val="single" w:sz="4" w:space="0" w:color="auto"/>
              <w:right w:val="single" w:sz="4" w:space="0" w:color="auto"/>
            </w:tcBorders>
            <w:shd w:val="clear" w:color="auto" w:fill="C6EFCE"/>
            <w:noWrap/>
          </w:tcPr>
          <w:p w14:paraId="553057A9" w14:textId="77777777" w:rsidR="00736704" w:rsidRPr="00225351" w:rsidRDefault="00736704" w:rsidP="00693327">
            <w:pPr>
              <w:spacing w:after="0" w:line="240" w:lineRule="auto"/>
              <w:rPr>
                <w:rFonts w:ascii="Times New Roman" w:eastAsia="Calibri" w:hAnsi="Times New Roman" w:cs="Times New Roman"/>
                <w:noProof/>
                <w:color w:val="004377"/>
                <w:sz w:val="20"/>
                <w:szCs w:val="20"/>
                <w:u w:val="single"/>
              </w:rPr>
            </w:pPr>
            <w:r>
              <w:rPr>
                <w:rFonts w:ascii="Times New Roman" w:hAnsi="Times New Roman"/>
                <w:noProof/>
                <w:color w:val="006100"/>
                <w:sz w:val="20"/>
              </w:rPr>
              <w:t>Подписване на договор(и) след открита(и) и конкурентна(и) процедура(и) за възлагане</w:t>
            </w:r>
          </w:p>
        </w:tc>
        <w:tc>
          <w:tcPr>
            <w:tcW w:w="1417" w:type="dxa"/>
            <w:tcBorders>
              <w:top w:val="nil"/>
              <w:left w:val="nil"/>
              <w:bottom w:val="single" w:sz="4" w:space="0" w:color="auto"/>
              <w:right w:val="single" w:sz="4" w:space="0" w:color="auto"/>
            </w:tcBorders>
            <w:shd w:val="clear" w:color="auto" w:fill="C6EFCE"/>
            <w:noWrap/>
          </w:tcPr>
          <w:p w14:paraId="3A9FBF51" w14:textId="77777777" w:rsidR="00736704" w:rsidRPr="008A0F8A" w:rsidRDefault="00736704" w:rsidP="00693327">
            <w:pPr>
              <w:spacing w:after="0" w:line="240" w:lineRule="auto"/>
              <w:rPr>
                <w:rFonts w:ascii="Times New Roman" w:eastAsia="Times New Roman" w:hAnsi="Times New Roman" w:cs="Times New Roman"/>
                <w:noProof/>
                <w:color w:val="006100"/>
                <w:sz w:val="20"/>
                <w:szCs w:val="20"/>
                <w:lang w:val="ru-RU"/>
              </w:rPr>
            </w:pPr>
          </w:p>
        </w:tc>
        <w:tc>
          <w:tcPr>
            <w:tcW w:w="993" w:type="dxa"/>
            <w:tcBorders>
              <w:top w:val="nil"/>
              <w:left w:val="nil"/>
              <w:bottom w:val="single" w:sz="4" w:space="0" w:color="auto"/>
              <w:right w:val="single" w:sz="4" w:space="0" w:color="auto"/>
            </w:tcBorders>
            <w:shd w:val="clear" w:color="auto" w:fill="C6EFCE"/>
            <w:noWrap/>
          </w:tcPr>
          <w:p w14:paraId="1D7B66DC" w14:textId="77777777" w:rsidR="00736704" w:rsidRPr="008A0F8A" w:rsidRDefault="00736704" w:rsidP="00693327">
            <w:pPr>
              <w:spacing w:after="0" w:line="240" w:lineRule="auto"/>
              <w:rPr>
                <w:rFonts w:ascii="Times New Roman" w:eastAsia="Times New Roman" w:hAnsi="Times New Roman" w:cs="Times New Roman"/>
                <w:noProof/>
                <w:color w:val="006100"/>
                <w:sz w:val="20"/>
                <w:szCs w:val="20"/>
                <w:lang w:val="ru-RU"/>
              </w:rPr>
            </w:pPr>
          </w:p>
        </w:tc>
        <w:tc>
          <w:tcPr>
            <w:tcW w:w="992" w:type="dxa"/>
            <w:tcBorders>
              <w:top w:val="nil"/>
              <w:left w:val="nil"/>
              <w:bottom w:val="single" w:sz="4" w:space="0" w:color="auto"/>
              <w:right w:val="single" w:sz="4" w:space="0" w:color="auto"/>
            </w:tcBorders>
            <w:shd w:val="clear" w:color="auto" w:fill="C6EFCE"/>
            <w:noWrap/>
          </w:tcPr>
          <w:p w14:paraId="2225D6FF" w14:textId="77777777" w:rsidR="00736704" w:rsidRPr="008A0F8A" w:rsidRDefault="00736704" w:rsidP="00693327">
            <w:pPr>
              <w:spacing w:after="0" w:line="240" w:lineRule="auto"/>
              <w:rPr>
                <w:rFonts w:ascii="Times New Roman" w:eastAsia="Times New Roman" w:hAnsi="Times New Roman" w:cs="Times New Roman"/>
                <w:noProof/>
                <w:color w:val="006100"/>
                <w:sz w:val="20"/>
                <w:szCs w:val="20"/>
                <w:lang w:val="ru-RU"/>
              </w:rPr>
            </w:pPr>
          </w:p>
        </w:tc>
        <w:tc>
          <w:tcPr>
            <w:tcW w:w="850" w:type="dxa"/>
            <w:tcBorders>
              <w:top w:val="nil"/>
              <w:left w:val="nil"/>
              <w:bottom w:val="single" w:sz="4" w:space="0" w:color="auto"/>
              <w:right w:val="single" w:sz="4" w:space="0" w:color="auto"/>
            </w:tcBorders>
            <w:shd w:val="clear" w:color="auto" w:fill="C6EFCE"/>
            <w:noWrap/>
          </w:tcPr>
          <w:p w14:paraId="20B5BCA5" w14:textId="322676F8" w:rsidR="00736704" w:rsidRPr="00E7285C" w:rsidRDefault="00736704" w:rsidP="00693327">
            <w:pPr>
              <w:spacing w:after="0" w:line="240" w:lineRule="auto"/>
              <w:rPr>
                <w:rFonts w:ascii="Times New Roman" w:eastAsia="Times New Roman" w:hAnsi="Times New Roman" w:cs="Times New Roman"/>
                <w:noProof/>
                <w:color w:val="FF0000"/>
                <w:sz w:val="20"/>
                <w:szCs w:val="20"/>
              </w:rPr>
            </w:pPr>
            <w:r>
              <w:rPr>
                <w:rFonts w:ascii="Times New Roman" w:hAnsi="Times New Roman"/>
                <w:noProof/>
                <w:color w:val="006100"/>
                <w:sz w:val="20"/>
              </w:rPr>
              <w:t>T2</w:t>
            </w:r>
          </w:p>
        </w:tc>
        <w:tc>
          <w:tcPr>
            <w:tcW w:w="709" w:type="dxa"/>
            <w:tcBorders>
              <w:top w:val="nil"/>
              <w:left w:val="nil"/>
              <w:bottom w:val="single" w:sz="4" w:space="0" w:color="auto"/>
              <w:right w:val="single" w:sz="4" w:space="0" w:color="auto"/>
            </w:tcBorders>
            <w:shd w:val="clear" w:color="auto" w:fill="C6EFCE"/>
            <w:noWrap/>
          </w:tcPr>
          <w:p w14:paraId="7712CEC5" w14:textId="4E19351B" w:rsidR="00736704" w:rsidRPr="00E7285C" w:rsidRDefault="00736704" w:rsidP="00693327">
            <w:pPr>
              <w:spacing w:after="0" w:line="240" w:lineRule="auto"/>
              <w:rPr>
                <w:rFonts w:ascii="Times New Roman" w:eastAsia="Times New Roman" w:hAnsi="Times New Roman" w:cs="Times New Roman"/>
                <w:noProof/>
                <w:color w:val="FF0000"/>
                <w:sz w:val="20"/>
                <w:szCs w:val="20"/>
              </w:rPr>
            </w:pPr>
            <w:r>
              <w:rPr>
                <w:rFonts w:ascii="Times New Roman" w:hAnsi="Times New Roman"/>
                <w:noProof/>
                <w:color w:val="006100"/>
                <w:sz w:val="20"/>
              </w:rPr>
              <w:t>2023</w:t>
            </w:r>
          </w:p>
        </w:tc>
        <w:tc>
          <w:tcPr>
            <w:tcW w:w="4540" w:type="dxa"/>
            <w:tcBorders>
              <w:top w:val="nil"/>
              <w:left w:val="nil"/>
              <w:bottom w:val="single" w:sz="4" w:space="0" w:color="auto"/>
              <w:right w:val="single" w:sz="4" w:space="0" w:color="auto"/>
            </w:tcBorders>
            <w:shd w:val="clear" w:color="auto" w:fill="C6EFCE"/>
            <w:noWrap/>
          </w:tcPr>
          <w:p w14:paraId="58A503CC" w14:textId="2B292B04" w:rsidR="00736704" w:rsidRPr="00225351" w:rsidRDefault="00736704" w:rsidP="00693327">
            <w:pPr>
              <w:spacing w:after="240" w:line="240" w:lineRule="auto"/>
              <w:jc w:val="both"/>
              <w:rPr>
                <w:rFonts w:ascii="Times New Roman" w:eastAsia="Calibri" w:hAnsi="Times New Roman" w:cs="Times New Roman"/>
                <w:noProof/>
                <w:color w:val="006100"/>
                <w:sz w:val="20"/>
                <w:szCs w:val="20"/>
              </w:rPr>
            </w:pPr>
            <w:r>
              <w:rPr>
                <w:rFonts w:ascii="Times New Roman" w:hAnsi="Times New Roman"/>
                <w:noProof/>
                <w:color w:val="006100"/>
                <w:sz w:val="20"/>
              </w:rPr>
              <w:t>След справедлива и недискриминационна процедура за подбор на доставчик(ци) на бордовото оборудване за ERTMS/ETCS на ниво 2 (в съответствие със стандарт 3/базов сценарий 3) трябва да бъдат подписани договорите с изпълнителя(ите) за доставка, инсталиране, въвеждане в експлоатация, изпитване, получаване на разрешителни и обучение на персонала на операторите за оборудването за ERTMS/ETCS.</w:t>
            </w:r>
          </w:p>
        </w:tc>
      </w:tr>
      <w:tr w:rsidR="00225351" w:rsidRPr="005241FC" w14:paraId="6677E932" w14:textId="77777777" w:rsidTr="00A80AF7">
        <w:trPr>
          <w:jc w:val="center"/>
        </w:trPr>
        <w:tc>
          <w:tcPr>
            <w:tcW w:w="689" w:type="dxa"/>
            <w:tcBorders>
              <w:top w:val="single" w:sz="4" w:space="0" w:color="auto"/>
              <w:left w:val="single" w:sz="4" w:space="0" w:color="auto"/>
              <w:bottom w:val="single" w:sz="4" w:space="0" w:color="auto"/>
              <w:right w:val="single" w:sz="4" w:space="0" w:color="auto"/>
            </w:tcBorders>
            <w:shd w:val="clear" w:color="auto" w:fill="C6EFCE"/>
            <w:noWrap/>
          </w:tcPr>
          <w:p w14:paraId="196DEA1C" w14:textId="11828B0D" w:rsidR="00736704" w:rsidRPr="006D37A1" w:rsidRDefault="240D4F9B" w:rsidP="00693327">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 189</w:t>
            </w:r>
          </w:p>
        </w:tc>
        <w:tc>
          <w:tcPr>
            <w:tcW w:w="1275" w:type="dxa"/>
            <w:tcBorders>
              <w:top w:val="single" w:sz="4" w:space="0" w:color="auto"/>
              <w:left w:val="single" w:sz="4" w:space="0" w:color="auto"/>
              <w:bottom w:val="single" w:sz="4" w:space="0" w:color="auto"/>
              <w:right w:val="single" w:sz="4" w:space="0" w:color="auto"/>
            </w:tcBorders>
            <w:shd w:val="clear" w:color="auto" w:fill="C6EFCE"/>
            <w:noWrap/>
          </w:tcPr>
          <w:p w14:paraId="28BAFD9A" w14:textId="1C992460" w:rsidR="00736704" w:rsidRPr="00A37DCC" w:rsidRDefault="00152560"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К8.И2: Бордово оборудване за Европейската система за управление на влаковете</w:t>
            </w:r>
          </w:p>
        </w:tc>
        <w:tc>
          <w:tcPr>
            <w:tcW w:w="1150" w:type="dxa"/>
            <w:tcBorders>
              <w:top w:val="single" w:sz="4" w:space="0" w:color="auto"/>
              <w:left w:val="single" w:sz="4" w:space="0" w:color="auto"/>
              <w:bottom w:val="single" w:sz="4" w:space="0" w:color="auto"/>
              <w:right w:val="single" w:sz="4" w:space="0" w:color="auto"/>
            </w:tcBorders>
            <w:shd w:val="clear" w:color="auto" w:fill="C6EFCE"/>
            <w:noWrap/>
          </w:tcPr>
          <w:p w14:paraId="170B2E2D" w14:textId="77777777" w:rsidR="00736704" w:rsidRPr="006D37A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Цел</w:t>
            </w:r>
          </w:p>
        </w:tc>
        <w:tc>
          <w:tcPr>
            <w:tcW w:w="1417" w:type="dxa"/>
            <w:tcBorders>
              <w:top w:val="single" w:sz="4" w:space="0" w:color="auto"/>
              <w:left w:val="single" w:sz="4" w:space="0" w:color="auto"/>
              <w:bottom w:val="single" w:sz="4" w:space="0" w:color="auto"/>
              <w:right w:val="single" w:sz="4" w:space="0" w:color="auto"/>
            </w:tcBorders>
            <w:shd w:val="clear" w:color="auto" w:fill="C6EFCE"/>
            <w:noWrap/>
          </w:tcPr>
          <w:p w14:paraId="22F73D41" w14:textId="77777777" w:rsidR="00736704" w:rsidRPr="006D37A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Доставка и инсталиране на бордовото оборудване за ERTMS/ETCS</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14:paraId="01F5B657" w14:textId="77777777" w:rsidR="00736704" w:rsidRPr="006D37A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C6EFCE"/>
            <w:noWrap/>
          </w:tcPr>
          <w:p w14:paraId="4A60E545" w14:textId="77777777" w:rsidR="00736704" w:rsidRPr="006D37A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Брой единици</w:t>
            </w:r>
          </w:p>
        </w:tc>
        <w:tc>
          <w:tcPr>
            <w:tcW w:w="993" w:type="dxa"/>
            <w:tcBorders>
              <w:top w:val="single" w:sz="4" w:space="0" w:color="auto"/>
              <w:left w:val="single" w:sz="4" w:space="0" w:color="auto"/>
              <w:bottom w:val="single" w:sz="4" w:space="0" w:color="auto"/>
              <w:right w:val="single" w:sz="4" w:space="0" w:color="auto"/>
            </w:tcBorders>
            <w:shd w:val="clear" w:color="auto" w:fill="C6EFCE"/>
            <w:noWrap/>
          </w:tcPr>
          <w:p w14:paraId="024874B8" w14:textId="77777777" w:rsidR="00736704" w:rsidRPr="006D37A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w:t>
            </w:r>
          </w:p>
        </w:tc>
        <w:tc>
          <w:tcPr>
            <w:tcW w:w="992" w:type="dxa"/>
            <w:tcBorders>
              <w:top w:val="single" w:sz="4" w:space="0" w:color="auto"/>
              <w:left w:val="single" w:sz="4" w:space="0" w:color="auto"/>
              <w:bottom w:val="single" w:sz="4" w:space="0" w:color="auto"/>
              <w:right w:val="single" w:sz="4" w:space="0" w:color="auto"/>
            </w:tcBorders>
            <w:shd w:val="clear" w:color="auto" w:fill="C6EFCE"/>
            <w:noWrap/>
          </w:tcPr>
          <w:p w14:paraId="30B2697F" w14:textId="2BF32413" w:rsidR="00736704" w:rsidRPr="006D37A1" w:rsidRDefault="6EE5C5FA"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30</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14:paraId="4785FEE3" w14:textId="55DF8B01" w:rsidR="00736704" w:rsidRPr="006D37A1" w:rsidRDefault="7F84CEF6" w:rsidP="00693327">
            <w:pPr>
              <w:spacing w:after="0" w:line="240" w:lineRule="auto"/>
              <w:rPr>
                <w:rFonts w:ascii="Times New Roman" w:eastAsia="Calibri" w:hAnsi="Times New Roman" w:cs="Times New Roman"/>
                <w:noProof/>
                <w:sz w:val="20"/>
                <w:szCs w:val="20"/>
              </w:rPr>
            </w:pPr>
            <w:r>
              <w:rPr>
                <w:rFonts w:ascii="Times New Roman" w:hAnsi="Times New Roman"/>
                <w:noProof/>
                <w:color w:val="006100"/>
                <w:sz w:val="20"/>
              </w:rPr>
              <w:t>T2</w:t>
            </w:r>
          </w:p>
        </w:tc>
        <w:tc>
          <w:tcPr>
            <w:tcW w:w="709" w:type="dxa"/>
            <w:tcBorders>
              <w:top w:val="single" w:sz="4" w:space="0" w:color="auto"/>
              <w:left w:val="single" w:sz="4" w:space="0" w:color="auto"/>
              <w:bottom w:val="single" w:sz="4" w:space="0" w:color="auto"/>
              <w:right w:val="single" w:sz="4" w:space="0" w:color="auto"/>
            </w:tcBorders>
            <w:shd w:val="clear" w:color="auto" w:fill="C6EFCE"/>
            <w:noWrap/>
          </w:tcPr>
          <w:p w14:paraId="7A901B76" w14:textId="225AA079" w:rsidR="00736704" w:rsidRPr="006D37A1" w:rsidRDefault="240D4F9B" w:rsidP="00693327">
            <w:pPr>
              <w:spacing w:after="0" w:line="240" w:lineRule="auto"/>
              <w:rPr>
                <w:rFonts w:ascii="Times New Roman" w:eastAsia="Calibri" w:hAnsi="Times New Roman" w:cs="Times New Roman"/>
                <w:noProof/>
                <w:sz w:val="20"/>
                <w:szCs w:val="20"/>
              </w:rPr>
            </w:pPr>
            <w:r>
              <w:rPr>
                <w:rFonts w:ascii="Times New Roman" w:hAnsi="Times New Roman"/>
                <w:noProof/>
                <w:color w:val="006100"/>
                <w:sz w:val="20"/>
              </w:rPr>
              <w:t>2025</w:t>
            </w:r>
          </w:p>
        </w:tc>
        <w:tc>
          <w:tcPr>
            <w:tcW w:w="4540" w:type="dxa"/>
            <w:tcBorders>
              <w:top w:val="single" w:sz="4" w:space="0" w:color="auto"/>
              <w:left w:val="single" w:sz="4" w:space="0" w:color="auto"/>
              <w:bottom w:val="single" w:sz="4" w:space="0" w:color="auto"/>
              <w:right w:val="single" w:sz="4" w:space="0" w:color="auto"/>
            </w:tcBorders>
            <w:shd w:val="clear" w:color="auto" w:fill="C6EFCE"/>
            <w:noWrap/>
          </w:tcPr>
          <w:p w14:paraId="057A6546" w14:textId="77777777" w:rsidR="00736704" w:rsidRPr="006D37A1" w:rsidRDefault="00736704" w:rsidP="00693327">
            <w:pPr>
              <w:spacing w:after="24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Тази междинна цел се отнася за броя на единиците от подвижния състав (локомотиви и мотриси), в които трябва да бъде инсталирано и готово за експлоатация оборудване за ERTMS/ETCS на ниво 2.</w:t>
            </w:r>
          </w:p>
          <w:p w14:paraId="438BD505" w14:textId="2F602D6C" w:rsidR="00470FBA" w:rsidRPr="006D37A1" w:rsidRDefault="00736704" w:rsidP="00693327">
            <w:pPr>
              <w:spacing w:line="240" w:lineRule="auto"/>
              <w:jc w:val="both"/>
              <w:rPr>
                <w:rFonts w:ascii="Times New Roman" w:eastAsia="Calibri" w:hAnsi="Times New Roman" w:cs="Times New Roman"/>
                <w:noProof/>
                <w:color w:val="006100"/>
                <w:sz w:val="20"/>
                <w:szCs w:val="20"/>
              </w:rPr>
            </w:pPr>
            <w:r>
              <w:rPr>
                <w:rFonts w:ascii="Times New Roman" w:hAnsi="Times New Roman"/>
                <w:noProof/>
                <w:color w:val="006100"/>
                <w:sz w:val="20"/>
              </w:rPr>
              <w:t>Избраният за подпомагане подвижен състав трябва да бъде продаден на следващия оператор по пазарна цена, която не включва/от която се приспада получената от бенефициера помощ.</w:t>
            </w:r>
          </w:p>
        </w:tc>
      </w:tr>
      <w:tr w:rsidR="00225351" w:rsidRPr="005241FC" w14:paraId="6626B2E0" w14:textId="77777777" w:rsidTr="00A80AF7">
        <w:trPr>
          <w:jc w:val="center"/>
        </w:trPr>
        <w:tc>
          <w:tcPr>
            <w:tcW w:w="689" w:type="dxa"/>
            <w:tcBorders>
              <w:top w:val="single" w:sz="4" w:space="0" w:color="auto"/>
              <w:left w:val="single" w:sz="4" w:space="0" w:color="auto"/>
              <w:bottom w:val="single" w:sz="4" w:space="0" w:color="auto"/>
              <w:right w:val="single" w:sz="4" w:space="0" w:color="auto"/>
            </w:tcBorders>
            <w:shd w:val="clear" w:color="auto" w:fill="C6EFCE"/>
            <w:noWrap/>
          </w:tcPr>
          <w:p w14:paraId="213A0ED7" w14:textId="1475ACE1" w:rsidR="00736704" w:rsidRPr="00225351" w:rsidRDefault="240D4F9B" w:rsidP="00693327">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 190</w:t>
            </w:r>
          </w:p>
        </w:tc>
        <w:tc>
          <w:tcPr>
            <w:tcW w:w="1275" w:type="dxa"/>
            <w:tcBorders>
              <w:top w:val="single" w:sz="4" w:space="0" w:color="auto"/>
              <w:left w:val="single" w:sz="4" w:space="0" w:color="auto"/>
              <w:bottom w:val="single" w:sz="4" w:space="0" w:color="auto"/>
              <w:right w:val="single" w:sz="4" w:space="0" w:color="auto"/>
            </w:tcBorders>
            <w:shd w:val="clear" w:color="auto" w:fill="C6EFCE"/>
            <w:noWrap/>
          </w:tcPr>
          <w:p w14:paraId="4B580241" w14:textId="6AA8EFD2" w:rsidR="00736704" w:rsidRPr="00225351" w:rsidRDefault="00152560"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К8.И2: Бордово оборудване за Европейската система за управление на влаковете</w:t>
            </w:r>
          </w:p>
        </w:tc>
        <w:tc>
          <w:tcPr>
            <w:tcW w:w="1150" w:type="dxa"/>
            <w:tcBorders>
              <w:top w:val="single" w:sz="4" w:space="0" w:color="auto"/>
              <w:left w:val="single" w:sz="4" w:space="0" w:color="auto"/>
              <w:bottom w:val="single" w:sz="4" w:space="0" w:color="auto"/>
              <w:right w:val="single" w:sz="4" w:space="0" w:color="auto"/>
            </w:tcBorders>
            <w:shd w:val="clear" w:color="auto" w:fill="C6EFCE"/>
            <w:noWrap/>
          </w:tcPr>
          <w:p w14:paraId="0A5B61A4"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Цел</w:t>
            </w:r>
          </w:p>
        </w:tc>
        <w:tc>
          <w:tcPr>
            <w:tcW w:w="1417" w:type="dxa"/>
            <w:tcBorders>
              <w:top w:val="single" w:sz="4" w:space="0" w:color="auto"/>
              <w:left w:val="single" w:sz="4" w:space="0" w:color="auto"/>
              <w:bottom w:val="single" w:sz="4" w:space="0" w:color="auto"/>
              <w:right w:val="single" w:sz="4" w:space="0" w:color="auto"/>
            </w:tcBorders>
            <w:shd w:val="clear" w:color="auto" w:fill="C6EFCE"/>
            <w:noWrap/>
          </w:tcPr>
          <w:p w14:paraId="6EBD84E0" w14:textId="6563FD76"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Доставка и инсталиране на бордовото оборудване за ERTMS/ETCS</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14:paraId="779F7D55"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1417" w:type="dxa"/>
            <w:tcBorders>
              <w:top w:val="single" w:sz="4" w:space="0" w:color="auto"/>
              <w:left w:val="single" w:sz="4" w:space="0" w:color="auto"/>
              <w:bottom w:val="single" w:sz="4" w:space="0" w:color="auto"/>
              <w:right w:val="single" w:sz="4" w:space="0" w:color="auto"/>
            </w:tcBorders>
            <w:shd w:val="clear" w:color="auto" w:fill="C6EFCE"/>
            <w:noWrap/>
          </w:tcPr>
          <w:p w14:paraId="3C981EBD"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Брой единици</w:t>
            </w:r>
          </w:p>
        </w:tc>
        <w:tc>
          <w:tcPr>
            <w:tcW w:w="993" w:type="dxa"/>
            <w:tcBorders>
              <w:top w:val="single" w:sz="4" w:space="0" w:color="auto"/>
              <w:left w:val="single" w:sz="4" w:space="0" w:color="auto"/>
              <w:bottom w:val="single" w:sz="4" w:space="0" w:color="auto"/>
              <w:right w:val="single" w:sz="4" w:space="0" w:color="auto"/>
            </w:tcBorders>
            <w:shd w:val="clear" w:color="auto" w:fill="C6EFCE"/>
            <w:noWrap/>
          </w:tcPr>
          <w:p w14:paraId="32E0120D"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36</w:t>
            </w:r>
          </w:p>
        </w:tc>
        <w:tc>
          <w:tcPr>
            <w:tcW w:w="992" w:type="dxa"/>
            <w:tcBorders>
              <w:top w:val="single" w:sz="4" w:space="0" w:color="auto"/>
              <w:left w:val="single" w:sz="4" w:space="0" w:color="auto"/>
              <w:bottom w:val="single" w:sz="4" w:space="0" w:color="auto"/>
              <w:right w:val="single" w:sz="4" w:space="0" w:color="auto"/>
            </w:tcBorders>
            <w:shd w:val="clear" w:color="auto" w:fill="C6EFCE"/>
            <w:noWrap/>
          </w:tcPr>
          <w:p w14:paraId="59214AF2" w14:textId="2EA24D6B" w:rsidR="00736704" w:rsidRPr="00225351" w:rsidRDefault="6EE5C5FA"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89</w:t>
            </w:r>
          </w:p>
          <w:p w14:paraId="6D451807"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lang w:val="en-IE"/>
              </w:rPr>
            </w:pP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14:paraId="0EB7B6E3" w14:textId="52F5ED9A" w:rsidR="00736704" w:rsidRPr="00225351" w:rsidRDefault="7F84CEF6"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T2</w:t>
            </w:r>
          </w:p>
        </w:tc>
        <w:tc>
          <w:tcPr>
            <w:tcW w:w="709" w:type="dxa"/>
            <w:tcBorders>
              <w:top w:val="single" w:sz="4" w:space="0" w:color="auto"/>
              <w:left w:val="single" w:sz="4" w:space="0" w:color="auto"/>
              <w:bottom w:val="single" w:sz="4" w:space="0" w:color="auto"/>
              <w:right w:val="single" w:sz="4" w:space="0" w:color="auto"/>
            </w:tcBorders>
            <w:shd w:val="clear" w:color="auto" w:fill="C6EFCE"/>
            <w:noWrap/>
          </w:tcPr>
          <w:p w14:paraId="38EFDD22" w14:textId="47C799E9" w:rsidR="00736704" w:rsidRPr="00225351" w:rsidRDefault="240D4F9B"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2026</w:t>
            </w:r>
          </w:p>
        </w:tc>
        <w:tc>
          <w:tcPr>
            <w:tcW w:w="4540" w:type="dxa"/>
            <w:tcBorders>
              <w:top w:val="single" w:sz="4" w:space="0" w:color="auto"/>
              <w:left w:val="single" w:sz="4" w:space="0" w:color="auto"/>
              <w:bottom w:val="single" w:sz="4" w:space="0" w:color="auto"/>
              <w:right w:val="single" w:sz="4" w:space="0" w:color="auto"/>
            </w:tcBorders>
            <w:shd w:val="clear" w:color="auto" w:fill="C6EFCE"/>
            <w:noWrap/>
          </w:tcPr>
          <w:p w14:paraId="650343CE" w14:textId="77777777" w:rsidR="00736704" w:rsidRPr="00225351" w:rsidRDefault="00736704" w:rsidP="00693327">
            <w:pPr>
              <w:spacing w:after="24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Крайната цел се отнася за броя на единиците от подвижния състав (локомотиви и мотриси), в които трябва да бъде инсталирано и готово за експлоатация оборудване за ERTMS/ETCS на ниво 2. </w:t>
            </w:r>
          </w:p>
          <w:p w14:paraId="3041C4C6" w14:textId="0F16FDE6" w:rsidR="00736704" w:rsidRPr="00225351" w:rsidRDefault="00736704" w:rsidP="00693327">
            <w:pPr>
              <w:spacing w:line="240" w:lineRule="auto"/>
              <w:jc w:val="both"/>
              <w:rPr>
                <w:rFonts w:ascii="Times New Roman" w:eastAsia="Calibri" w:hAnsi="Times New Roman" w:cs="Times New Roman"/>
                <w:noProof/>
                <w:color w:val="006100"/>
                <w:sz w:val="20"/>
                <w:szCs w:val="20"/>
              </w:rPr>
            </w:pPr>
            <w:r>
              <w:rPr>
                <w:rFonts w:ascii="Times New Roman" w:hAnsi="Times New Roman"/>
                <w:noProof/>
                <w:color w:val="006100"/>
                <w:sz w:val="20"/>
              </w:rPr>
              <w:t>Избраният за подпомагане подвижен състав трябва да бъде прехвърлен на следващия оператор по пазарна цена, която не включва/от която се приспада получената от бенефициера помощ.</w:t>
            </w:r>
          </w:p>
        </w:tc>
      </w:tr>
      <w:tr w:rsidR="00225351" w:rsidRPr="005241FC" w14:paraId="6DDAE222" w14:textId="77777777" w:rsidTr="00A80AF7">
        <w:trPr>
          <w:jc w:val="center"/>
        </w:trPr>
        <w:tc>
          <w:tcPr>
            <w:tcW w:w="689" w:type="dxa"/>
            <w:tcBorders>
              <w:top w:val="single" w:sz="4" w:space="0" w:color="auto"/>
              <w:left w:val="single" w:sz="4" w:space="0" w:color="auto"/>
              <w:bottom w:val="single" w:sz="4" w:space="0" w:color="auto"/>
              <w:right w:val="single" w:sz="4" w:space="0" w:color="auto"/>
            </w:tcBorders>
            <w:shd w:val="clear" w:color="auto" w:fill="C6EFCE"/>
            <w:noWrap/>
          </w:tcPr>
          <w:p w14:paraId="5B700BD8" w14:textId="7A5A9F86" w:rsidR="00736704" w:rsidRPr="00225351" w:rsidRDefault="006008D2" w:rsidP="00693327">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197</w:t>
            </w:r>
          </w:p>
        </w:tc>
        <w:tc>
          <w:tcPr>
            <w:tcW w:w="1275" w:type="dxa"/>
            <w:tcBorders>
              <w:top w:val="single" w:sz="4" w:space="0" w:color="auto"/>
              <w:left w:val="single" w:sz="4" w:space="0" w:color="auto"/>
              <w:bottom w:val="single" w:sz="4" w:space="0" w:color="auto"/>
              <w:right w:val="single" w:sz="4" w:space="0" w:color="auto"/>
            </w:tcBorders>
            <w:shd w:val="clear" w:color="auto" w:fill="C6EFCE"/>
            <w:noWrap/>
          </w:tcPr>
          <w:p w14:paraId="74833B80" w14:textId="6C430CF5" w:rsidR="00736704" w:rsidRPr="00225351" w:rsidRDefault="00C8071B"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К8.И5: Безопасност на движението по пътищата</w:t>
            </w:r>
          </w:p>
          <w:p w14:paraId="698E9C20" w14:textId="77777777" w:rsidR="00736704" w:rsidRPr="008A0F8A" w:rsidRDefault="00736704" w:rsidP="00693327">
            <w:pPr>
              <w:spacing w:after="0" w:line="240" w:lineRule="auto"/>
              <w:rPr>
                <w:rFonts w:ascii="Times New Roman" w:eastAsia="Times New Roman" w:hAnsi="Times New Roman" w:cs="Times New Roman"/>
                <w:noProof/>
                <w:color w:val="006100"/>
                <w:sz w:val="20"/>
                <w:szCs w:val="20"/>
                <w:lang w:val="ru-RU" w:eastAsia="en-GB"/>
              </w:rPr>
            </w:pPr>
          </w:p>
          <w:p w14:paraId="1F0876EE" w14:textId="77777777" w:rsidR="00736704" w:rsidRPr="008A0F8A" w:rsidDel="00DF02D8" w:rsidRDefault="00736704" w:rsidP="00693327">
            <w:pPr>
              <w:spacing w:after="0" w:line="240" w:lineRule="auto"/>
              <w:rPr>
                <w:rFonts w:ascii="Times New Roman" w:eastAsia="Times New Roman" w:hAnsi="Times New Roman" w:cs="Times New Roman"/>
                <w:noProof/>
                <w:color w:val="006100"/>
                <w:sz w:val="20"/>
                <w:szCs w:val="20"/>
                <w:lang w:val="ru-RU" w:eastAsia="en-GB"/>
              </w:rPr>
            </w:pPr>
          </w:p>
        </w:tc>
        <w:tc>
          <w:tcPr>
            <w:tcW w:w="1150" w:type="dxa"/>
            <w:tcBorders>
              <w:top w:val="single" w:sz="4" w:space="0" w:color="auto"/>
              <w:left w:val="single" w:sz="4" w:space="0" w:color="auto"/>
              <w:bottom w:val="single" w:sz="4" w:space="0" w:color="auto"/>
              <w:right w:val="single" w:sz="4" w:space="0" w:color="auto"/>
            </w:tcBorders>
            <w:shd w:val="clear" w:color="auto" w:fill="C6EFCE"/>
            <w:noWrap/>
          </w:tcPr>
          <w:p w14:paraId="22C7533E" w14:textId="18C40967" w:rsidR="00736704" w:rsidRPr="00225351" w:rsidRDefault="0011725C"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Цел</w:t>
            </w:r>
          </w:p>
        </w:tc>
        <w:tc>
          <w:tcPr>
            <w:tcW w:w="1417" w:type="dxa"/>
            <w:tcBorders>
              <w:top w:val="single" w:sz="4" w:space="0" w:color="auto"/>
              <w:left w:val="single" w:sz="4" w:space="0" w:color="auto"/>
              <w:bottom w:val="single" w:sz="4" w:space="0" w:color="auto"/>
              <w:right w:val="single" w:sz="4" w:space="0" w:color="auto"/>
            </w:tcBorders>
            <w:shd w:val="clear" w:color="auto" w:fill="C6EFCE"/>
            <w:noWrap/>
          </w:tcPr>
          <w:p w14:paraId="53D12FA3"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Софтуерно приложение и специализирани </w:t>
            </w:r>
          </w:p>
          <w:p w14:paraId="1B1D704F"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превозни средства, с които да може да се подобри управление на безопасността на движението по пътищата, включително оценка на пътната инфраструктура</w:t>
            </w:r>
            <w:r>
              <w:rPr>
                <w:rFonts w:ascii="Times New Roman" w:hAnsi="Times New Roman"/>
                <w:noProof/>
                <w:sz w:val="20"/>
              </w:rPr>
              <w:br/>
            </w:r>
            <w:r>
              <w:rPr>
                <w:rFonts w:ascii="Times New Roman" w:hAnsi="Times New Roman"/>
                <w:noProof/>
                <w:color w:val="006100"/>
                <w:sz w:val="20"/>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14:paraId="536A5659" w14:textId="75EC0C6F" w:rsidR="00736704" w:rsidRPr="008A0F8A" w:rsidRDefault="00736704" w:rsidP="00693327">
            <w:pPr>
              <w:spacing w:after="0" w:line="240" w:lineRule="auto"/>
              <w:rPr>
                <w:rFonts w:ascii="Times New Roman" w:eastAsia="Times New Roman" w:hAnsi="Times New Roman" w:cs="Times New Roman"/>
                <w:noProof/>
                <w:color w:val="006100"/>
                <w:sz w:val="20"/>
                <w:szCs w:val="20"/>
                <w:lang w:val="ru-RU"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C6EFCE"/>
            <w:noWrap/>
          </w:tcPr>
          <w:p w14:paraId="317F7165" w14:textId="1FE2EB8E" w:rsidR="00736704" w:rsidRPr="00225351" w:rsidRDefault="0011725C" w:rsidP="009D7A96">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Брой </w:t>
            </w:r>
          </w:p>
        </w:tc>
        <w:tc>
          <w:tcPr>
            <w:tcW w:w="993" w:type="dxa"/>
            <w:tcBorders>
              <w:top w:val="single" w:sz="4" w:space="0" w:color="auto"/>
              <w:left w:val="single" w:sz="4" w:space="0" w:color="auto"/>
              <w:bottom w:val="single" w:sz="4" w:space="0" w:color="auto"/>
              <w:right w:val="single" w:sz="4" w:space="0" w:color="auto"/>
            </w:tcBorders>
            <w:shd w:val="clear" w:color="auto" w:fill="C6EFCE"/>
            <w:noWrap/>
          </w:tcPr>
          <w:p w14:paraId="012DFA19"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0</w:t>
            </w:r>
          </w:p>
        </w:tc>
        <w:tc>
          <w:tcPr>
            <w:tcW w:w="992" w:type="dxa"/>
            <w:tcBorders>
              <w:top w:val="single" w:sz="4" w:space="0" w:color="auto"/>
              <w:left w:val="single" w:sz="4" w:space="0" w:color="auto"/>
              <w:bottom w:val="single" w:sz="4" w:space="0" w:color="auto"/>
              <w:right w:val="single" w:sz="4" w:space="0" w:color="auto"/>
            </w:tcBorders>
            <w:shd w:val="clear" w:color="auto" w:fill="C6EFCE"/>
            <w:noWrap/>
          </w:tcPr>
          <w:p w14:paraId="5BE052B8"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34</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14:paraId="47D23B2E"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T4</w:t>
            </w:r>
          </w:p>
        </w:tc>
        <w:tc>
          <w:tcPr>
            <w:tcW w:w="709" w:type="dxa"/>
            <w:tcBorders>
              <w:top w:val="single" w:sz="4" w:space="0" w:color="auto"/>
              <w:left w:val="single" w:sz="4" w:space="0" w:color="auto"/>
              <w:bottom w:val="single" w:sz="4" w:space="0" w:color="auto"/>
              <w:right w:val="single" w:sz="4" w:space="0" w:color="auto"/>
            </w:tcBorders>
            <w:shd w:val="clear" w:color="auto" w:fill="C6EFCE"/>
            <w:noWrap/>
          </w:tcPr>
          <w:p w14:paraId="67352CF3"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2024</w:t>
            </w:r>
          </w:p>
        </w:tc>
        <w:tc>
          <w:tcPr>
            <w:tcW w:w="4540" w:type="dxa"/>
            <w:tcBorders>
              <w:top w:val="single" w:sz="4" w:space="0" w:color="auto"/>
              <w:left w:val="single" w:sz="4" w:space="0" w:color="auto"/>
              <w:bottom w:val="single" w:sz="4" w:space="0" w:color="auto"/>
              <w:right w:val="single" w:sz="4" w:space="0" w:color="auto"/>
            </w:tcBorders>
            <w:shd w:val="clear" w:color="auto" w:fill="C6EFCE"/>
            <w:noWrap/>
          </w:tcPr>
          <w:p w14:paraId="7E0A4CED" w14:textId="77777777" w:rsidR="00736704" w:rsidRPr="00225351" w:rsidRDefault="00736704" w:rsidP="00693327">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Целта се отнася за придобиването и пускането в експлоатация на оборудване за приоритизиране и планиране на инфраструктурни мерки за подобряване на безопасността на движението по пътищата въз основа на анализ на нуждите и отчитаща риска оценка.</w:t>
            </w:r>
          </w:p>
          <w:p w14:paraId="6C361A74" w14:textId="77777777" w:rsidR="00736704" w:rsidRPr="008A0F8A" w:rsidRDefault="00736704" w:rsidP="00693327">
            <w:pPr>
              <w:spacing w:after="0" w:line="240" w:lineRule="auto"/>
              <w:jc w:val="both"/>
              <w:rPr>
                <w:rFonts w:ascii="Times New Roman" w:eastAsia="Times New Roman" w:hAnsi="Times New Roman" w:cs="Times New Roman"/>
                <w:noProof/>
                <w:color w:val="006100"/>
                <w:sz w:val="20"/>
                <w:szCs w:val="20"/>
                <w:lang w:val="ru-RU"/>
              </w:rPr>
            </w:pPr>
          </w:p>
          <w:p w14:paraId="72A1C5CE" w14:textId="77777777" w:rsidR="00736704" w:rsidRPr="00225351" w:rsidRDefault="00736704" w:rsidP="00693327">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Това трябва да включва: </w:t>
            </w:r>
          </w:p>
          <w:p w14:paraId="432E5ECE" w14:textId="77777777" w:rsidR="00736704" w:rsidRPr="00225351" w:rsidRDefault="00736704" w:rsidP="00693327">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 доставка на 27 нови многофункционални модулни специализирани превозни средства;</w:t>
            </w:r>
          </w:p>
          <w:p w14:paraId="64F7DF1F" w14:textId="77777777" w:rsidR="00736704" w:rsidRPr="00225351" w:rsidRDefault="00736704" w:rsidP="00693327">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 доставка на 2 нови специализирани превозни средства за автоматизиран контрол на движението; </w:t>
            </w:r>
          </w:p>
          <w:p w14:paraId="1437A3BF" w14:textId="77777777" w:rsidR="00736704" w:rsidRPr="00225351" w:rsidRDefault="00736704" w:rsidP="00693327">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 доставка на 2 нови специализирани превозни средства под формата на подвижна лаборатория за оценка на състоянието на пътната безопасност, например експлоатационни показатели на пътната повърхност и нейното функционално състояние; </w:t>
            </w:r>
          </w:p>
          <w:p w14:paraId="3591970D" w14:textId="77777777" w:rsidR="00736704" w:rsidRPr="00225351" w:rsidRDefault="00736704" w:rsidP="00693327">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 разработване и интегриране на 3 нови софтуерни приложения за 1) управление, планиране и приоритизиране на дейности (за развитие и поддръжка на инфраструктурата) по (националните и общинските) пътища(та), 2) национална електронна система за докладване, предаване и обработка на сигнали, свързани с безопасността на пътната инфраструктура, 3) управление на по-равномерни потоци на движение на тежкотоварните превозни средства на граничните контролно-пропускателни пунктове.</w:t>
            </w:r>
          </w:p>
          <w:p w14:paraId="2D5C9E32" w14:textId="77777777" w:rsidR="00736704" w:rsidRPr="008A0F8A" w:rsidRDefault="00736704" w:rsidP="00693327">
            <w:pPr>
              <w:spacing w:after="0" w:line="240" w:lineRule="auto"/>
              <w:jc w:val="both"/>
              <w:rPr>
                <w:rFonts w:ascii="Times New Roman" w:eastAsia="Times New Roman" w:hAnsi="Times New Roman" w:cs="Times New Roman"/>
                <w:noProof/>
                <w:color w:val="006100"/>
                <w:sz w:val="20"/>
                <w:szCs w:val="20"/>
                <w:lang w:val="ru-RU"/>
              </w:rPr>
            </w:pPr>
          </w:p>
          <w:p w14:paraId="552DC126" w14:textId="77777777" w:rsidR="00736704" w:rsidRPr="00225351" w:rsidRDefault="00736704" w:rsidP="00693327">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Превозните средства трябва да бъдат с нулеви емисии (електрически/водородни) или да имат емисии под 50 g CO2/km в съответствие с Техническите насоки за прилагането на принципа за „ненанасяне на значителни вреди“. </w:t>
            </w:r>
          </w:p>
          <w:p w14:paraId="5757B89A" w14:textId="77777777" w:rsidR="00736704" w:rsidRPr="008A0F8A" w:rsidRDefault="00736704" w:rsidP="00693327">
            <w:pPr>
              <w:spacing w:after="0" w:line="240" w:lineRule="auto"/>
              <w:jc w:val="both"/>
              <w:rPr>
                <w:rFonts w:ascii="Times New Roman" w:eastAsia="Times New Roman" w:hAnsi="Times New Roman" w:cs="Times New Roman"/>
                <w:noProof/>
                <w:color w:val="006100"/>
                <w:sz w:val="20"/>
                <w:szCs w:val="20"/>
                <w:lang w:val="ru-RU"/>
              </w:rPr>
            </w:pPr>
          </w:p>
          <w:p w14:paraId="5B51D811" w14:textId="77777777" w:rsidR="00736704" w:rsidRPr="00225351" w:rsidRDefault="00736704" w:rsidP="00693327">
            <w:pPr>
              <w:jc w:val="both"/>
              <w:rPr>
                <w:rFonts w:ascii="Times New Roman" w:hAnsi="Times New Roman" w:cs="Times New Roman"/>
                <w:noProof/>
                <w:sz w:val="20"/>
                <w:szCs w:val="20"/>
              </w:rPr>
            </w:pPr>
            <w:r>
              <w:rPr>
                <w:rFonts w:ascii="Times New Roman" w:hAnsi="Times New Roman"/>
                <w:noProof/>
                <w:color w:val="006100"/>
                <w:sz w:val="20"/>
              </w:rPr>
              <w:t>Всички предвидени превозни средства и софтуерни приложения трябва да бъдат използвани от Държавна агенция „Безопасност на движението по пътищата“, Агенция „Пътна инфраструктура“ или общините изключително за наблюдение на пътната безопасност и поддръжка на пътищата.</w:t>
            </w:r>
          </w:p>
        </w:tc>
      </w:tr>
      <w:tr w:rsidR="00225351" w:rsidRPr="005241FC" w14:paraId="14BEE1F2" w14:textId="77777777" w:rsidTr="00A80AF7">
        <w:trPr>
          <w:jc w:val="center"/>
        </w:trPr>
        <w:tc>
          <w:tcPr>
            <w:tcW w:w="689" w:type="dxa"/>
            <w:tcBorders>
              <w:top w:val="single" w:sz="4" w:space="0" w:color="auto"/>
              <w:left w:val="single" w:sz="4" w:space="0" w:color="auto"/>
              <w:bottom w:val="single" w:sz="4" w:space="0" w:color="auto"/>
              <w:right w:val="single" w:sz="4" w:space="0" w:color="auto"/>
            </w:tcBorders>
            <w:shd w:val="clear" w:color="auto" w:fill="C6EFCE"/>
            <w:noWrap/>
          </w:tcPr>
          <w:p w14:paraId="01222A04" w14:textId="3095D85D" w:rsidR="00736704" w:rsidRPr="00225351" w:rsidRDefault="006008D2" w:rsidP="00693327">
            <w:pPr>
              <w:spacing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198</w:t>
            </w:r>
          </w:p>
        </w:tc>
        <w:tc>
          <w:tcPr>
            <w:tcW w:w="1275" w:type="dxa"/>
            <w:tcBorders>
              <w:top w:val="single" w:sz="4" w:space="0" w:color="auto"/>
              <w:left w:val="nil"/>
              <w:bottom w:val="single" w:sz="4" w:space="0" w:color="auto"/>
              <w:right w:val="single" w:sz="4" w:space="0" w:color="auto"/>
            </w:tcBorders>
            <w:shd w:val="clear" w:color="auto" w:fill="C6EFCE"/>
            <w:noWrap/>
          </w:tcPr>
          <w:p w14:paraId="16B29214" w14:textId="0932A64E" w:rsidR="00736704" w:rsidRPr="00225351" w:rsidRDefault="00C8071B"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К8.И5: Безопасност на движението по пътищата</w:t>
            </w:r>
          </w:p>
        </w:tc>
        <w:tc>
          <w:tcPr>
            <w:tcW w:w="1150" w:type="dxa"/>
            <w:tcBorders>
              <w:top w:val="single" w:sz="4" w:space="0" w:color="auto"/>
              <w:left w:val="nil"/>
              <w:bottom w:val="single" w:sz="4" w:space="0" w:color="auto"/>
              <w:right w:val="single" w:sz="4" w:space="0" w:color="auto"/>
            </w:tcBorders>
            <w:shd w:val="clear" w:color="auto" w:fill="C6EFCE"/>
            <w:noWrap/>
          </w:tcPr>
          <w:p w14:paraId="5B9ACCB3" w14:textId="77777777" w:rsidR="00736704" w:rsidRPr="00225351" w:rsidRDefault="00736704" w:rsidP="00693327">
            <w:pPr>
              <w:spacing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Цел</w:t>
            </w:r>
          </w:p>
        </w:tc>
        <w:tc>
          <w:tcPr>
            <w:tcW w:w="1417" w:type="dxa"/>
            <w:tcBorders>
              <w:top w:val="single" w:sz="4" w:space="0" w:color="auto"/>
              <w:left w:val="nil"/>
              <w:bottom w:val="single" w:sz="4" w:space="0" w:color="auto"/>
              <w:right w:val="single" w:sz="4" w:space="0" w:color="auto"/>
            </w:tcBorders>
            <w:shd w:val="clear" w:color="auto" w:fill="C6EFCE"/>
            <w:noWrap/>
          </w:tcPr>
          <w:p w14:paraId="5CABE6A6" w14:textId="77777777" w:rsidR="00736704" w:rsidRPr="00225351" w:rsidRDefault="00736704" w:rsidP="00693327">
            <w:pPr>
              <w:spacing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Цялостно проучване на безопасността на пътната мрежа</w:t>
            </w:r>
          </w:p>
        </w:tc>
        <w:tc>
          <w:tcPr>
            <w:tcW w:w="1418" w:type="dxa"/>
            <w:tcBorders>
              <w:top w:val="single" w:sz="4" w:space="0" w:color="auto"/>
              <w:left w:val="nil"/>
              <w:bottom w:val="single" w:sz="4" w:space="0" w:color="auto"/>
              <w:right w:val="single" w:sz="4" w:space="0" w:color="auto"/>
            </w:tcBorders>
            <w:shd w:val="clear" w:color="auto" w:fill="C6EFCE"/>
            <w:noWrap/>
          </w:tcPr>
          <w:p w14:paraId="49BC5AF3" w14:textId="77777777" w:rsidR="00736704" w:rsidRPr="008A0F8A" w:rsidRDefault="00736704" w:rsidP="00693327">
            <w:pPr>
              <w:spacing w:line="240" w:lineRule="auto"/>
              <w:rPr>
                <w:rFonts w:ascii="Times New Roman" w:eastAsia="Times New Roman" w:hAnsi="Times New Roman" w:cs="Times New Roman"/>
                <w:noProof/>
                <w:color w:val="006100"/>
                <w:sz w:val="20"/>
                <w:szCs w:val="20"/>
                <w:lang w:val="ru-RU"/>
              </w:rPr>
            </w:pPr>
          </w:p>
        </w:tc>
        <w:tc>
          <w:tcPr>
            <w:tcW w:w="1417" w:type="dxa"/>
            <w:tcBorders>
              <w:top w:val="single" w:sz="4" w:space="0" w:color="auto"/>
              <w:left w:val="nil"/>
              <w:bottom w:val="single" w:sz="4" w:space="0" w:color="auto"/>
              <w:right w:val="single" w:sz="4" w:space="0" w:color="auto"/>
            </w:tcBorders>
            <w:shd w:val="clear" w:color="auto" w:fill="C6EFCE"/>
            <w:noWrap/>
          </w:tcPr>
          <w:p w14:paraId="59FA04A7" w14:textId="77777777" w:rsidR="00736704" w:rsidRPr="00225351" w:rsidRDefault="00736704" w:rsidP="00693327">
            <w:pPr>
              <w:spacing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Брой обхванати от проучването километри от пътната мрежа (km)</w:t>
            </w:r>
          </w:p>
        </w:tc>
        <w:tc>
          <w:tcPr>
            <w:tcW w:w="993" w:type="dxa"/>
            <w:tcBorders>
              <w:top w:val="single" w:sz="4" w:space="0" w:color="auto"/>
              <w:left w:val="nil"/>
              <w:bottom w:val="single" w:sz="4" w:space="0" w:color="auto"/>
              <w:right w:val="single" w:sz="4" w:space="0" w:color="auto"/>
            </w:tcBorders>
            <w:shd w:val="clear" w:color="auto" w:fill="C6EFCE"/>
            <w:noWrap/>
          </w:tcPr>
          <w:p w14:paraId="6791557B" w14:textId="77777777" w:rsidR="00736704" w:rsidRPr="00225351" w:rsidRDefault="00736704" w:rsidP="00693327">
            <w:pPr>
              <w:spacing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0</w:t>
            </w:r>
          </w:p>
        </w:tc>
        <w:tc>
          <w:tcPr>
            <w:tcW w:w="992" w:type="dxa"/>
            <w:tcBorders>
              <w:top w:val="single" w:sz="4" w:space="0" w:color="auto"/>
              <w:left w:val="nil"/>
              <w:bottom w:val="single" w:sz="4" w:space="0" w:color="auto"/>
              <w:right w:val="single" w:sz="4" w:space="0" w:color="auto"/>
            </w:tcBorders>
            <w:shd w:val="clear" w:color="auto" w:fill="C6EFCE"/>
            <w:noWrap/>
          </w:tcPr>
          <w:p w14:paraId="4D892F37" w14:textId="77777777" w:rsidR="00736704" w:rsidRPr="00225351" w:rsidRDefault="00736704" w:rsidP="00693327">
            <w:pPr>
              <w:spacing w:line="254" w:lineRule="auto"/>
              <w:rPr>
                <w:rFonts w:ascii="Times New Roman" w:hAnsi="Times New Roman" w:cs="Times New Roman"/>
                <w:noProof/>
                <w:sz w:val="20"/>
                <w:szCs w:val="20"/>
              </w:rPr>
            </w:pPr>
            <w:r>
              <w:rPr>
                <w:rFonts w:ascii="Times New Roman" w:hAnsi="Times New Roman"/>
                <w:noProof/>
                <w:color w:val="006100"/>
                <w:sz w:val="20"/>
              </w:rPr>
              <w:t>13000</w:t>
            </w:r>
          </w:p>
          <w:p w14:paraId="22E54186" w14:textId="77777777" w:rsidR="00736704" w:rsidRPr="00225351" w:rsidRDefault="00736704" w:rsidP="00693327">
            <w:pPr>
              <w:spacing w:line="240" w:lineRule="auto"/>
              <w:rPr>
                <w:rFonts w:ascii="Times New Roman" w:eastAsia="Times New Roman" w:hAnsi="Times New Roman" w:cs="Times New Roman"/>
                <w:noProof/>
                <w:color w:val="006100"/>
                <w:sz w:val="20"/>
                <w:szCs w:val="20"/>
                <w:lang w:val="en-IE"/>
              </w:rPr>
            </w:pPr>
          </w:p>
        </w:tc>
        <w:tc>
          <w:tcPr>
            <w:tcW w:w="850" w:type="dxa"/>
            <w:tcBorders>
              <w:top w:val="single" w:sz="4" w:space="0" w:color="auto"/>
              <w:left w:val="nil"/>
              <w:bottom w:val="single" w:sz="4" w:space="0" w:color="auto"/>
              <w:right w:val="single" w:sz="4" w:space="0" w:color="auto"/>
            </w:tcBorders>
            <w:shd w:val="clear" w:color="auto" w:fill="C6EFCE"/>
            <w:noWrap/>
          </w:tcPr>
          <w:p w14:paraId="500F84C6" w14:textId="77777777" w:rsidR="00736704" w:rsidRPr="00225351" w:rsidRDefault="00736704" w:rsidP="00693327">
            <w:pPr>
              <w:spacing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T4</w:t>
            </w:r>
          </w:p>
        </w:tc>
        <w:tc>
          <w:tcPr>
            <w:tcW w:w="709" w:type="dxa"/>
            <w:tcBorders>
              <w:top w:val="single" w:sz="4" w:space="0" w:color="auto"/>
              <w:left w:val="nil"/>
              <w:bottom w:val="single" w:sz="4" w:space="0" w:color="auto"/>
              <w:right w:val="single" w:sz="4" w:space="0" w:color="auto"/>
            </w:tcBorders>
            <w:shd w:val="clear" w:color="auto" w:fill="C6EFCE"/>
            <w:noWrap/>
          </w:tcPr>
          <w:p w14:paraId="7E658AA0" w14:textId="77777777" w:rsidR="00736704" w:rsidRPr="00225351" w:rsidRDefault="00736704" w:rsidP="00693327">
            <w:pPr>
              <w:spacing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2024</w:t>
            </w:r>
          </w:p>
        </w:tc>
        <w:tc>
          <w:tcPr>
            <w:tcW w:w="4540" w:type="dxa"/>
            <w:tcBorders>
              <w:top w:val="single" w:sz="4" w:space="0" w:color="auto"/>
              <w:left w:val="nil"/>
              <w:bottom w:val="single" w:sz="4" w:space="0" w:color="auto"/>
              <w:right w:val="single" w:sz="4" w:space="0" w:color="auto"/>
            </w:tcBorders>
            <w:shd w:val="clear" w:color="auto" w:fill="C6EFCE"/>
            <w:noWrap/>
          </w:tcPr>
          <w:p w14:paraId="18840F25" w14:textId="77777777" w:rsidR="00736704" w:rsidRPr="00225351" w:rsidRDefault="00736704" w:rsidP="00693327">
            <w:pPr>
              <w:jc w:val="both"/>
              <w:rPr>
                <w:rFonts w:ascii="Times New Roman" w:hAnsi="Times New Roman" w:cs="Times New Roman"/>
                <w:noProof/>
                <w:sz w:val="20"/>
                <w:szCs w:val="20"/>
              </w:rPr>
            </w:pPr>
            <w:r>
              <w:rPr>
                <w:rFonts w:ascii="Times New Roman" w:hAnsi="Times New Roman"/>
                <w:noProof/>
                <w:color w:val="006100"/>
                <w:sz w:val="20"/>
              </w:rPr>
              <w:t>Трябва да бъде извършено цялостно проучване на безопасността на пътната мрежа в България (обща дължина от 13 000 km), за да се оцени техническото състояние на пътната инфраструктура и нейната безопасност и да се извършат целенасочени инспекции по пътна безопасност.</w:t>
            </w:r>
          </w:p>
          <w:p w14:paraId="1D45AB07" w14:textId="77777777" w:rsidR="00736704" w:rsidRPr="00225351" w:rsidRDefault="00736704" w:rsidP="00693327">
            <w:pPr>
              <w:jc w:val="both"/>
              <w:rPr>
                <w:rFonts w:ascii="Times New Roman" w:hAnsi="Times New Roman" w:cs="Times New Roman"/>
                <w:noProof/>
                <w:sz w:val="20"/>
                <w:szCs w:val="20"/>
              </w:rPr>
            </w:pPr>
            <w:r>
              <w:rPr>
                <w:rFonts w:ascii="Times New Roman" w:hAnsi="Times New Roman"/>
                <w:noProof/>
                <w:color w:val="006100"/>
                <w:sz w:val="20"/>
              </w:rPr>
              <w:t>Чрез цялостна оценка на състоянието на пътната мрежа под формата на проучване трябва да бъдат определени най-критичните участъци, в които, ако получат подкрепа чрез подходящи инфраструктурни мерки, да бъде постигнато най-голямо подобрение на безопасността.</w:t>
            </w:r>
          </w:p>
        </w:tc>
      </w:tr>
      <w:tr w:rsidR="00225351" w:rsidRPr="005241FC" w14:paraId="0683AC32" w14:textId="77777777" w:rsidTr="00A80AF7">
        <w:trPr>
          <w:jc w:val="center"/>
        </w:trPr>
        <w:tc>
          <w:tcPr>
            <w:tcW w:w="689" w:type="dxa"/>
            <w:tcBorders>
              <w:top w:val="nil"/>
              <w:left w:val="single" w:sz="4" w:space="0" w:color="auto"/>
              <w:bottom w:val="single" w:sz="4" w:space="0" w:color="auto"/>
              <w:right w:val="single" w:sz="4" w:space="0" w:color="auto"/>
            </w:tcBorders>
            <w:shd w:val="clear" w:color="auto" w:fill="C6EFCE"/>
            <w:noWrap/>
          </w:tcPr>
          <w:p w14:paraId="79EEAF71" w14:textId="2586D6FC" w:rsidR="00736704" w:rsidRPr="00225351" w:rsidRDefault="006008D2" w:rsidP="00693327">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199</w:t>
            </w:r>
          </w:p>
        </w:tc>
        <w:tc>
          <w:tcPr>
            <w:tcW w:w="1275" w:type="dxa"/>
            <w:tcBorders>
              <w:top w:val="nil"/>
              <w:left w:val="nil"/>
              <w:bottom w:val="single" w:sz="4" w:space="0" w:color="auto"/>
              <w:right w:val="single" w:sz="4" w:space="0" w:color="auto"/>
            </w:tcBorders>
            <w:shd w:val="clear" w:color="auto" w:fill="C6EFCE"/>
            <w:noWrap/>
          </w:tcPr>
          <w:p w14:paraId="54CD7A89" w14:textId="4568A967" w:rsidR="00736704" w:rsidRPr="00225351" w:rsidRDefault="00C8071B" w:rsidP="00C8071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К8.И6: Линия 3 на метрото в София</w:t>
            </w:r>
          </w:p>
        </w:tc>
        <w:tc>
          <w:tcPr>
            <w:tcW w:w="1150" w:type="dxa"/>
            <w:tcBorders>
              <w:top w:val="nil"/>
              <w:left w:val="nil"/>
              <w:bottom w:val="single" w:sz="4" w:space="0" w:color="auto"/>
              <w:right w:val="single" w:sz="4" w:space="0" w:color="auto"/>
            </w:tcBorders>
            <w:shd w:val="clear" w:color="auto" w:fill="C6EFCE"/>
            <w:noWrap/>
            <w:hideMark/>
          </w:tcPr>
          <w:p w14:paraId="69E2B69A"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417" w:type="dxa"/>
            <w:tcBorders>
              <w:top w:val="nil"/>
              <w:left w:val="nil"/>
              <w:bottom w:val="single" w:sz="4" w:space="0" w:color="auto"/>
              <w:right w:val="single" w:sz="4" w:space="0" w:color="auto"/>
            </w:tcBorders>
            <w:shd w:val="clear" w:color="auto" w:fill="C6EFCE"/>
            <w:noWrap/>
            <w:hideMark/>
          </w:tcPr>
          <w:p w14:paraId="3984342C" w14:textId="77777777" w:rsidR="00736704" w:rsidRPr="00225351" w:rsidRDefault="00736704" w:rsidP="00296E53">
            <w:pPr>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Договори за строителство на нови участъци от линия 3 на софийското метро след открита и конкурентна тръжна процедура</w:t>
            </w:r>
          </w:p>
        </w:tc>
        <w:tc>
          <w:tcPr>
            <w:tcW w:w="1418" w:type="dxa"/>
            <w:tcBorders>
              <w:top w:val="nil"/>
              <w:left w:val="nil"/>
              <w:bottom w:val="single" w:sz="4" w:space="0" w:color="auto"/>
              <w:right w:val="single" w:sz="4" w:space="0" w:color="auto"/>
            </w:tcBorders>
            <w:shd w:val="clear" w:color="auto" w:fill="C6EFCE"/>
            <w:noWrap/>
            <w:hideMark/>
          </w:tcPr>
          <w:p w14:paraId="1FD249FD" w14:textId="77777777" w:rsidR="00736704" w:rsidRPr="00225351" w:rsidRDefault="00736704" w:rsidP="00296E53">
            <w:pPr>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Подписване на договори за строителните работи</w:t>
            </w:r>
          </w:p>
        </w:tc>
        <w:tc>
          <w:tcPr>
            <w:tcW w:w="1417" w:type="dxa"/>
            <w:tcBorders>
              <w:top w:val="nil"/>
              <w:left w:val="nil"/>
              <w:bottom w:val="single" w:sz="4" w:space="0" w:color="auto"/>
              <w:right w:val="single" w:sz="4" w:space="0" w:color="auto"/>
            </w:tcBorders>
            <w:shd w:val="clear" w:color="auto" w:fill="C6EFCE"/>
            <w:noWrap/>
          </w:tcPr>
          <w:p w14:paraId="616D25C2" w14:textId="77777777" w:rsidR="00736704" w:rsidRPr="008A0F8A" w:rsidRDefault="00736704" w:rsidP="00296E53">
            <w:pPr>
              <w:jc w:val="both"/>
              <w:rPr>
                <w:rFonts w:ascii="Times New Roman" w:eastAsia="Times New Roman" w:hAnsi="Times New Roman" w:cs="Times New Roman"/>
                <w:noProof/>
                <w:color w:val="006100"/>
                <w:sz w:val="20"/>
                <w:szCs w:val="20"/>
                <w:lang w:val="ru-RU"/>
              </w:rPr>
            </w:pPr>
          </w:p>
        </w:tc>
        <w:tc>
          <w:tcPr>
            <w:tcW w:w="993" w:type="dxa"/>
            <w:tcBorders>
              <w:top w:val="nil"/>
              <w:left w:val="nil"/>
              <w:bottom w:val="single" w:sz="4" w:space="0" w:color="auto"/>
              <w:right w:val="single" w:sz="4" w:space="0" w:color="auto"/>
            </w:tcBorders>
            <w:shd w:val="clear" w:color="auto" w:fill="C6EFCE"/>
            <w:noWrap/>
          </w:tcPr>
          <w:p w14:paraId="334E5BD1" w14:textId="77777777" w:rsidR="00736704" w:rsidRPr="008A0F8A" w:rsidRDefault="00736704" w:rsidP="00296E53">
            <w:pPr>
              <w:jc w:val="both"/>
              <w:rPr>
                <w:rFonts w:ascii="Times New Roman" w:eastAsia="Times New Roman" w:hAnsi="Times New Roman" w:cs="Times New Roman"/>
                <w:noProof/>
                <w:color w:val="006100"/>
                <w:sz w:val="20"/>
                <w:szCs w:val="20"/>
                <w:lang w:val="ru-RU"/>
              </w:rPr>
            </w:pPr>
          </w:p>
        </w:tc>
        <w:tc>
          <w:tcPr>
            <w:tcW w:w="992" w:type="dxa"/>
            <w:tcBorders>
              <w:top w:val="nil"/>
              <w:left w:val="nil"/>
              <w:bottom w:val="single" w:sz="4" w:space="0" w:color="auto"/>
              <w:right w:val="single" w:sz="4" w:space="0" w:color="auto"/>
            </w:tcBorders>
            <w:shd w:val="clear" w:color="auto" w:fill="C6EFCE"/>
            <w:noWrap/>
          </w:tcPr>
          <w:p w14:paraId="602540AF" w14:textId="77777777" w:rsidR="00736704" w:rsidRPr="008A0F8A" w:rsidRDefault="00736704" w:rsidP="00296E53">
            <w:pPr>
              <w:jc w:val="both"/>
              <w:rPr>
                <w:rFonts w:ascii="Times New Roman" w:eastAsia="Times New Roman" w:hAnsi="Times New Roman" w:cs="Times New Roman"/>
                <w:noProof/>
                <w:color w:val="006100"/>
                <w:sz w:val="20"/>
                <w:szCs w:val="20"/>
                <w:lang w:val="ru-RU"/>
              </w:rPr>
            </w:pPr>
          </w:p>
        </w:tc>
        <w:tc>
          <w:tcPr>
            <w:tcW w:w="850" w:type="dxa"/>
            <w:tcBorders>
              <w:top w:val="nil"/>
              <w:left w:val="nil"/>
              <w:bottom w:val="single" w:sz="4" w:space="0" w:color="auto"/>
              <w:right w:val="single" w:sz="4" w:space="0" w:color="auto"/>
            </w:tcBorders>
            <w:shd w:val="clear" w:color="auto" w:fill="C6EFCE"/>
            <w:noWrap/>
            <w:hideMark/>
          </w:tcPr>
          <w:p w14:paraId="102F58A9" w14:textId="77777777" w:rsidR="00736704" w:rsidRPr="00225351" w:rsidRDefault="00736704" w:rsidP="00296E53">
            <w:pPr>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T2</w:t>
            </w:r>
          </w:p>
        </w:tc>
        <w:tc>
          <w:tcPr>
            <w:tcW w:w="709" w:type="dxa"/>
            <w:tcBorders>
              <w:top w:val="nil"/>
              <w:left w:val="nil"/>
              <w:bottom w:val="single" w:sz="4" w:space="0" w:color="auto"/>
              <w:right w:val="single" w:sz="4" w:space="0" w:color="auto"/>
            </w:tcBorders>
            <w:shd w:val="clear" w:color="auto" w:fill="C6EFCE"/>
            <w:noWrap/>
            <w:hideMark/>
          </w:tcPr>
          <w:p w14:paraId="03691222" w14:textId="77777777" w:rsidR="00736704" w:rsidRPr="00225351" w:rsidRDefault="00736704" w:rsidP="00296E53">
            <w:pPr>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2022</w:t>
            </w:r>
          </w:p>
        </w:tc>
        <w:tc>
          <w:tcPr>
            <w:tcW w:w="4540" w:type="dxa"/>
            <w:tcBorders>
              <w:top w:val="nil"/>
              <w:left w:val="nil"/>
              <w:bottom w:val="single" w:sz="4" w:space="0" w:color="auto"/>
              <w:right w:val="single" w:sz="4" w:space="0" w:color="auto"/>
            </w:tcBorders>
            <w:shd w:val="clear" w:color="auto" w:fill="C6EFCE"/>
            <w:noWrap/>
            <w:hideMark/>
          </w:tcPr>
          <w:p w14:paraId="70E94172" w14:textId="77777777" w:rsidR="00736704" w:rsidRPr="00225351" w:rsidRDefault="00736704" w:rsidP="00296E53">
            <w:pPr>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Трябва да бъдат подписани договорите за линия 3 на метрото в София след открита, публична и конкурентна процедура за възлагане.</w:t>
            </w:r>
          </w:p>
          <w:p w14:paraId="43C1F237" w14:textId="77777777" w:rsidR="00736704" w:rsidRPr="00225351" w:rsidRDefault="00736704" w:rsidP="00296E53">
            <w:pPr>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Договорите трябва да включват изграждането на 3 km линии на метрото и 3 гари по новия участък Хаджи Димитър — Левски от линия 3.</w:t>
            </w:r>
          </w:p>
          <w:p w14:paraId="02761155" w14:textId="77777777" w:rsidR="00736704" w:rsidRPr="00225351" w:rsidRDefault="00736704" w:rsidP="00296E53">
            <w:pPr>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Договорите трябва да предвиждат чиста градска транспортна инфраструктура за експлоатацията на подвижен състав с нулеви емисии, така че тази инфраструктура да се използва единствено от подвижен състав с нулеви емисии.</w:t>
            </w:r>
          </w:p>
        </w:tc>
      </w:tr>
      <w:tr w:rsidR="00225351" w:rsidRPr="005241FC" w14:paraId="24E13E8D" w14:textId="77777777" w:rsidTr="00A80AF7">
        <w:trPr>
          <w:jc w:val="center"/>
        </w:trPr>
        <w:tc>
          <w:tcPr>
            <w:tcW w:w="689" w:type="dxa"/>
            <w:tcBorders>
              <w:top w:val="nil"/>
              <w:left w:val="single" w:sz="4" w:space="0" w:color="auto"/>
              <w:bottom w:val="single" w:sz="4" w:space="0" w:color="auto"/>
              <w:right w:val="single" w:sz="4" w:space="0" w:color="auto"/>
            </w:tcBorders>
            <w:shd w:val="clear" w:color="auto" w:fill="C6EFCE"/>
            <w:noWrap/>
          </w:tcPr>
          <w:p w14:paraId="0471A421" w14:textId="0A10A02F" w:rsidR="00736704" w:rsidRPr="00225351" w:rsidRDefault="006008D2" w:rsidP="00693327">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200</w:t>
            </w:r>
          </w:p>
        </w:tc>
        <w:tc>
          <w:tcPr>
            <w:tcW w:w="1275" w:type="dxa"/>
            <w:tcBorders>
              <w:top w:val="nil"/>
              <w:left w:val="nil"/>
              <w:bottom w:val="single" w:sz="4" w:space="0" w:color="auto"/>
              <w:right w:val="single" w:sz="4" w:space="0" w:color="auto"/>
            </w:tcBorders>
            <w:shd w:val="clear" w:color="auto" w:fill="C6EFCE"/>
            <w:noWrap/>
          </w:tcPr>
          <w:p w14:paraId="16B245AC" w14:textId="5161158B" w:rsidR="00736704" w:rsidRPr="00225351" w:rsidRDefault="00C8071B"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К8.И6: Линия 3 на метрото в София</w:t>
            </w:r>
          </w:p>
        </w:tc>
        <w:tc>
          <w:tcPr>
            <w:tcW w:w="1150" w:type="dxa"/>
            <w:tcBorders>
              <w:top w:val="nil"/>
              <w:left w:val="nil"/>
              <w:bottom w:val="single" w:sz="4" w:space="0" w:color="auto"/>
              <w:right w:val="single" w:sz="4" w:space="0" w:color="auto"/>
            </w:tcBorders>
            <w:shd w:val="clear" w:color="auto" w:fill="C6EFCE"/>
            <w:noWrap/>
            <w:hideMark/>
          </w:tcPr>
          <w:p w14:paraId="50278AD6"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Цел</w:t>
            </w:r>
          </w:p>
        </w:tc>
        <w:tc>
          <w:tcPr>
            <w:tcW w:w="1417" w:type="dxa"/>
            <w:tcBorders>
              <w:top w:val="nil"/>
              <w:left w:val="nil"/>
              <w:bottom w:val="single" w:sz="4" w:space="0" w:color="auto"/>
              <w:right w:val="single" w:sz="4" w:space="0" w:color="auto"/>
            </w:tcBorders>
            <w:shd w:val="clear" w:color="auto" w:fill="C6EFCE"/>
            <w:noWrap/>
            <w:hideMark/>
          </w:tcPr>
          <w:p w14:paraId="18062543" w14:textId="77777777" w:rsidR="00736704" w:rsidRPr="00225351" w:rsidRDefault="00736704" w:rsidP="00296E53">
            <w:pPr>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Напредък в завършването на нови участъци от линия 3 на метрото в София</w:t>
            </w:r>
          </w:p>
        </w:tc>
        <w:tc>
          <w:tcPr>
            <w:tcW w:w="1418" w:type="dxa"/>
            <w:tcBorders>
              <w:top w:val="nil"/>
              <w:left w:val="nil"/>
              <w:bottom w:val="single" w:sz="4" w:space="0" w:color="auto"/>
              <w:right w:val="single" w:sz="4" w:space="0" w:color="auto"/>
            </w:tcBorders>
            <w:shd w:val="clear" w:color="auto" w:fill="C6EFCE"/>
            <w:noWrap/>
            <w:hideMark/>
          </w:tcPr>
          <w:p w14:paraId="3ED035EF" w14:textId="77777777" w:rsidR="00736704" w:rsidRPr="008A0F8A" w:rsidRDefault="00736704" w:rsidP="00296E53">
            <w:pPr>
              <w:jc w:val="both"/>
              <w:rPr>
                <w:rFonts w:ascii="Times New Roman" w:eastAsia="Times New Roman" w:hAnsi="Times New Roman" w:cs="Times New Roman"/>
                <w:noProof/>
                <w:color w:val="006100"/>
                <w:sz w:val="20"/>
                <w:szCs w:val="20"/>
                <w:lang w:val="ru-RU"/>
              </w:rPr>
            </w:pPr>
          </w:p>
        </w:tc>
        <w:tc>
          <w:tcPr>
            <w:tcW w:w="1417" w:type="dxa"/>
            <w:tcBorders>
              <w:top w:val="nil"/>
              <w:left w:val="nil"/>
              <w:bottom w:val="single" w:sz="4" w:space="0" w:color="auto"/>
              <w:right w:val="single" w:sz="4" w:space="0" w:color="auto"/>
            </w:tcBorders>
            <w:shd w:val="clear" w:color="auto" w:fill="C6EFCE"/>
            <w:noWrap/>
            <w:hideMark/>
          </w:tcPr>
          <w:p w14:paraId="54B1ED50" w14:textId="77777777" w:rsidR="00736704" w:rsidRPr="00225351" w:rsidRDefault="00736704" w:rsidP="00296E53">
            <w:pPr>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Процент (%) на завършените строителни работи по новата линия 3</w:t>
            </w:r>
          </w:p>
        </w:tc>
        <w:tc>
          <w:tcPr>
            <w:tcW w:w="993" w:type="dxa"/>
            <w:tcBorders>
              <w:top w:val="nil"/>
              <w:left w:val="nil"/>
              <w:bottom w:val="single" w:sz="4" w:space="0" w:color="auto"/>
              <w:right w:val="single" w:sz="4" w:space="0" w:color="auto"/>
            </w:tcBorders>
            <w:shd w:val="clear" w:color="auto" w:fill="C6EFCE"/>
            <w:noWrap/>
            <w:hideMark/>
          </w:tcPr>
          <w:p w14:paraId="48E9E796" w14:textId="77777777" w:rsidR="00736704" w:rsidRPr="00225351" w:rsidRDefault="00736704" w:rsidP="00296E53">
            <w:pPr>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0</w:t>
            </w:r>
          </w:p>
        </w:tc>
        <w:tc>
          <w:tcPr>
            <w:tcW w:w="992" w:type="dxa"/>
            <w:tcBorders>
              <w:top w:val="nil"/>
              <w:left w:val="nil"/>
              <w:bottom w:val="single" w:sz="4" w:space="0" w:color="auto"/>
              <w:right w:val="single" w:sz="4" w:space="0" w:color="auto"/>
            </w:tcBorders>
            <w:shd w:val="clear" w:color="auto" w:fill="C6EFCE"/>
            <w:noWrap/>
            <w:hideMark/>
          </w:tcPr>
          <w:p w14:paraId="506630F2" w14:textId="77777777" w:rsidR="00736704" w:rsidRPr="00225351" w:rsidRDefault="00736704" w:rsidP="00296E53">
            <w:pPr>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60</w:t>
            </w:r>
          </w:p>
        </w:tc>
        <w:tc>
          <w:tcPr>
            <w:tcW w:w="850" w:type="dxa"/>
            <w:tcBorders>
              <w:top w:val="nil"/>
              <w:left w:val="nil"/>
              <w:bottom w:val="single" w:sz="4" w:space="0" w:color="auto"/>
              <w:right w:val="single" w:sz="4" w:space="0" w:color="auto"/>
            </w:tcBorders>
            <w:shd w:val="clear" w:color="auto" w:fill="C6EFCE"/>
            <w:noWrap/>
            <w:hideMark/>
          </w:tcPr>
          <w:p w14:paraId="7B708A61" w14:textId="77777777" w:rsidR="00736704" w:rsidRPr="00225351" w:rsidRDefault="00736704" w:rsidP="00296E53">
            <w:pPr>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T3</w:t>
            </w:r>
          </w:p>
        </w:tc>
        <w:tc>
          <w:tcPr>
            <w:tcW w:w="709" w:type="dxa"/>
            <w:tcBorders>
              <w:top w:val="nil"/>
              <w:left w:val="nil"/>
              <w:bottom w:val="single" w:sz="4" w:space="0" w:color="auto"/>
              <w:right w:val="single" w:sz="4" w:space="0" w:color="auto"/>
            </w:tcBorders>
            <w:shd w:val="clear" w:color="auto" w:fill="C6EFCE"/>
            <w:noWrap/>
            <w:hideMark/>
          </w:tcPr>
          <w:p w14:paraId="27799C9B" w14:textId="77777777" w:rsidR="00736704" w:rsidRPr="00225351" w:rsidRDefault="00736704" w:rsidP="00296E53">
            <w:pPr>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2024</w:t>
            </w:r>
          </w:p>
        </w:tc>
        <w:tc>
          <w:tcPr>
            <w:tcW w:w="4540" w:type="dxa"/>
            <w:tcBorders>
              <w:top w:val="nil"/>
              <w:left w:val="nil"/>
              <w:bottom w:val="single" w:sz="4" w:space="0" w:color="auto"/>
              <w:right w:val="single" w:sz="4" w:space="0" w:color="auto"/>
            </w:tcBorders>
            <w:shd w:val="clear" w:color="auto" w:fill="C6EFCE"/>
            <w:noWrap/>
            <w:hideMark/>
          </w:tcPr>
          <w:p w14:paraId="7F79B967" w14:textId="135D5074" w:rsidR="00736704" w:rsidRPr="00225351" w:rsidRDefault="00736704" w:rsidP="00296E53">
            <w:pPr>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Напредъкът в завършването на строителните работи по новия участък от линия 3 на метрото в София, по отношение както на 3-километровата линия, така и на 3-те станции, трябва да достигне 60 % (сертифицирано с надзорен доклад).</w:t>
            </w:r>
          </w:p>
          <w:p w14:paraId="7BCA8F1D" w14:textId="77777777" w:rsidR="00736704" w:rsidRPr="00225351" w:rsidRDefault="00736704" w:rsidP="00296E53">
            <w:pPr>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Инфраструктурата на новия участък от линия 3 на метрото в София трябва да бъде използвана само за подвижен състав с нулеви емисии.</w:t>
            </w:r>
          </w:p>
        </w:tc>
      </w:tr>
      <w:tr w:rsidR="00225351" w:rsidRPr="005241FC" w14:paraId="2B9FD3A8" w14:textId="77777777" w:rsidTr="00A80AF7">
        <w:trPr>
          <w:jc w:val="center"/>
        </w:trPr>
        <w:tc>
          <w:tcPr>
            <w:tcW w:w="689" w:type="dxa"/>
            <w:tcBorders>
              <w:top w:val="nil"/>
              <w:left w:val="single" w:sz="4" w:space="0" w:color="auto"/>
              <w:bottom w:val="single" w:sz="4" w:space="0" w:color="auto"/>
              <w:right w:val="single" w:sz="4" w:space="0" w:color="auto"/>
            </w:tcBorders>
            <w:shd w:val="clear" w:color="auto" w:fill="C6EFCE"/>
            <w:noWrap/>
          </w:tcPr>
          <w:p w14:paraId="70297A2A" w14:textId="72441F13" w:rsidR="00736704" w:rsidRPr="00225351" w:rsidRDefault="002B7436" w:rsidP="00693327">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201</w:t>
            </w:r>
          </w:p>
        </w:tc>
        <w:tc>
          <w:tcPr>
            <w:tcW w:w="1275" w:type="dxa"/>
            <w:tcBorders>
              <w:top w:val="nil"/>
              <w:left w:val="nil"/>
              <w:bottom w:val="single" w:sz="4" w:space="0" w:color="auto"/>
              <w:right w:val="single" w:sz="4" w:space="0" w:color="auto"/>
            </w:tcBorders>
            <w:shd w:val="clear" w:color="auto" w:fill="C6EFCE"/>
            <w:noWrap/>
            <w:hideMark/>
          </w:tcPr>
          <w:p w14:paraId="0240A063" w14:textId="36BFAE48" w:rsidR="00736704" w:rsidRPr="00225351" w:rsidRDefault="00C8071B"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К8.И6: Линия 3 на метрото в София</w:t>
            </w:r>
          </w:p>
        </w:tc>
        <w:tc>
          <w:tcPr>
            <w:tcW w:w="1150" w:type="dxa"/>
            <w:tcBorders>
              <w:top w:val="nil"/>
              <w:left w:val="nil"/>
              <w:bottom w:val="single" w:sz="4" w:space="0" w:color="auto"/>
              <w:right w:val="single" w:sz="4" w:space="0" w:color="auto"/>
            </w:tcBorders>
            <w:shd w:val="clear" w:color="auto" w:fill="C6EFCE"/>
            <w:noWrap/>
            <w:hideMark/>
          </w:tcPr>
          <w:p w14:paraId="0455A4A6"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Цел</w:t>
            </w:r>
          </w:p>
        </w:tc>
        <w:tc>
          <w:tcPr>
            <w:tcW w:w="1417" w:type="dxa"/>
            <w:tcBorders>
              <w:top w:val="nil"/>
              <w:left w:val="nil"/>
              <w:bottom w:val="single" w:sz="4" w:space="0" w:color="auto"/>
              <w:right w:val="single" w:sz="4" w:space="0" w:color="auto"/>
            </w:tcBorders>
            <w:shd w:val="clear" w:color="auto" w:fill="C6EFCE"/>
            <w:noWrap/>
            <w:hideMark/>
          </w:tcPr>
          <w:p w14:paraId="649A2E00" w14:textId="7DE42DB5"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Нов участък от линия 3 на метрото в София </w:t>
            </w:r>
          </w:p>
        </w:tc>
        <w:tc>
          <w:tcPr>
            <w:tcW w:w="1418" w:type="dxa"/>
            <w:tcBorders>
              <w:top w:val="nil"/>
              <w:left w:val="nil"/>
              <w:bottom w:val="single" w:sz="4" w:space="0" w:color="auto"/>
              <w:right w:val="single" w:sz="4" w:space="0" w:color="auto"/>
            </w:tcBorders>
            <w:shd w:val="clear" w:color="auto" w:fill="C6EFCE"/>
            <w:noWrap/>
          </w:tcPr>
          <w:p w14:paraId="09E3A197" w14:textId="77777777" w:rsidR="00736704" w:rsidRPr="008A0F8A" w:rsidRDefault="00736704" w:rsidP="00693327">
            <w:pPr>
              <w:spacing w:after="0" w:line="240" w:lineRule="auto"/>
              <w:rPr>
                <w:rFonts w:ascii="Times New Roman" w:eastAsia="Times New Roman" w:hAnsi="Times New Roman" w:cs="Times New Roman"/>
                <w:noProof/>
                <w:color w:val="006100"/>
                <w:sz w:val="20"/>
                <w:szCs w:val="20"/>
                <w:lang w:val="ru-RU" w:eastAsia="en-GB"/>
              </w:rPr>
            </w:pPr>
          </w:p>
        </w:tc>
        <w:tc>
          <w:tcPr>
            <w:tcW w:w="1417" w:type="dxa"/>
            <w:tcBorders>
              <w:top w:val="nil"/>
              <w:left w:val="nil"/>
              <w:bottom w:val="single" w:sz="4" w:space="0" w:color="auto"/>
              <w:right w:val="single" w:sz="4" w:space="0" w:color="auto"/>
            </w:tcBorders>
            <w:shd w:val="clear" w:color="auto" w:fill="C6EFCE"/>
            <w:noWrap/>
            <w:hideMark/>
          </w:tcPr>
          <w:p w14:paraId="7CBAE21D"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Брой километри нова линия и нови станции в експлоатация</w:t>
            </w:r>
          </w:p>
        </w:tc>
        <w:tc>
          <w:tcPr>
            <w:tcW w:w="993" w:type="dxa"/>
            <w:tcBorders>
              <w:top w:val="nil"/>
              <w:left w:val="nil"/>
              <w:bottom w:val="single" w:sz="4" w:space="0" w:color="auto"/>
              <w:right w:val="single" w:sz="4" w:space="0" w:color="auto"/>
            </w:tcBorders>
            <w:shd w:val="clear" w:color="auto" w:fill="C6EFCE"/>
            <w:noWrap/>
            <w:hideMark/>
          </w:tcPr>
          <w:p w14:paraId="28815E95"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0</w:t>
            </w:r>
          </w:p>
        </w:tc>
        <w:tc>
          <w:tcPr>
            <w:tcW w:w="992" w:type="dxa"/>
            <w:tcBorders>
              <w:top w:val="nil"/>
              <w:left w:val="nil"/>
              <w:bottom w:val="single" w:sz="4" w:space="0" w:color="auto"/>
              <w:right w:val="single" w:sz="4" w:space="0" w:color="auto"/>
            </w:tcBorders>
            <w:shd w:val="clear" w:color="auto" w:fill="C6EFCE"/>
            <w:noWrap/>
            <w:hideMark/>
          </w:tcPr>
          <w:p w14:paraId="06165146"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3 / 3</w:t>
            </w:r>
          </w:p>
        </w:tc>
        <w:tc>
          <w:tcPr>
            <w:tcW w:w="850" w:type="dxa"/>
            <w:tcBorders>
              <w:top w:val="nil"/>
              <w:left w:val="nil"/>
              <w:bottom w:val="single" w:sz="4" w:space="0" w:color="auto"/>
              <w:right w:val="single" w:sz="4" w:space="0" w:color="auto"/>
            </w:tcBorders>
            <w:shd w:val="clear" w:color="auto" w:fill="C6EFCE"/>
            <w:noWrap/>
            <w:hideMark/>
          </w:tcPr>
          <w:p w14:paraId="2138A76C"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T4</w:t>
            </w:r>
          </w:p>
        </w:tc>
        <w:tc>
          <w:tcPr>
            <w:tcW w:w="709" w:type="dxa"/>
            <w:tcBorders>
              <w:top w:val="nil"/>
              <w:left w:val="nil"/>
              <w:bottom w:val="single" w:sz="4" w:space="0" w:color="auto"/>
              <w:right w:val="single" w:sz="4" w:space="0" w:color="auto"/>
            </w:tcBorders>
            <w:shd w:val="clear" w:color="auto" w:fill="C6EFCE"/>
            <w:noWrap/>
            <w:hideMark/>
          </w:tcPr>
          <w:p w14:paraId="157BAE88"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2025</w:t>
            </w:r>
          </w:p>
        </w:tc>
        <w:tc>
          <w:tcPr>
            <w:tcW w:w="4540" w:type="dxa"/>
            <w:tcBorders>
              <w:top w:val="nil"/>
              <w:left w:val="nil"/>
              <w:bottom w:val="single" w:sz="4" w:space="0" w:color="auto"/>
              <w:right w:val="single" w:sz="4" w:space="0" w:color="auto"/>
            </w:tcBorders>
            <w:shd w:val="clear" w:color="auto" w:fill="C6EFCE"/>
            <w:noWrap/>
          </w:tcPr>
          <w:p w14:paraId="44E35825" w14:textId="1E9DA0B5" w:rsidR="00736704" w:rsidRPr="00225351" w:rsidRDefault="00736704" w:rsidP="00693327">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Трябва да бъдат завършени строителните работи по новата линия 3 на метрото в София и да започне използването на новият участък от линия 3 на метрото в София с обща дължина 3 km и 3 нови станции.</w:t>
            </w:r>
          </w:p>
          <w:p w14:paraId="60B95AE2" w14:textId="77777777" w:rsidR="00736704" w:rsidRPr="008A0F8A" w:rsidRDefault="00736704" w:rsidP="00693327">
            <w:pPr>
              <w:spacing w:after="0" w:line="240" w:lineRule="auto"/>
              <w:jc w:val="both"/>
              <w:rPr>
                <w:rFonts w:ascii="Times New Roman" w:eastAsia="Times New Roman" w:hAnsi="Times New Roman" w:cs="Times New Roman"/>
                <w:noProof/>
                <w:color w:val="006100"/>
                <w:sz w:val="20"/>
                <w:szCs w:val="20"/>
                <w:lang w:val="ru-RU" w:eastAsia="en-GB"/>
              </w:rPr>
            </w:pPr>
          </w:p>
          <w:p w14:paraId="41E068F7" w14:textId="77777777" w:rsidR="00736704" w:rsidRPr="00225351" w:rsidRDefault="00736704" w:rsidP="00693327">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Инвестицията трябва да обхваща новия участък Хаджи Димитър — Левски от линия 3 на метрото и да има годишен капацитет от 7,6 милиона пътници. </w:t>
            </w:r>
          </w:p>
          <w:p w14:paraId="5927B5E7" w14:textId="77777777" w:rsidR="00736704" w:rsidRPr="00225351" w:rsidRDefault="00736704" w:rsidP="00693327">
            <w:pPr>
              <w:spacing w:after="0" w:line="240" w:lineRule="auto"/>
              <w:jc w:val="both"/>
              <w:rPr>
                <w:rFonts w:ascii="Times New Roman" w:eastAsia="Times New Roman" w:hAnsi="Times New Roman" w:cs="Times New Roman"/>
                <w:noProof/>
                <w:color w:val="006100"/>
                <w:sz w:val="20"/>
                <w:szCs w:val="20"/>
              </w:rPr>
            </w:pPr>
          </w:p>
          <w:p w14:paraId="637A4784" w14:textId="77777777" w:rsidR="00736704" w:rsidRPr="008A0F8A" w:rsidRDefault="00736704" w:rsidP="00693327">
            <w:pPr>
              <w:spacing w:after="0" w:line="240" w:lineRule="auto"/>
              <w:jc w:val="both"/>
              <w:rPr>
                <w:rFonts w:ascii="Times New Roman" w:eastAsia="Times New Roman" w:hAnsi="Times New Roman" w:cs="Times New Roman"/>
                <w:noProof/>
                <w:color w:val="006100"/>
                <w:sz w:val="20"/>
                <w:szCs w:val="20"/>
                <w:lang w:val="ru-RU" w:eastAsia="en-GB"/>
              </w:rPr>
            </w:pPr>
          </w:p>
          <w:p w14:paraId="651682AB" w14:textId="77777777" w:rsidR="00736704" w:rsidRPr="00225351" w:rsidRDefault="00736704" w:rsidP="00693327">
            <w:pPr>
              <w:spacing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Инфраструктурата трябва да бъде използвана само за подвижен състав с нулеви емисии.</w:t>
            </w:r>
          </w:p>
        </w:tc>
      </w:tr>
      <w:tr w:rsidR="00225351" w:rsidRPr="005241FC" w14:paraId="65F3F5D9" w14:textId="77777777" w:rsidTr="00A80AF7">
        <w:trPr>
          <w:jc w:val="center"/>
        </w:trPr>
        <w:tc>
          <w:tcPr>
            <w:tcW w:w="689" w:type="dxa"/>
            <w:tcBorders>
              <w:top w:val="nil"/>
              <w:left w:val="single" w:sz="4" w:space="0" w:color="auto"/>
              <w:bottom w:val="single" w:sz="4" w:space="0" w:color="auto"/>
              <w:right w:val="single" w:sz="4" w:space="0" w:color="auto"/>
            </w:tcBorders>
            <w:shd w:val="clear" w:color="auto" w:fill="C6EFCE"/>
            <w:noWrap/>
            <w:hideMark/>
          </w:tcPr>
          <w:p w14:paraId="2D879F56" w14:textId="2EAC8D9A" w:rsidR="00736704" w:rsidRPr="00225351" w:rsidRDefault="002B7436" w:rsidP="00693327">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202</w:t>
            </w:r>
          </w:p>
        </w:tc>
        <w:tc>
          <w:tcPr>
            <w:tcW w:w="1275" w:type="dxa"/>
            <w:tcBorders>
              <w:top w:val="nil"/>
              <w:left w:val="nil"/>
              <w:bottom w:val="single" w:sz="4" w:space="0" w:color="auto"/>
              <w:right w:val="single" w:sz="4" w:space="0" w:color="auto"/>
            </w:tcBorders>
            <w:shd w:val="clear" w:color="auto" w:fill="C6EFCE"/>
            <w:noWrap/>
            <w:hideMark/>
          </w:tcPr>
          <w:p w14:paraId="46F86EC6" w14:textId="1CB2D77D" w:rsidR="00C8071B" w:rsidRPr="00225351" w:rsidRDefault="00C8071B" w:rsidP="00C8071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К8.И7: Екологосъобразна мобилност — пилотна схема за подкрепа на устойчивата градска мобилност</w:t>
            </w:r>
          </w:p>
        </w:tc>
        <w:tc>
          <w:tcPr>
            <w:tcW w:w="1150" w:type="dxa"/>
            <w:tcBorders>
              <w:top w:val="nil"/>
              <w:left w:val="nil"/>
              <w:bottom w:val="single" w:sz="4" w:space="0" w:color="auto"/>
              <w:right w:val="single" w:sz="4" w:space="0" w:color="auto"/>
            </w:tcBorders>
            <w:shd w:val="clear" w:color="auto" w:fill="C6EFCE"/>
            <w:noWrap/>
            <w:hideMark/>
          </w:tcPr>
          <w:p w14:paraId="43BE752D"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417" w:type="dxa"/>
            <w:tcBorders>
              <w:top w:val="nil"/>
              <w:left w:val="nil"/>
              <w:bottom w:val="single" w:sz="4" w:space="0" w:color="auto"/>
              <w:right w:val="single" w:sz="4" w:space="0" w:color="auto"/>
            </w:tcBorders>
            <w:shd w:val="clear" w:color="auto" w:fill="C6EFCE"/>
            <w:noWrap/>
            <w:hideMark/>
          </w:tcPr>
          <w:p w14:paraId="7CA2119E"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Договори за новите превозни средства за обществен транспорт с нулеви емисии</w:t>
            </w:r>
          </w:p>
        </w:tc>
        <w:tc>
          <w:tcPr>
            <w:tcW w:w="1418" w:type="dxa"/>
            <w:tcBorders>
              <w:top w:val="nil"/>
              <w:left w:val="nil"/>
              <w:bottom w:val="single" w:sz="4" w:space="0" w:color="auto"/>
              <w:right w:val="single" w:sz="4" w:space="0" w:color="auto"/>
            </w:tcBorders>
            <w:shd w:val="clear" w:color="auto" w:fill="C6EFCE"/>
            <w:noWrap/>
            <w:hideMark/>
          </w:tcPr>
          <w:p w14:paraId="708AC52B" w14:textId="1A6D6404" w:rsidR="00736704" w:rsidRPr="00225351" w:rsidRDefault="00736704" w:rsidP="007A20FD">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Подписване на договори за доставка на нови превозни средства за обществен транспорт с нулеви емисии след процедури за възлагане на обществени поръчки</w:t>
            </w:r>
          </w:p>
        </w:tc>
        <w:tc>
          <w:tcPr>
            <w:tcW w:w="1417" w:type="dxa"/>
            <w:tcBorders>
              <w:top w:val="nil"/>
              <w:left w:val="nil"/>
              <w:bottom w:val="single" w:sz="4" w:space="0" w:color="auto"/>
              <w:right w:val="single" w:sz="4" w:space="0" w:color="auto"/>
            </w:tcBorders>
            <w:shd w:val="clear" w:color="auto" w:fill="C6EFCE"/>
            <w:noWrap/>
            <w:hideMark/>
          </w:tcPr>
          <w:p w14:paraId="16BAFCAF"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993" w:type="dxa"/>
            <w:tcBorders>
              <w:top w:val="nil"/>
              <w:left w:val="nil"/>
              <w:bottom w:val="single" w:sz="4" w:space="0" w:color="auto"/>
              <w:right w:val="single" w:sz="4" w:space="0" w:color="auto"/>
            </w:tcBorders>
            <w:shd w:val="clear" w:color="auto" w:fill="C6EFCE"/>
            <w:noWrap/>
            <w:hideMark/>
          </w:tcPr>
          <w:p w14:paraId="1E7C7502"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992" w:type="dxa"/>
            <w:tcBorders>
              <w:top w:val="nil"/>
              <w:left w:val="nil"/>
              <w:bottom w:val="single" w:sz="4" w:space="0" w:color="auto"/>
              <w:right w:val="single" w:sz="4" w:space="0" w:color="auto"/>
            </w:tcBorders>
            <w:shd w:val="clear" w:color="auto" w:fill="C6EFCE"/>
            <w:noWrap/>
            <w:hideMark/>
          </w:tcPr>
          <w:p w14:paraId="27A18061"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850" w:type="dxa"/>
            <w:tcBorders>
              <w:top w:val="nil"/>
              <w:left w:val="nil"/>
              <w:bottom w:val="single" w:sz="4" w:space="0" w:color="auto"/>
              <w:right w:val="single" w:sz="4" w:space="0" w:color="auto"/>
            </w:tcBorders>
            <w:shd w:val="clear" w:color="auto" w:fill="C6EFCE"/>
            <w:noWrap/>
            <w:hideMark/>
          </w:tcPr>
          <w:p w14:paraId="79C6DAFB"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T3</w:t>
            </w:r>
          </w:p>
        </w:tc>
        <w:tc>
          <w:tcPr>
            <w:tcW w:w="709" w:type="dxa"/>
            <w:tcBorders>
              <w:top w:val="nil"/>
              <w:left w:val="nil"/>
              <w:bottom w:val="single" w:sz="4" w:space="0" w:color="auto"/>
              <w:right w:val="single" w:sz="4" w:space="0" w:color="auto"/>
            </w:tcBorders>
            <w:shd w:val="clear" w:color="auto" w:fill="C6EFCE"/>
            <w:noWrap/>
            <w:hideMark/>
          </w:tcPr>
          <w:p w14:paraId="5CCBD5E7" w14:textId="77777777" w:rsidR="00736704" w:rsidRPr="00225351" w:rsidRDefault="00736704" w:rsidP="00693327">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2023</w:t>
            </w:r>
          </w:p>
        </w:tc>
        <w:tc>
          <w:tcPr>
            <w:tcW w:w="4540" w:type="dxa"/>
            <w:tcBorders>
              <w:top w:val="nil"/>
              <w:left w:val="nil"/>
              <w:bottom w:val="single" w:sz="4" w:space="0" w:color="auto"/>
              <w:right w:val="single" w:sz="4" w:space="0" w:color="auto"/>
            </w:tcBorders>
            <w:shd w:val="clear" w:color="auto" w:fill="C6EFCE"/>
            <w:noWrap/>
          </w:tcPr>
          <w:p w14:paraId="12D9EF8A" w14:textId="27930683" w:rsidR="00736704" w:rsidRPr="00225351" w:rsidRDefault="00736704" w:rsidP="00693327">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Трябва да бъдат подписани договорите за доставка на 68 нови превозни средства с нулеви емисии за градски и междуградски обществен транспорт след открита и конкурентна процедура за възлагане. </w:t>
            </w:r>
          </w:p>
          <w:p w14:paraId="4DC734D5" w14:textId="77777777" w:rsidR="00736704" w:rsidRPr="008A0F8A" w:rsidRDefault="00736704" w:rsidP="00693327">
            <w:pPr>
              <w:spacing w:after="0" w:line="240" w:lineRule="auto"/>
              <w:jc w:val="both"/>
              <w:rPr>
                <w:rFonts w:ascii="Times New Roman" w:eastAsia="Times New Roman" w:hAnsi="Times New Roman" w:cs="Times New Roman"/>
                <w:noProof/>
                <w:color w:val="006100"/>
                <w:sz w:val="20"/>
                <w:szCs w:val="20"/>
                <w:lang w:val="ru-RU"/>
              </w:rPr>
            </w:pPr>
          </w:p>
          <w:p w14:paraId="6E42B5F4" w14:textId="13C981A7" w:rsidR="00736704" w:rsidRPr="00225351" w:rsidRDefault="00736704" w:rsidP="00693327">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Съгласно подписаните договори превозните средства с нулеви емисии (автобуси и/или тролейбуси) трябва да бъдат доставени в съответствие с Директива (ЕС) 2019/1161 на Европейския парламент и на Съвета от 20 юни 2019 г. за изменение на Директива 2009/33/ЕО за насърчаването на чисти и енергийноефективни пътни превозни средства.</w:t>
            </w:r>
          </w:p>
          <w:p w14:paraId="104B4509" w14:textId="77777777" w:rsidR="00736704" w:rsidRPr="008A0F8A" w:rsidRDefault="00736704" w:rsidP="00693327">
            <w:pPr>
              <w:spacing w:after="0" w:line="240" w:lineRule="auto"/>
              <w:jc w:val="both"/>
              <w:rPr>
                <w:rFonts w:ascii="Times New Roman" w:eastAsia="Times New Roman" w:hAnsi="Times New Roman" w:cs="Times New Roman"/>
                <w:noProof/>
                <w:color w:val="006100"/>
                <w:sz w:val="20"/>
                <w:szCs w:val="20"/>
                <w:lang w:val="ru-RU"/>
              </w:rPr>
            </w:pPr>
          </w:p>
          <w:p w14:paraId="32A41342" w14:textId="77777777" w:rsidR="00736704" w:rsidRPr="00225351" w:rsidRDefault="00736704" w:rsidP="00693327">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Доставените превозни средства трябва да отговарят на следните изисквания в съответствие с Техническите насоки за прилагането на принципа за „ненанасяне на значителни вреди“:</w:t>
            </w:r>
          </w:p>
          <w:p w14:paraId="5B838C2A" w14:textId="6843240A" w:rsidR="00736704" w:rsidRPr="00225351" w:rsidRDefault="00736704" w:rsidP="00693327">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sz w:val="20"/>
              </w:rPr>
              <w:br/>
            </w:r>
            <w:r>
              <w:rPr>
                <w:rFonts w:ascii="Times New Roman" w:hAnsi="Times New Roman"/>
                <w:noProof/>
                <w:color w:val="006100"/>
                <w:sz w:val="20"/>
              </w:rPr>
              <w:t>а) автобуси с нископоставен под (категории M2 и M3) — само електрически и хибридни електрически с възможност за включване към електрическата мрежа;</w:t>
            </w:r>
          </w:p>
          <w:p w14:paraId="60A50225" w14:textId="46CF3B54" w:rsidR="00736704" w:rsidRPr="00225351" w:rsidRDefault="00736704" w:rsidP="00693327">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б) автобуси с високопоставен под (категории M2 и M3) — всички автобуси, които отговарят на изискванията по отношение на емисиите за тежкотоварни превозни средства (Евро VI).</w:t>
            </w:r>
          </w:p>
          <w:p w14:paraId="35502BF2" w14:textId="77777777" w:rsidR="00736704" w:rsidRPr="00225351" w:rsidRDefault="00736704" w:rsidP="00693327">
            <w:pPr>
              <w:spacing w:after="0" w:line="240" w:lineRule="auto"/>
              <w:jc w:val="both"/>
              <w:rPr>
                <w:rFonts w:ascii="Times New Roman" w:hAnsi="Times New Roman" w:cs="Times New Roman"/>
                <w:noProof/>
                <w:sz w:val="20"/>
                <w:szCs w:val="20"/>
              </w:rPr>
            </w:pPr>
            <w:r>
              <w:rPr>
                <w:rFonts w:ascii="Times New Roman" w:hAnsi="Times New Roman"/>
                <w:noProof/>
                <w:color w:val="006100"/>
                <w:sz w:val="20"/>
              </w:rPr>
              <w:t xml:space="preserve"> </w:t>
            </w:r>
            <w:r>
              <w:rPr>
                <w:rFonts w:ascii="Times New Roman" w:hAnsi="Times New Roman"/>
                <w:noProof/>
                <w:sz w:val="20"/>
              </w:rPr>
              <w:br/>
            </w:r>
            <w:r>
              <w:rPr>
                <w:rFonts w:ascii="Times New Roman" w:hAnsi="Times New Roman"/>
                <w:noProof/>
                <w:color w:val="006100"/>
                <w:sz w:val="20"/>
              </w:rPr>
              <w:t xml:space="preserve">При изчисляването на компенсацията за транспортните оператори във връзка с държавната помощ трябва да се вземе предвид публичното финансиране за превозните средства за целия им икономически полезен живот. </w:t>
            </w:r>
          </w:p>
          <w:p w14:paraId="5FB2A8F8" w14:textId="77777777" w:rsidR="00736704" w:rsidRPr="008A0F8A" w:rsidRDefault="00736704" w:rsidP="00693327">
            <w:pPr>
              <w:spacing w:after="0" w:line="240" w:lineRule="auto"/>
              <w:jc w:val="both"/>
              <w:rPr>
                <w:rFonts w:ascii="Times New Roman" w:eastAsia="Times New Roman" w:hAnsi="Times New Roman" w:cs="Times New Roman"/>
                <w:noProof/>
                <w:color w:val="006100"/>
                <w:sz w:val="20"/>
                <w:szCs w:val="20"/>
                <w:lang w:val="ru-RU"/>
              </w:rPr>
            </w:pPr>
          </w:p>
          <w:p w14:paraId="64092BED" w14:textId="21993A72" w:rsidR="00736704" w:rsidRPr="00225351" w:rsidRDefault="00736704" w:rsidP="00693327">
            <w:pPr>
              <w:spacing w:after="0" w:line="240" w:lineRule="auto"/>
              <w:jc w:val="both"/>
              <w:rPr>
                <w:rFonts w:ascii="Times New Roman" w:hAnsi="Times New Roman" w:cs="Times New Roman"/>
                <w:noProof/>
                <w:sz w:val="20"/>
                <w:szCs w:val="20"/>
              </w:rPr>
            </w:pPr>
            <w:r>
              <w:rPr>
                <w:rFonts w:ascii="Times New Roman" w:hAnsi="Times New Roman"/>
                <w:noProof/>
                <w:color w:val="006100"/>
                <w:sz w:val="20"/>
              </w:rPr>
              <w:t>След изтичането на срока на договора за обществена услуга финансираните превозни средства трябва да бъдат прехвърлени на компетентния орган (общината) или на следващия оператор за обществен транспорт безплатно или по пазарна цена след приспадане на публичната подкрепа (без да се включва/като се приспада помощта, получена от предприятието по договора за обществена услуга) — в съответствие с Регламент (ЕО) № 1370/2007.</w:t>
            </w:r>
          </w:p>
          <w:p w14:paraId="4EE70A46" w14:textId="77777777" w:rsidR="00736704" w:rsidRPr="008A0F8A" w:rsidRDefault="00736704" w:rsidP="00693327">
            <w:pPr>
              <w:spacing w:after="0" w:line="240" w:lineRule="auto"/>
              <w:jc w:val="both"/>
              <w:rPr>
                <w:rFonts w:ascii="Times New Roman" w:eastAsia="Times New Roman" w:hAnsi="Times New Roman" w:cs="Times New Roman"/>
                <w:noProof/>
                <w:color w:val="006100"/>
                <w:sz w:val="20"/>
                <w:szCs w:val="20"/>
                <w:lang w:val="ru-RU"/>
              </w:rPr>
            </w:pPr>
          </w:p>
          <w:p w14:paraId="1081FDD8" w14:textId="77777777" w:rsidR="00736704" w:rsidRPr="00225351" w:rsidRDefault="00736704" w:rsidP="00693327">
            <w:pPr>
              <w:spacing w:after="0" w:line="240" w:lineRule="auto"/>
              <w:jc w:val="both"/>
              <w:rPr>
                <w:rFonts w:ascii="Times New Roman" w:eastAsia="Times New Roman" w:hAnsi="Times New Roman" w:cs="Times New Roman"/>
                <w:noProof/>
                <w:color w:val="FF0000"/>
                <w:sz w:val="20"/>
                <w:szCs w:val="20"/>
              </w:rPr>
            </w:pPr>
            <w:r>
              <w:rPr>
                <w:rFonts w:ascii="Times New Roman" w:hAnsi="Times New Roman"/>
                <w:noProof/>
                <w:color w:val="006100"/>
                <w:sz w:val="20"/>
              </w:rPr>
              <w:t>Операторите трябва да са задължени да върнат на собственика подвижния състав в състоянието, в което е получен, като се вземе предвид нормалната амортизационна норма, за да може държавата да го предостави на следващия оператор на обществена услуга.</w:t>
            </w:r>
          </w:p>
        </w:tc>
      </w:tr>
      <w:tr w:rsidR="00225351" w:rsidRPr="005241FC" w14:paraId="1908302B" w14:textId="77777777" w:rsidTr="00A80AF7">
        <w:trPr>
          <w:jc w:val="center"/>
        </w:trPr>
        <w:tc>
          <w:tcPr>
            <w:tcW w:w="689" w:type="dxa"/>
            <w:tcBorders>
              <w:top w:val="nil"/>
              <w:left w:val="single" w:sz="4" w:space="0" w:color="auto"/>
              <w:bottom w:val="single" w:sz="4" w:space="0" w:color="auto"/>
              <w:right w:val="single" w:sz="4" w:space="0" w:color="auto"/>
            </w:tcBorders>
            <w:shd w:val="clear" w:color="auto" w:fill="C6EFCE"/>
            <w:noWrap/>
            <w:hideMark/>
          </w:tcPr>
          <w:p w14:paraId="5B2B7061" w14:textId="69AE8AA1" w:rsidR="00C8071B" w:rsidRPr="00225351" w:rsidRDefault="002B7436" w:rsidP="00C8071B">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203</w:t>
            </w:r>
          </w:p>
        </w:tc>
        <w:tc>
          <w:tcPr>
            <w:tcW w:w="1275" w:type="dxa"/>
            <w:tcBorders>
              <w:top w:val="nil"/>
              <w:left w:val="nil"/>
              <w:bottom w:val="single" w:sz="4" w:space="0" w:color="auto"/>
              <w:right w:val="single" w:sz="4" w:space="0" w:color="auto"/>
            </w:tcBorders>
            <w:shd w:val="clear" w:color="auto" w:fill="C6EFCE"/>
            <w:noWrap/>
            <w:hideMark/>
          </w:tcPr>
          <w:p w14:paraId="2C831E51" w14:textId="0B802383" w:rsidR="00C8071B" w:rsidRPr="00225351" w:rsidRDefault="00C8071B" w:rsidP="00C8071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К8.И7: Екологосъобразна мобилност — пилотна схема за подкрепа на устойчивата градска мобилност</w:t>
            </w:r>
          </w:p>
        </w:tc>
        <w:tc>
          <w:tcPr>
            <w:tcW w:w="1150" w:type="dxa"/>
            <w:tcBorders>
              <w:top w:val="nil"/>
              <w:left w:val="nil"/>
              <w:bottom w:val="single" w:sz="4" w:space="0" w:color="auto"/>
              <w:right w:val="single" w:sz="4" w:space="0" w:color="auto"/>
            </w:tcBorders>
            <w:shd w:val="clear" w:color="auto" w:fill="C6EFCE"/>
            <w:noWrap/>
            <w:hideMark/>
          </w:tcPr>
          <w:p w14:paraId="3D2EE48A" w14:textId="77777777" w:rsidR="00C8071B" w:rsidRPr="00225351" w:rsidRDefault="00C8071B" w:rsidP="00C8071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Цел</w:t>
            </w:r>
          </w:p>
        </w:tc>
        <w:tc>
          <w:tcPr>
            <w:tcW w:w="1417" w:type="dxa"/>
            <w:tcBorders>
              <w:top w:val="nil"/>
              <w:left w:val="nil"/>
              <w:bottom w:val="single" w:sz="4" w:space="0" w:color="auto"/>
              <w:right w:val="single" w:sz="4" w:space="0" w:color="auto"/>
            </w:tcBorders>
            <w:shd w:val="clear" w:color="auto" w:fill="C6EFCE"/>
            <w:noWrap/>
            <w:hideMark/>
          </w:tcPr>
          <w:p w14:paraId="4B02572D" w14:textId="77777777" w:rsidR="00C8071B" w:rsidRPr="00225351" w:rsidRDefault="00C8071B" w:rsidP="00C8071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Нови превозни средства с нулеви емисии </w:t>
            </w:r>
          </w:p>
        </w:tc>
        <w:tc>
          <w:tcPr>
            <w:tcW w:w="1418" w:type="dxa"/>
            <w:tcBorders>
              <w:top w:val="nil"/>
              <w:left w:val="nil"/>
              <w:bottom w:val="single" w:sz="4" w:space="0" w:color="auto"/>
              <w:right w:val="single" w:sz="4" w:space="0" w:color="auto"/>
            </w:tcBorders>
            <w:shd w:val="clear" w:color="auto" w:fill="C6EFCE"/>
            <w:noWrap/>
            <w:hideMark/>
          </w:tcPr>
          <w:p w14:paraId="33D73968" w14:textId="77777777" w:rsidR="00C8071B" w:rsidRPr="00225351" w:rsidRDefault="00C8071B" w:rsidP="00C8071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1417" w:type="dxa"/>
            <w:tcBorders>
              <w:top w:val="nil"/>
              <w:left w:val="nil"/>
              <w:bottom w:val="single" w:sz="4" w:space="0" w:color="auto"/>
              <w:right w:val="single" w:sz="4" w:space="0" w:color="auto"/>
            </w:tcBorders>
            <w:shd w:val="clear" w:color="auto" w:fill="C6EFCE"/>
            <w:noWrap/>
            <w:hideMark/>
          </w:tcPr>
          <w:p w14:paraId="62C21F60" w14:textId="77777777" w:rsidR="00C8071B" w:rsidRPr="00225351" w:rsidRDefault="00C8071B" w:rsidP="00C8071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Брой превозни средства в експлоатация</w:t>
            </w:r>
          </w:p>
        </w:tc>
        <w:tc>
          <w:tcPr>
            <w:tcW w:w="993" w:type="dxa"/>
            <w:tcBorders>
              <w:top w:val="nil"/>
              <w:left w:val="nil"/>
              <w:bottom w:val="single" w:sz="4" w:space="0" w:color="auto"/>
              <w:right w:val="single" w:sz="4" w:space="0" w:color="auto"/>
            </w:tcBorders>
            <w:shd w:val="clear" w:color="auto" w:fill="C6EFCE"/>
            <w:noWrap/>
            <w:hideMark/>
          </w:tcPr>
          <w:p w14:paraId="4C3A827C" w14:textId="77777777" w:rsidR="00C8071B" w:rsidRPr="00225351" w:rsidRDefault="00C8071B" w:rsidP="00C8071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0</w:t>
            </w:r>
          </w:p>
        </w:tc>
        <w:tc>
          <w:tcPr>
            <w:tcW w:w="992" w:type="dxa"/>
            <w:tcBorders>
              <w:top w:val="nil"/>
              <w:left w:val="nil"/>
              <w:bottom w:val="single" w:sz="4" w:space="0" w:color="auto"/>
              <w:right w:val="single" w:sz="4" w:space="0" w:color="auto"/>
            </w:tcBorders>
            <w:shd w:val="clear" w:color="auto" w:fill="C6EFCE"/>
            <w:noWrap/>
            <w:hideMark/>
          </w:tcPr>
          <w:p w14:paraId="7BACBC5D" w14:textId="77777777" w:rsidR="00C8071B" w:rsidRPr="00225351" w:rsidRDefault="00C8071B" w:rsidP="00C8071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68</w:t>
            </w:r>
          </w:p>
        </w:tc>
        <w:tc>
          <w:tcPr>
            <w:tcW w:w="850" w:type="dxa"/>
            <w:tcBorders>
              <w:top w:val="nil"/>
              <w:left w:val="nil"/>
              <w:bottom w:val="single" w:sz="4" w:space="0" w:color="auto"/>
              <w:right w:val="single" w:sz="4" w:space="0" w:color="auto"/>
            </w:tcBorders>
            <w:shd w:val="clear" w:color="auto" w:fill="C6EFCE"/>
            <w:noWrap/>
            <w:hideMark/>
          </w:tcPr>
          <w:p w14:paraId="2CC33C83" w14:textId="77777777" w:rsidR="00C8071B" w:rsidRPr="00225351" w:rsidRDefault="00C8071B" w:rsidP="00C8071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T2</w:t>
            </w:r>
          </w:p>
        </w:tc>
        <w:tc>
          <w:tcPr>
            <w:tcW w:w="709" w:type="dxa"/>
            <w:tcBorders>
              <w:top w:val="nil"/>
              <w:left w:val="nil"/>
              <w:bottom w:val="single" w:sz="4" w:space="0" w:color="auto"/>
              <w:right w:val="single" w:sz="4" w:space="0" w:color="auto"/>
            </w:tcBorders>
            <w:shd w:val="clear" w:color="auto" w:fill="C6EFCE"/>
            <w:noWrap/>
            <w:hideMark/>
          </w:tcPr>
          <w:p w14:paraId="58F549D3" w14:textId="77777777" w:rsidR="00C8071B" w:rsidRPr="00225351" w:rsidRDefault="00C8071B" w:rsidP="00C8071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2024</w:t>
            </w:r>
          </w:p>
        </w:tc>
        <w:tc>
          <w:tcPr>
            <w:tcW w:w="4540" w:type="dxa"/>
            <w:tcBorders>
              <w:top w:val="nil"/>
              <w:left w:val="nil"/>
              <w:bottom w:val="single" w:sz="4" w:space="0" w:color="auto"/>
              <w:right w:val="single" w:sz="4" w:space="0" w:color="auto"/>
            </w:tcBorders>
            <w:shd w:val="clear" w:color="auto" w:fill="C6EFCE"/>
            <w:noWrap/>
          </w:tcPr>
          <w:p w14:paraId="551E147E" w14:textId="77777777" w:rsidR="00C8071B" w:rsidRPr="00225351" w:rsidRDefault="00C8071B" w:rsidP="00C8071B">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Трябва да бъдат закупени и пуснати в експлоатация нови превозни средства с нулеви емисии (автобуси и/или тролейбуси) за градски и междуградски обществен транспорт.</w:t>
            </w:r>
          </w:p>
          <w:p w14:paraId="7E0514BD" w14:textId="77777777" w:rsidR="00C8071B" w:rsidRPr="00225351" w:rsidRDefault="00C8071B" w:rsidP="00C8071B">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 </w:t>
            </w:r>
          </w:p>
          <w:p w14:paraId="23F9973D" w14:textId="77777777" w:rsidR="00C8071B" w:rsidRPr="00225351" w:rsidRDefault="00C8071B" w:rsidP="00C8071B">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Допустимите бенефициери трябва да представляват партньорства на градски общини и оператори за обществен транспорт, извършващи дейност в райони извън столицата и в по-слабо развити региони — на територията на 40-те големи градски общини, с изключение на 10-те най-големи общини, към 2021 г.</w:t>
            </w:r>
            <w:r>
              <w:rPr>
                <w:rFonts w:ascii="Times New Roman" w:hAnsi="Times New Roman"/>
                <w:noProof/>
                <w:sz w:val="20"/>
              </w:rPr>
              <w:br/>
            </w:r>
            <w:r>
              <w:rPr>
                <w:rFonts w:ascii="Times New Roman" w:hAnsi="Times New Roman"/>
                <w:noProof/>
                <w:color w:val="006100"/>
                <w:sz w:val="20"/>
              </w:rPr>
              <w:t>Селските общини също трябва да бъдат считани за допустими като асоциирани партньори по проекта.</w:t>
            </w:r>
          </w:p>
          <w:p w14:paraId="392BCD50" w14:textId="77777777" w:rsidR="00C8071B" w:rsidRPr="008A0F8A" w:rsidRDefault="00C8071B" w:rsidP="00C8071B">
            <w:pPr>
              <w:spacing w:after="0" w:line="240" w:lineRule="auto"/>
              <w:jc w:val="both"/>
              <w:rPr>
                <w:rFonts w:ascii="Times New Roman" w:eastAsia="Times New Roman" w:hAnsi="Times New Roman" w:cs="Times New Roman"/>
                <w:noProof/>
                <w:color w:val="006100"/>
                <w:sz w:val="20"/>
                <w:szCs w:val="20"/>
                <w:lang w:val="ru-RU"/>
              </w:rPr>
            </w:pPr>
          </w:p>
          <w:p w14:paraId="60703AD8" w14:textId="77777777" w:rsidR="00C8071B" w:rsidRPr="00225351" w:rsidRDefault="00C8071B" w:rsidP="00C8071B">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Критериите за подбор трябва да включват: </w:t>
            </w:r>
          </w:p>
          <w:p w14:paraId="4C8E66EE" w14:textId="77777777" w:rsidR="00C8071B" w:rsidRPr="00225351" w:rsidRDefault="00C8071B" w:rsidP="00195A1D">
            <w:pPr>
              <w:pStyle w:val="ListParagraph"/>
              <w:numPr>
                <w:ilvl w:val="0"/>
                <w:numId w:val="72"/>
              </w:numPr>
              <w:spacing w:after="0" w:line="240" w:lineRule="auto"/>
              <w:ind w:left="360"/>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наличие на проекти/приоритети, определени в Плановете за интегрирано развитие на общините и Интегрираните териториални стратегии за развитие, за регионите от ниво NUTS 2;</w:t>
            </w:r>
          </w:p>
          <w:p w14:paraId="0E0F98F9" w14:textId="77777777" w:rsidR="00C8071B" w:rsidRPr="00225351" w:rsidRDefault="00C8071B" w:rsidP="00195A1D">
            <w:pPr>
              <w:pStyle w:val="ListParagraph"/>
              <w:numPr>
                <w:ilvl w:val="0"/>
                <w:numId w:val="72"/>
              </w:numPr>
              <w:spacing w:after="0" w:line="240" w:lineRule="auto"/>
              <w:ind w:left="360"/>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съответствие с плановете за устойчива градска мобилност (включени в Плановете за интегрирано развитие на общините или актуализирани в съответствие с тях).</w:t>
            </w:r>
          </w:p>
          <w:p w14:paraId="076C3A23" w14:textId="77777777" w:rsidR="00C8071B" w:rsidRPr="00225351" w:rsidRDefault="00C8071B" w:rsidP="00C8071B">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Трябва да бъде избран поне един проект на територията на всеки от шестте региона от ниво NUTS 2.</w:t>
            </w:r>
          </w:p>
          <w:p w14:paraId="5DFF1499" w14:textId="77777777" w:rsidR="00C8071B" w:rsidRPr="008A0F8A" w:rsidRDefault="00C8071B" w:rsidP="00C8071B">
            <w:pPr>
              <w:spacing w:after="0" w:line="240" w:lineRule="auto"/>
              <w:jc w:val="both"/>
              <w:rPr>
                <w:rFonts w:ascii="Times New Roman" w:eastAsia="Times New Roman" w:hAnsi="Times New Roman" w:cs="Times New Roman"/>
                <w:noProof/>
                <w:color w:val="006100"/>
                <w:sz w:val="20"/>
                <w:szCs w:val="20"/>
                <w:lang w:val="ru-RU"/>
              </w:rPr>
            </w:pPr>
          </w:p>
          <w:p w14:paraId="1DC62127" w14:textId="77777777" w:rsidR="00C8071B" w:rsidRPr="00225351" w:rsidRDefault="00C8071B" w:rsidP="00C8071B">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Превозните средства с нулеви емисии (автобуси и/или тролейбуси) трябва да бъдат доставени в съответствие с Директива (ЕС) 2019/1161 на Европейския парламент и на Съвета от 20 юни 2019 г. за изменение на Директива 2009/33/ЕО за насърчаването на чисти и енергийноефективни пътни превозни средства. </w:t>
            </w:r>
          </w:p>
          <w:p w14:paraId="54F29A67" w14:textId="77777777" w:rsidR="00C8071B" w:rsidRPr="008A0F8A" w:rsidRDefault="00C8071B" w:rsidP="00C8071B">
            <w:pPr>
              <w:spacing w:after="0" w:line="240" w:lineRule="auto"/>
              <w:jc w:val="both"/>
              <w:rPr>
                <w:rFonts w:ascii="Times New Roman" w:eastAsia="Times New Roman" w:hAnsi="Times New Roman" w:cs="Times New Roman"/>
                <w:noProof/>
                <w:color w:val="006100"/>
                <w:sz w:val="20"/>
                <w:szCs w:val="20"/>
                <w:lang w:val="ru-RU"/>
              </w:rPr>
            </w:pPr>
          </w:p>
          <w:p w14:paraId="7A1A34F6" w14:textId="77777777" w:rsidR="00C8071B" w:rsidRPr="00225351" w:rsidRDefault="00C8071B" w:rsidP="00C8071B">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Превозните средства трябва да отговарят на следните изисквания в съответствие с Техническите насоки за прилагането на принципа за „ненанасяне на значителни вреди“:</w:t>
            </w:r>
            <w:r>
              <w:rPr>
                <w:rFonts w:ascii="Times New Roman" w:hAnsi="Times New Roman"/>
                <w:noProof/>
                <w:sz w:val="20"/>
              </w:rPr>
              <w:br/>
            </w:r>
            <w:r>
              <w:rPr>
                <w:rFonts w:ascii="Times New Roman" w:hAnsi="Times New Roman"/>
                <w:noProof/>
                <w:color w:val="006100"/>
                <w:sz w:val="20"/>
              </w:rPr>
              <w:t xml:space="preserve"> а) автобуси с нископоставен под (категории M2 и M3) — само електрически и хибридни електрически с възможност за включване към електрическата мрежа;</w:t>
            </w:r>
            <w:r>
              <w:rPr>
                <w:rFonts w:ascii="Times New Roman" w:hAnsi="Times New Roman"/>
                <w:noProof/>
                <w:sz w:val="20"/>
              </w:rPr>
              <w:br/>
            </w:r>
            <w:r>
              <w:rPr>
                <w:rFonts w:ascii="Times New Roman" w:hAnsi="Times New Roman"/>
                <w:noProof/>
                <w:color w:val="006100"/>
                <w:sz w:val="20"/>
              </w:rPr>
              <w:t xml:space="preserve"> б) автобуси с високопоставен под (категории M2 и M3) — всички автобуси, които отговарят на изискванията по отношение на емисиите за тежкотоварни превозни средства (Евро VI).</w:t>
            </w:r>
          </w:p>
          <w:p w14:paraId="5A6EAF83" w14:textId="77777777" w:rsidR="00C8071B" w:rsidRPr="008A0F8A" w:rsidRDefault="00C8071B" w:rsidP="00C8071B">
            <w:pPr>
              <w:spacing w:after="0" w:line="240" w:lineRule="auto"/>
              <w:jc w:val="both"/>
              <w:rPr>
                <w:rFonts w:ascii="Times New Roman" w:eastAsia="Times New Roman" w:hAnsi="Times New Roman" w:cs="Times New Roman"/>
                <w:noProof/>
                <w:color w:val="006100"/>
                <w:sz w:val="20"/>
                <w:szCs w:val="20"/>
                <w:lang w:val="ru-RU"/>
              </w:rPr>
            </w:pPr>
          </w:p>
          <w:p w14:paraId="63500F07" w14:textId="77777777" w:rsidR="00C8071B" w:rsidRPr="00225351" w:rsidRDefault="00C8071B" w:rsidP="00C8071B">
            <w:pPr>
              <w:spacing w:after="0" w:line="240" w:lineRule="auto"/>
              <w:jc w:val="both"/>
              <w:rPr>
                <w:rFonts w:ascii="Times New Roman" w:hAnsi="Times New Roman" w:cs="Times New Roman"/>
                <w:noProof/>
                <w:sz w:val="20"/>
                <w:szCs w:val="20"/>
              </w:rPr>
            </w:pPr>
            <w:r>
              <w:rPr>
                <w:rFonts w:ascii="Times New Roman" w:hAnsi="Times New Roman"/>
                <w:noProof/>
                <w:color w:val="006100"/>
                <w:sz w:val="20"/>
              </w:rPr>
              <w:t xml:space="preserve">При изчисляването на компенсацията за транспортните оператори трябва да се вземе предвид публичното финансиране за превозните средства за целия им икономически полезен живот. </w:t>
            </w:r>
          </w:p>
          <w:p w14:paraId="115D629A" w14:textId="77777777" w:rsidR="00C8071B" w:rsidRPr="008A0F8A" w:rsidRDefault="00C8071B" w:rsidP="00C8071B">
            <w:pPr>
              <w:spacing w:after="0" w:line="240" w:lineRule="auto"/>
              <w:jc w:val="both"/>
              <w:rPr>
                <w:rFonts w:ascii="Times New Roman" w:eastAsia="Times New Roman" w:hAnsi="Times New Roman" w:cs="Times New Roman"/>
                <w:noProof/>
                <w:color w:val="006100"/>
                <w:sz w:val="20"/>
                <w:szCs w:val="20"/>
                <w:lang w:val="ru-RU"/>
              </w:rPr>
            </w:pPr>
          </w:p>
          <w:p w14:paraId="469C665E" w14:textId="77777777" w:rsidR="00C8071B" w:rsidRPr="00225351" w:rsidRDefault="00C8071B" w:rsidP="00C8071B">
            <w:pPr>
              <w:spacing w:after="0" w:line="240" w:lineRule="auto"/>
              <w:jc w:val="both"/>
              <w:rPr>
                <w:rFonts w:ascii="Times New Roman" w:hAnsi="Times New Roman" w:cs="Times New Roman"/>
                <w:noProof/>
                <w:sz w:val="20"/>
                <w:szCs w:val="20"/>
              </w:rPr>
            </w:pPr>
            <w:r>
              <w:rPr>
                <w:rFonts w:ascii="Times New Roman" w:hAnsi="Times New Roman"/>
                <w:noProof/>
                <w:color w:val="006100"/>
                <w:sz w:val="20"/>
              </w:rPr>
              <w:t>След изтичането на срока на договора за обществена услуга финансираните превозни средства трябва да бъдат прехвърлени на компетентния орган (общината) или на следващия оператор за обществен транспорт безплатно или по пазарна цена след приспадане на публичната подкрепа (без да се включва/като се приспада помощта, получена от предприятието по договора за обществена услуга) — в съответствие с Регламент (ЕО) № 1370/2007.</w:t>
            </w:r>
          </w:p>
          <w:p w14:paraId="790FF55E" w14:textId="77777777" w:rsidR="00C8071B" w:rsidRPr="008A0F8A" w:rsidRDefault="00C8071B" w:rsidP="00C8071B">
            <w:pPr>
              <w:spacing w:after="0" w:line="240" w:lineRule="auto"/>
              <w:jc w:val="both"/>
              <w:rPr>
                <w:rFonts w:ascii="Times New Roman" w:eastAsia="Times New Roman" w:hAnsi="Times New Roman" w:cs="Times New Roman"/>
                <w:noProof/>
                <w:color w:val="006100"/>
                <w:sz w:val="20"/>
                <w:szCs w:val="20"/>
                <w:lang w:val="ru-RU"/>
              </w:rPr>
            </w:pPr>
          </w:p>
          <w:p w14:paraId="74451374" w14:textId="77777777" w:rsidR="00C8071B" w:rsidRPr="00225351" w:rsidRDefault="00C8071B" w:rsidP="00C8071B">
            <w:pPr>
              <w:spacing w:after="0" w:line="240" w:lineRule="auto"/>
              <w:jc w:val="both"/>
              <w:rPr>
                <w:rFonts w:ascii="Times New Roman" w:eastAsia="Times New Roman" w:hAnsi="Times New Roman" w:cs="Times New Roman"/>
                <w:noProof/>
                <w:color w:val="FF0000"/>
                <w:sz w:val="20"/>
                <w:szCs w:val="20"/>
              </w:rPr>
            </w:pPr>
            <w:r>
              <w:rPr>
                <w:rFonts w:ascii="Times New Roman" w:hAnsi="Times New Roman"/>
                <w:noProof/>
                <w:color w:val="006100"/>
                <w:sz w:val="20"/>
              </w:rPr>
              <w:t>Операторите трябва да са задължени да върнат на собственика подвижния състав в състоянието, в което е получен, като се вземе предвид нормалната амортизационна норма, за да може държавата да го предостави на следващия оператор на обществена услуга.</w:t>
            </w:r>
          </w:p>
        </w:tc>
      </w:tr>
      <w:tr w:rsidR="00225351" w:rsidRPr="005241FC" w14:paraId="64BEF5A8" w14:textId="77777777" w:rsidTr="00A80AF7">
        <w:trPr>
          <w:jc w:val="center"/>
        </w:trPr>
        <w:tc>
          <w:tcPr>
            <w:tcW w:w="689" w:type="dxa"/>
            <w:tcBorders>
              <w:top w:val="nil"/>
              <w:left w:val="single" w:sz="4" w:space="0" w:color="auto"/>
              <w:bottom w:val="single" w:sz="4" w:space="0" w:color="auto"/>
              <w:right w:val="single" w:sz="4" w:space="0" w:color="auto"/>
            </w:tcBorders>
            <w:shd w:val="clear" w:color="auto" w:fill="C6EFCE"/>
            <w:noWrap/>
            <w:hideMark/>
          </w:tcPr>
          <w:p w14:paraId="6A2CB22B" w14:textId="451AB237" w:rsidR="00C8071B" w:rsidRPr="00225351" w:rsidRDefault="002B7436" w:rsidP="00C8071B">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204</w:t>
            </w:r>
          </w:p>
        </w:tc>
        <w:tc>
          <w:tcPr>
            <w:tcW w:w="1275" w:type="dxa"/>
            <w:tcBorders>
              <w:top w:val="nil"/>
              <w:left w:val="nil"/>
              <w:bottom w:val="single" w:sz="4" w:space="0" w:color="auto"/>
              <w:right w:val="single" w:sz="4" w:space="0" w:color="auto"/>
            </w:tcBorders>
            <w:shd w:val="clear" w:color="auto" w:fill="C6EFCE"/>
            <w:noWrap/>
            <w:hideMark/>
          </w:tcPr>
          <w:p w14:paraId="4FBBFF93" w14:textId="3C8D4BC0" w:rsidR="00C8071B" w:rsidRPr="00225351" w:rsidRDefault="00C8071B" w:rsidP="00C8071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К8.И7: Екологосъобразна мобилност — пилотна схема за подкрепа на устойчивата градска мобилност</w:t>
            </w:r>
          </w:p>
        </w:tc>
        <w:tc>
          <w:tcPr>
            <w:tcW w:w="1150" w:type="dxa"/>
            <w:tcBorders>
              <w:top w:val="nil"/>
              <w:left w:val="nil"/>
              <w:bottom w:val="single" w:sz="4" w:space="0" w:color="auto"/>
              <w:right w:val="single" w:sz="4" w:space="0" w:color="auto"/>
            </w:tcBorders>
            <w:shd w:val="clear" w:color="auto" w:fill="C6EFCE"/>
            <w:noWrap/>
            <w:hideMark/>
          </w:tcPr>
          <w:p w14:paraId="7A489014" w14:textId="77777777" w:rsidR="00C8071B" w:rsidRPr="00225351" w:rsidRDefault="00C8071B" w:rsidP="00C8071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Цел</w:t>
            </w:r>
          </w:p>
        </w:tc>
        <w:tc>
          <w:tcPr>
            <w:tcW w:w="1417" w:type="dxa"/>
            <w:tcBorders>
              <w:top w:val="nil"/>
              <w:left w:val="nil"/>
              <w:bottom w:val="single" w:sz="4" w:space="0" w:color="auto"/>
              <w:right w:val="single" w:sz="4" w:space="0" w:color="auto"/>
            </w:tcBorders>
            <w:shd w:val="clear" w:color="auto" w:fill="C6EFCE"/>
            <w:noWrap/>
            <w:hideMark/>
          </w:tcPr>
          <w:p w14:paraId="4CCC3BC3" w14:textId="77777777" w:rsidR="00C8071B" w:rsidRPr="00225351" w:rsidRDefault="00C8071B" w:rsidP="00C8071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Зарядни станции за превозни средства за обществен транспорт </w:t>
            </w:r>
          </w:p>
        </w:tc>
        <w:tc>
          <w:tcPr>
            <w:tcW w:w="1418" w:type="dxa"/>
            <w:tcBorders>
              <w:top w:val="nil"/>
              <w:left w:val="nil"/>
              <w:bottom w:val="single" w:sz="4" w:space="0" w:color="auto"/>
              <w:right w:val="single" w:sz="4" w:space="0" w:color="auto"/>
            </w:tcBorders>
            <w:shd w:val="clear" w:color="auto" w:fill="C6EFCE"/>
            <w:noWrap/>
            <w:hideMark/>
          </w:tcPr>
          <w:p w14:paraId="521D8247" w14:textId="77777777" w:rsidR="00C8071B" w:rsidRPr="00225351" w:rsidRDefault="00C8071B" w:rsidP="00C8071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1417" w:type="dxa"/>
            <w:tcBorders>
              <w:top w:val="nil"/>
              <w:left w:val="nil"/>
              <w:bottom w:val="single" w:sz="4" w:space="0" w:color="auto"/>
              <w:right w:val="single" w:sz="4" w:space="0" w:color="auto"/>
            </w:tcBorders>
            <w:shd w:val="clear" w:color="auto" w:fill="C6EFCE"/>
            <w:noWrap/>
            <w:hideMark/>
          </w:tcPr>
          <w:p w14:paraId="511BC0D9" w14:textId="77777777" w:rsidR="00C8071B" w:rsidRPr="00225351" w:rsidRDefault="00C8071B" w:rsidP="00C8071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Брой зарядни станции в експлоатация</w:t>
            </w:r>
          </w:p>
        </w:tc>
        <w:tc>
          <w:tcPr>
            <w:tcW w:w="993" w:type="dxa"/>
            <w:tcBorders>
              <w:top w:val="nil"/>
              <w:left w:val="nil"/>
              <w:bottom w:val="single" w:sz="4" w:space="0" w:color="auto"/>
              <w:right w:val="single" w:sz="4" w:space="0" w:color="auto"/>
            </w:tcBorders>
            <w:shd w:val="clear" w:color="auto" w:fill="C6EFCE"/>
            <w:noWrap/>
            <w:hideMark/>
          </w:tcPr>
          <w:p w14:paraId="30C2239E" w14:textId="77777777" w:rsidR="00C8071B" w:rsidRPr="00225351" w:rsidRDefault="00C8071B" w:rsidP="00C8071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0</w:t>
            </w:r>
          </w:p>
        </w:tc>
        <w:tc>
          <w:tcPr>
            <w:tcW w:w="992" w:type="dxa"/>
            <w:tcBorders>
              <w:top w:val="nil"/>
              <w:left w:val="nil"/>
              <w:bottom w:val="single" w:sz="4" w:space="0" w:color="auto"/>
              <w:right w:val="single" w:sz="4" w:space="0" w:color="auto"/>
            </w:tcBorders>
            <w:shd w:val="clear" w:color="auto" w:fill="C6EFCE"/>
            <w:noWrap/>
            <w:hideMark/>
          </w:tcPr>
          <w:p w14:paraId="22DD359F" w14:textId="77777777" w:rsidR="00C8071B" w:rsidRPr="00225351" w:rsidRDefault="00C8071B" w:rsidP="00C8071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27</w:t>
            </w:r>
          </w:p>
        </w:tc>
        <w:tc>
          <w:tcPr>
            <w:tcW w:w="850" w:type="dxa"/>
            <w:tcBorders>
              <w:top w:val="nil"/>
              <w:left w:val="nil"/>
              <w:bottom w:val="single" w:sz="4" w:space="0" w:color="auto"/>
              <w:right w:val="single" w:sz="4" w:space="0" w:color="auto"/>
            </w:tcBorders>
            <w:shd w:val="clear" w:color="auto" w:fill="C6EFCE"/>
            <w:noWrap/>
            <w:hideMark/>
          </w:tcPr>
          <w:p w14:paraId="1B5EEAB5" w14:textId="77777777" w:rsidR="00C8071B" w:rsidRPr="00225351" w:rsidRDefault="00C8071B" w:rsidP="00C8071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T3</w:t>
            </w:r>
          </w:p>
        </w:tc>
        <w:tc>
          <w:tcPr>
            <w:tcW w:w="709" w:type="dxa"/>
            <w:tcBorders>
              <w:top w:val="nil"/>
              <w:left w:val="nil"/>
              <w:bottom w:val="single" w:sz="4" w:space="0" w:color="auto"/>
              <w:right w:val="single" w:sz="4" w:space="0" w:color="auto"/>
            </w:tcBorders>
            <w:shd w:val="clear" w:color="auto" w:fill="C6EFCE"/>
            <w:noWrap/>
            <w:hideMark/>
          </w:tcPr>
          <w:p w14:paraId="235EE258" w14:textId="77777777" w:rsidR="00C8071B" w:rsidRPr="00225351" w:rsidRDefault="00C8071B" w:rsidP="00C8071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2024</w:t>
            </w:r>
          </w:p>
        </w:tc>
        <w:tc>
          <w:tcPr>
            <w:tcW w:w="4540" w:type="dxa"/>
            <w:tcBorders>
              <w:top w:val="nil"/>
              <w:left w:val="nil"/>
              <w:bottom w:val="single" w:sz="4" w:space="0" w:color="auto"/>
              <w:right w:val="single" w:sz="4" w:space="0" w:color="auto"/>
            </w:tcBorders>
            <w:shd w:val="clear" w:color="auto" w:fill="C6EFCE"/>
            <w:noWrap/>
          </w:tcPr>
          <w:p w14:paraId="0A1E137A" w14:textId="77777777" w:rsidR="00C8071B" w:rsidRPr="00225351" w:rsidRDefault="00C8071B" w:rsidP="00C8071B">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Зарядните станции за превозни средства за обществен транспорт (електрически и/или водородни) трябва да бъдат изградени на обществени места и да са готови за експлоатация. </w:t>
            </w:r>
          </w:p>
          <w:p w14:paraId="3EDDEA11" w14:textId="77777777" w:rsidR="00C8071B" w:rsidRPr="00225351" w:rsidRDefault="00C8071B" w:rsidP="00C8071B">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sz w:val="20"/>
              </w:rPr>
              <w:br/>
            </w:r>
            <w:r>
              <w:rPr>
                <w:rFonts w:ascii="Times New Roman" w:hAnsi="Times New Roman"/>
                <w:noProof/>
                <w:color w:val="006100"/>
                <w:sz w:val="20"/>
              </w:rPr>
              <w:t>Допустимите бенефициери трябва да представляват партньорства на градски общини и оператори за обществен транспорт, извършващи дейност в райони извън столицата и в по-слабо развити региони — на територията на 40-те големи градски общини, с изключение на 10-те най-големи общини, към 2021 г.</w:t>
            </w:r>
            <w:r>
              <w:rPr>
                <w:rFonts w:ascii="Times New Roman" w:hAnsi="Times New Roman"/>
                <w:noProof/>
                <w:sz w:val="20"/>
              </w:rPr>
              <w:br/>
            </w:r>
            <w:r>
              <w:rPr>
                <w:rFonts w:ascii="Times New Roman" w:hAnsi="Times New Roman"/>
                <w:noProof/>
                <w:color w:val="006100"/>
                <w:sz w:val="20"/>
              </w:rPr>
              <w:t>Селските общини също трябва да бъдат считани за допустими като асоциирани партньори по проекта.</w:t>
            </w:r>
          </w:p>
          <w:p w14:paraId="6269513C" w14:textId="77777777" w:rsidR="00C8071B" w:rsidRPr="008A0F8A" w:rsidRDefault="00C8071B" w:rsidP="00C8071B">
            <w:pPr>
              <w:spacing w:after="0" w:line="240" w:lineRule="auto"/>
              <w:jc w:val="both"/>
              <w:rPr>
                <w:rFonts w:ascii="Times New Roman" w:eastAsia="Times New Roman" w:hAnsi="Times New Roman" w:cs="Times New Roman"/>
                <w:noProof/>
                <w:color w:val="006100"/>
                <w:sz w:val="20"/>
                <w:szCs w:val="20"/>
                <w:lang w:val="ru-RU"/>
              </w:rPr>
            </w:pPr>
          </w:p>
          <w:p w14:paraId="7D5E5A70" w14:textId="77777777" w:rsidR="00C8071B" w:rsidRPr="00225351" w:rsidRDefault="00C8071B" w:rsidP="00C8071B">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Критериите за подбор трябва да включват следното: </w:t>
            </w:r>
          </w:p>
          <w:p w14:paraId="27C06D41" w14:textId="77777777" w:rsidR="00C8071B" w:rsidRPr="00225351" w:rsidRDefault="00C8071B" w:rsidP="00C8071B">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 наличие на проекти/приоритети, определени в Плановете за интегрирано развитие на общините и Интегрираните териториални стратегии за развитие, за регионите от ниво NUTS 2; </w:t>
            </w:r>
          </w:p>
          <w:p w14:paraId="1C2C261D" w14:textId="519912AD" w:rsidR="00C8071B" w:rsidRPr="00225351" w:rsidRDefault="00C8071B" w:rsidP="00C8071B">
            <w:pPr>
              <w:spacing w:after="0" w:line="240" w:lineRule="auto"/>
              <w:jc w:val="both"/>
              <w:rPr>
                <w:rFonts w:ascii="Times New Roman" w:hAnsi="Times New Roman" w:cs="Times New Roman"/>
                <w:noProof/>
                <w:sz w:val="20"/>
                <w:szCs w:val="20"/>
              </w:rPr>
            </w:pPr>
            <w:r>
              <w:rPr>
                <w:rFonts w:ascii="Times New Roman" w:hAnsi="Times New Roman"/>
                <w:noProof/>
                <w:color w:val="006100"/>
                <w:sz w:val="20"/>
              </w:rPr>
              <w:t xml:space="preserve">- съответствие с плановете за устойчива градска мобилност (включени в Плановете за интегрирано развитие на общините или актуализирани в съответствие с тях).Трябва да бъде избран поне един проект на територията на всеки от шестте региона от ниво NUTS 2. </w:t>
            </w:r>
          </w:p>
        </w:tc>
      </w:tr>
      <w:tr w:rsidR="00225351" w:rsidRPr="005241FC" w:rsidDel="002E3984" w14:paraId="67EABDCC" w14:textId="77777777" w:rsidTr="00A80AF7">
        <w:trPr>
          <w:jc w:val="center"/>
        </w:trPr>
        <w:tc>
          <w:tcPr>
            <w:tcW w:w="689" w:type="dxa"/>
            <w:tcBorders>
              <w:top w:val="nil"/>
              <w:left w:val="single" w:sz="4" w:space="0" w:color="auto"/>
              <w:bottom w:val="single" w:sz="4" w:space="0" w:color="auto"/>
              <w:right w:val="single" w:sz="4" w:space="0" w:color="auto"/>
            </w:tcBorders>
            <w:shd w:val="clear" w:color="auto" w:fill="C6EFCE"/>
            <w:noWrap/>
          </w:tcPr>
          <w:p w14:paraId="0CE3270B" w14:textId="530E1F69" w:rsidR="00C8071B" w:rsidRPr="00225351" w:rsidRDefault="002B7436" w:rsidP="00C8071B">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205</w:t>
            </w:r>
          </w:p>
        </w:tc>
        <w:tc>
          <w:tcPr>
            <w:tcW w:w="1275" w:type="dxa"/>
            <w:tcBorders>
              <w:top w:val="nil"/>
              <w:left w:val="nil"/>
              <w:bottom w:val="single" w:sz="4" w:space="0" w:color="auto"/>
              <w:right w:val="single" w:sz="4" w:space="0" w:color="auto"/>
            </w:tcBorders>
            <w:shd w:val="clear" w:color="auto" w:fill="C6EFCE"/>
            <w:noWrap/>
          </w:tcPr>
          <w:p w14:paraId="015D91E3" w14:textId="29C3D207" w:rsidR="00C8071B" w:rsidRPr="00225351" w:rsidDel="00DF02D8" w:rsidRDefault="00C8071B" w:rsidP="00C8071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К8.И7: Екологосъобразна мобилност — пилотна схема за подкрепа на устойчивата градска мобилност</w:t>
            </w:r>
          </w:p>
        </w:tc>
        <w:tc>
          <w:tcPr>
            <w:tcW w:w="1150" w:type="dxa"/>
            <w:tcBorders>
              <w:top w:val="nil"/>
              <w:left w:val="nil"/>
              <w:bottom w:val="single" w:sz="4" w:space="0" w:color="auto"/>
              <w:right w:val="single" w:sz="4" w:space="0" w:color="auto"/>
            </w:tcBorders>
            <w:shd w:val="clear" w:color="auto" w:fill="C6EFCE"/>
            <w:noWrap/>
          </w:tcPr>
          <w:p w14:paraId="7DB2707A" w14:textId="77777777" w:rsidR="00C8071B" w:rsidRPr="00225351" w:rsidRDefault="00C8071B" w:rsidP="00C8071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Цел</w:t>
            </w:r>
          </w:p>
        </w:tc>
        <w:tc>
          <w:tcPr>
            <w:tcW w:w="1417" w:type="dxa"/>
            <w:tcBorders>
              <w:top w:val="nil"/>
              <w:left w:val="nil"/>
              <w:bottom w:val="single" w:sz="4" w:space="0" w:color="auto"/>
              <w:right w:val="single" w:sz="4" w:space="0" w:color="auto"/>
            </w:tcBorders>
            <w:shd w:val="clear" w:color="auto" w:fill="C6EFCE"/>
            <w:noWrap/>
          </w:tcPr>
          <w:p w14:paraId="4191EF4F" w14:textId="77777777" w:rsidR="00C8071B" w:rsidRPr="00225351" w:rsidDel="00DB1FE5" w:rsidRDefault="00C8071B" w:rsidP="00C8071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Интелигентни цифрови решения за транспорта в общините</w:t>
            </w:r>
          </w:p>
        </w:tc>
        <w:tc>
          <w:tcPr>
            <w:tcW w:w="1418" w:type="dxa"/>
            <w:tcBorders>
              <w:top w:val="nil"/>
              <w:left w:val="nil"/>
              <w:bottom w:val="single" w:sz="4" w:space="0" w:color="auto"/>
              <w:right w:val="single" w:sz="4" w:space="0" w:color="auto"/>
            </w:tcBorders>
            <w:shd w:val="clear" w:color="auto" w:fill="C6EFCE"/>
            <w:noWrap/>
          </w:tcPr>
          <w:p w14:paraId="169679CD" w14:textId="77777777" w:rsidR="00C8071B" w:rsidRPr="008A0F8A" w:rsidRDefault="00C8071B" w:rsidP="00C8071B">
            <w:pPr>
              <w:spacing w:after="0" w:line="240" w:lineRule="auto"/>
              <w:rPr>
                <w:rFonts w:ascii="Times New Roman" w:eastAsia="Times New Roman" w:hAnsi="Times New Roman" w:cs="Times New Roman"/>
                <w:noProof/>
                <w:color w:val="006100"/>
                <w:sz w:val="20"/>
                <w:szCs w:val="20"/>
                <w:lang w:val="ru-RU"/>
              </w:rPr>
            </w:pPr>
          </w:p>
        </w:tc>
        <w:tc>
          <w:tcPr>
            <w:tcW w:w="1417" w:type="dxa"/>
            <w:tcBorders>
              <w:top w:val="nil"/>
              <w:left w:val="nil"/>
              <w:bottom w:val="single" w:sz="4" w:space="0" w:color="auto"/>
              <w:right w:val="single" w:sz="4" w:space="0" w:color="auto"/>
            </w:tcBorders>
            <w:shd w:val="clear" w:color="auto" w:fill="C6EFCE"/>
            <w:noWrap/>
          </w:tcPr>
          <w:p w14:paraId="25CB679E" w14:textId="77777777" w:rsidR="00C8071B" w:rsidRPr="00225351" w:rsidRDefault="00C8071B" w:rsidP="00C8071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Брой общини с нововнедрени интелигентни транспортни системи и/или други интелигентни цифрови решения</w:t>
            </w:r>
          </w:p>
        </w:tc>
        <w:tc>
          <w:tcPr>
            <w:tcW w:w="993" w:type="dxa"/>
            <w:tcBorders>
              <w:top w:val="nil"/>
              <w:left w:val="nil"/>
              <w:bottom w:val="single" w:sz="4" w:space="0" w:color="auto"/>
              <w:right w:val="single" w:sz="4" w:space="0" w:color="auto"/>
            </w:tcBorders>
            <w:shd w:val="clear" w:color="auto" w:fill="C6EFCE"/>
            <w:noWrap/>
          </w:tcPr>
          <w:p w14:paraId="0752F071" w14:textId="77777777" w:rsidR="00C8071B" w:rsidRPr="00225351" w:rsidRDefault="00C8071B" w:rsidP="00C8071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0</w:t>
            </w:r>
          </w:p>
        </w:tc>
        <w:tc>
          <w:tcPr>
            <w:tcW w:w="992" w:type="dxa"/>
            <w:tcBorders>
              <w:top w:val="nil"/>
              <w:left w:val="nil"/>
              <w:bottom w:val="single" w:sz="4" w:space="0" w:color="auto"/>
              <w:right w:val="single" w:sz="4" w:space="0" w:color="auto"/>
            </w:tcBorders>
            <w:shd w:val="clear" w:color="auto" w:fill="C6EFCE"/>
            <w:noWrap/>
          </w:tcPr>
          <w:p w14:paraId="13DEE2F0" w14:textId="77777777" w:rsidR="00C8071B" w:rsidRPr="00225351" w:rsidRDefault="00C8071B" w:rsidP="00C8071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10</w:t>
            </w:r>
          </w:p>
        </w:tc>
        <w:tc>
          <w:tcPr>
            <w:tcW w:w="850" w:type="dxa"/>
            <w:tcBorders>
              <w:top w:val="nil"/>
              <w:left w:val="nil"/>
              <w:bottom w:val="single" w:sz="4" w:space="0" w:color="auto"/>
              <w:right w:val="single" w:sz="4" w:space="0" w:color="auto"/>
            </w:tcBorders>
            <w:shd w:val="clear" w:color="auto" w:fill="C6EFCE"/>
            <w:noWrap/>
          </w:tcPr>
          <w:p w14:paraId="68B4DA64" w14:textId="77777777" w:rsidR="00C8071B" w:rsidRPr="00225351" w:rsidRDefault="00C8071B" w:rsidP="00C8071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T3</w:t>
            </w:r>
          </w:p>
        </w:tc>
        <w:tc>
          <w:tcPr>
            <w:tcW w:w="709" w:type="dxa"/>
            <w:tcBorders>
              <w:top w:val="nil"/>
              <w:left w:val="nil"/>
              <w:bottom w:val="single" w:sz="4" w:space="0" w:color="auto"/>
              <w:right w:val="single" w:sz="4" w:space="0" w:color="auto"/>
            </w:tcBorders>
            <w:shd w:val="clear" w:color="auto" w:fill="C6EFCE"/>
            <w:noWrap/>
          </w:tcPr>
          <w:p w14:paraId="7D2B19EC" w14:textId="77777777" w:rsidR="00C8071B" w:rsidRPr="00225351" w:rsidRDefault="00C8071B" w:rsidP="00C8071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2024</w:t>
            </w:r>
          </w:p>
        </w:tc>
        <w:tc>
          <w:tcPr>
            <w:tcW w:w="4540" w:type="dxa"/>
            <w:tcBorders>
              <w:top w:val="nil"/>
              <w:left w:val="nil"/>
              <w:bottom w:val="single" w:sz="4" w:space="0" w:color="auto"/>
              <w:right w:val="single" w:sz="4" w:space="0" w:color="auto"/>
            </w:tcBorders>
            <w:shd w:val="clear" w:color="auto" w:fill="C6EFCE"/>
            <w:noWrap/>
          </w:tcPr>
          <w:p w14:paraId="798E6CA4" w14:textId="77777777" w:rsidR="00C8071B" w:rsidRPr="00225351" w:rsidDel="002E3984" w:rsidRDefault="00C8071B" w:rsidP="00C8071B">
            <w:pPr>
              <w:spacing w:after="0" w:line="240" w:lineRule="auto"/>
              <w:jc w:val="both"/>
              <w:rPr>
                <w:rFonts w:ascii="Times New Roman" w:eastAsia="Times New Roman" w:hAnsi="Times New Roman" w:cs="Times New Roman"/>
                <w:noProof/>
                <w:color w:val="FF0000"/>
                <w:sz w:val="20"/>
                <w:szCs w:val="20"/>
              </w:rPr>
            </w:pPr>
            <w:r>
              <w:rPr>
                <w:rFonts w:ascii="Times New Roman" w:hAnsi="Times New Roman"/>
                <w:noProof/>
                <w:color w:val="006100"/>
                <w:sz w:val="20"/>
              </w:rPr>
              <w:t>Трябва да бъдат създадени общини с нововнедрени интелигентни транспортни системи или приложени мерки за цифровизация на транспорта — интелигентно цифрово решение за подобряване на ефикасността и ефективността на обществения транспорт чрез системи за автоматизиран контрол на движението и друг вид контрол, откриване и локализиране на превозни средства или приоритизиране на превозните средства за обществен градски транспорт.</w:t>
            </w:r>
          </w:p>
        </w:tc>
      </w:tr>
      <w:tr w:rsidR="00225351" w:rsidRPr="005241FC" w14:paraId="4D184A95" w14:textId="77777777" w:rsidTr="00A80AF7">
        <w:trPr>
          <w:jc w:val="center"/>
        </w:trPr>
        <w:tc>
          <w:tcPr>
            <w:tcW w:w="689" w:type="dxa"/>
            <w:tcBorders>
              <w:top w:val="nil"/>
              <w:left w:val="single" w:sz="4" w:space="0" w:color="auto"/>
              <w:bottom w:val="single" w:sz="4" w:space="0" w:color="auto"/>
              <w:right w:val="single" w:sz="4" w:space="0" w:color="auto"/>
            </w:tcBorders>
            <w:shd w:val="clear" w:color="auto" w:fill="C6EFCE"/>
            <w:noWrap/>
            <w:hideMark/>
          </w:tcPr>
          <w:p w14:paraId="33801C71" w14:textId="15F54253" w:rsidR="00C8071B" w:rsidRPr="00225351" w:rsidRDefault="002B7436" w:rsidP="00C8071B">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206</w:t>
            </w:r>
          </w:p>
        </w:tc>
        <w:tc>
          <w:tcPr>
            <w:tcW w:w="1275" w:type="dxa"/>
            <w:tcBorders>
              <w:top w:val="nil"/>
              <w:left w:val="nil"/>
              <w:bottom w:val="single" w:sz="4" w:space="0" w:color="auto"/>
              <w:right w:val="single" w:sz="4" w:space="0" w:color="auto"/>
            </w:tcBorders>
            <w:shd w:val="clear" w:color="auto" w:fill="C6EFCE"/>
            <w:noWrap/>
            <w:hideMark/>
          </w:tcPr>
          <w:p w14:paraId="54CFF304" w14:textId="2A009A28" w:rsidR="00C8071B" w:rsidRPr="00225351" w:rsidRDefault="00C8071B" w:rsidP="00C8071B">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К8.И7: Екологосъобразна мобилност — пилотна схема за подкрепа на устойчивата градска мобилност</w:t>
            </w:r>
          </w:p>
        </w:tc>
        <w:tc>
          <w:tcPr>
            <w:tcW w:w="1150" w:type="dxa"/>
            <w:tcBorders>
              <w:top w:val="nil"/>
              <w:left w:val="nil"/>
              <w:bottom w:val="single" w:sz="4" w:space="0" w:color="auto"/>
              <w:right w:val="single" w:sz="4" w:space="0" w:color="auto"/>
            </w:tcBorders>
            <w:shd w:val="clear" w:color="auto" w:fill="C6EFCE"/>
            <w:noWrap/>
            <w:hideMark/>
          </w:tcPr>
          <w:p w14:paraId="48AAC3BC" w14:textId="77777777" w:rsidR="00C8071B" w:rsidRPr="00225351" w:rsidRDefault="00C8071B" w:rsidP="00C8071B">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417" w:type="dxa"/>
            <w:tcBorders>
              <w:top w:val="nil"/>
              <w:left w:val="nil"/>
              <w:bottom w:val="single" w:sz="4" w:space="0" w:color="auto"/>
              <w:right w:val="single" w:sz="4" w:space="0" w:color="auto"/>
            </w:tcBorders>
            <w:shd w:val="clear" w:color="auto" w:fill="C6EFCE"/>
            <w:noWrap/>
            <w:hideMark/>
          </w:tcPr>
          <w:p w14:paraId="5A23D09F" w14:textId="77777777" w:rsidR="00C8071B" w:rsidRPr="00225351" w:rsidRDefault="00C8071B" w:rsidP="00C8071B">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Инфраструктура за безопасна градска мобилност, насочена към уязвимите участници в пътното движение — пешеходци и велосипедисти</w:t>
            </w:r>
          </w:p>
        </w:tc>
        <w:tc>
          <w:tcPr>
            <w:tcW w:w="1418" w:type="dxa"/>
            <w:tcBorders>
              <w:top w:val="nil"/>
              <w:left w:val="nil"/>
              <w:bottom w:val="single" w:sz="4" w:space="0" w:color="auto"/>
              <w:right w:val="single" w:sz="4" w:space="0" w:color="auto"/>
            </w:tcBorders>
            <w:shd w:val="clear" w:color="auto" w:fill="C6EFCE"/>
            <w:noWrap/>
            <w:hideMark/>
          </w:tcPr>
          <w:p w14:paraId="2B074EFC" w14:textId="77777777" w:rsidR="00C8071B" w:rsidRPr="00225351" w:rsidRDefault="00C8071B" w:rsidP="00C8071B">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Въведени нови инфраструктурни мерки за безопасност на движението по пътищата за пешеходците и велосипедистите </w:t>
            </w:r>
          </w:p>
        </w:tc>
        <w:tc>
          <w:tcPr>
            <w:tcW w:w="1417" w:type="dxa"/>
            <w:tcBorders>
              <w:top w:val="nil"/>
              <w:left w:val="nil"/>
              <w:bottom w:val="single" w:sz="4" w:space="0" w:color="auto"/>
              <w:right w:val="single" w:sz="4" w:space="0" w:color="auto"/>
            </w:tcBorders>
            <w:shd w:val="clear" w:color="auto" w:fill="C6EFCE"/>
            <w:noWrap/>
            <w:hideMark/>
          </w:tcPr>
          <w:p w14:paraId="526DF09D" w14:textId="77777777" w:rsidR="00C8071B" w:rsidRPr="008A0F8A" w:rsidRDefault="00C8071B" w:rsidP="00C8071B">
            <w:pPr>
              <w:spacing w:after="0" w:line="240" w:lineRule="auto"/>
              <w:jc w:val="both"/>
              <w:rPr>
                <w:rFonts w:ascii="Times New Roman" w:eastAsia="Times New Roman" w:hAnsi="Times New Roman" w:cs="Times New Roman"/>
                <w:noProof/>
                <w:color w:val="006100"/>
                <w:sz w:val="20"/>
                <w:szCs w:val="20"/>
                <w:lang w:val="ru-RU"/>
              </w:rPr>
            </w:pPr>
          </w:p>
        </w:tc>
        <w:tc>
          <w:tcPr>
            <w:tcW w:w="993" w:type="dxa"/>
            <w:tcBorders>
              <w:top w:val="nil"/>
              <w:left w:val="nil"/>
              <w:bottom w:val="single" w:sz="4" w:space="0" w:color="auto"/>
              <w:right w:val="single" w:sz="4" w:space="0" w:color="auto"/>
            </w:tcBorders>
            <w:shd w:val="clear" w:color="auto" w:fill="C6EFCE"/>
            <w:noWrap/>
            <w:hideMark/>
          </w:tcPr>
          <w:p w14:paraId="5EB4936C" w14:textId="77777777" w:rsidR="00C8071B" w:rsidRPr="00225351" w:rsidRDefault="00C8071B" w:rsidP="00C8071B">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992" w:type="dxa"/>
            <w:tcBorders>
              <w:top w:val="nil"/>
              <w:left w:val="nil"/>
              <w:bottom w:val="single" w:sz="4" w:space="0" w:color="auto"/>
              <w:right w:val="single" w:sz="4" w:space="0" w:color="auto"/>
            </w:tcBorders>
            <w:shd w:val="clear" w:color="auto" w:fill="C6EFCE"/>
            <w:noWrap/>
            <w:hideMark/>
          </w:tcPr>
          <w:p w14:paraId="50886EA6" w14:textId="77777777" w:rsidR="00C8071B" w:rsidRPr="008A0F8A" w:rsidRDefault="00C8071B" w:rsidP="00C8071B">
            <w:pPr>
              <w:spacing w:after="0" w:line="240" w:lineRule="auto"/>
              <w:jc w:val="both"/>
              <w:rPr>
                <w:rFonts w:ascii="Times New Roman" w:eastAsia="Times New Roman" w:hAnsi="Times New Roman" w:cs="Times New Roman"/>
                <w:noProof/>
                <w:color w:val="006100"/>
                <w:sz w:val="20"/>
                <w:szCs w:val="20"/>
                <w:lang w:val="ru-RU"/>
              </w:rPr>
            </w:pPr>
          </w:p>
        </w:tc>
        <w:tc>
          <w:tcPr>
            <w:tcW w:w="850" w:type="dxa"/>
            <w:tcBorders>
              <w:top w:val="nil"/>
              <w:left w:val="nil"/>
              <w:bottom w:val="single" w:sz="4" w:space="0" w:color="auto"/>
              <w:right w:val="single" w:sz="4" w:space="0" w:color="auto"/>
            </w:tcBorders>
            <w:shd w:val="clear" w:color="auto" w:fill="C6EFCE"/>
            <w:noWrap/>
            <w:hideMark/>
          </w:tcPr>
          <w:p w14:paraId="1D09BD09" w14:textId="77777777" w:rsidR="00C8071B" w:rsidRPr="00225351" w:rsidRDefault="00C8071B" w:rsidP="00C8071B">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T2</w:t>
            </w:r>
          </w:p>
        </w:tc>
        <w:tc>
          <w:tcPr>
            <w:tcW w:w="709" w:type="dxa"/>
            <w:tcBorders>
              <w:top w:val="nil"/>
              <w:left w:val="nil"/>
              <w:bottom w:val="single" w:sz="4" w:space="0" w:color="auto"/>
              <w:right w:val="single" w:sz="4" w:space="0" w:color="auto"/>
            </w:tcBorders>
            <w:shd w:val="clear" w:color="auto" w:fill="C6EFCE"/>
            <w:noWrap/>
            <w:hideMark/>
          </w:tcPr>
          <w:p w14:paraId="19A5B6DF" w14:textId="77777777" w:rsidR="00C8071B" w:rsidRPr="00225351" w:rsidRDefault="00C8071B" w:rsidP="00C8071B">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2024</w:t>
            </w:r>
          </w:p>
        </w:tc>
        <w:tc>
          <w:tcPr>
            <w:tcW w:w="4540" w:type="dxa"/>
            <w:tcBorders>
              <w:top w:val="nil"/>
              <w:left w:val="nil"/>
              <w:bottom w:val="single" w:sz="4" w:space="0" w:color="auto"/>
              <w:right w:val="single" w:sz="4" w:space="0" w:color="auto"/>
            </w:tcBorders>
            <w:shd w:val="clear" w:color="auto" w:fill="C6EFCE"/>
            <w:noWrap/>
          </w:tcPr>
          <w:p w14:paraId="0565501F" w14:textId="77777777" w:rsidR="00C8071B" w:rsidRPr="00225351" w:rsidRDefault="00C8071B" w:rsidP="00C8071B">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Трябва да бъдат въведени нови инфраструктурни мерки за подобряване на безопасността по отношение на уязвимите участници в пътното движение — пешеходците и велосипедистите в градските райони.</w:t>
            </w:r>
          </w:p>
          <w:p w14:paraId="1ABF7734" w14:textId="77777777" w:rsidR="00C8071B" w:rsidRPr="008A0F8A" w:rsidRDefault="00C8071B" w:rsidP="00C8071B">
            <w:pPr>
              <w:spacing w:after="0" w:line="240" w:lineRule="auto"/>
              <w:jc w:val="both"/>
              <w:rPr>
                <w:rFonts w:ascii="Times New Roman" w:eastAsia="Times New Roman" w:hAnsi="Times New Roman" w:cs="Times New Roman"/>
                <w:noProof/>
                <w:color w:val="FF0000"/>
                <w:sz w:val="20"/>
                <w:szCs w:val="20"/>
                <w:lang w:val="ru-RU"/>
              </w:rPr>
            </w:pPr>
          </w:p>
          <w:p w14:paraId="3E4CB35F" w14:textId="77777777" w:rsidR="00C8071B" w:rsidRPr="00225351" w:rsidRDefault="00C8071B" w:rsidP="00C8071B">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Инфраструктурата трябва да включва: </w:t>
            </w:r>
          </w:p>
          <w:p w14:paraId="1F8A272B" w14:textId="77777777" w:rsidR="00C8071B" w:rsidRPr="00225351" w:rsidRDefault="00C8071B" w:rsidP="00195A1D">
            <w:pPr>
              <w:pStyle w:val="ListParagraph"/>
              <w:numPr>
                <w:ilvl w:val="0"/>
                <w:numId w:val="31"/>
              </w:numPr>
              <w:spacing w:after="0" w:line="240" w:lineRule="auto"/>
              <w:ind w:left="360"/>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изграждане на 5 пешеходни надлеза с достъп за лица с намалена подвижност; </w:t>
            </w:r>
          </w:p>
          <w:p w14:paraId="120D666E" w14:textId="77777777" w:rsidR="00C8071B" w:rsidRPr="00225351" w:rsidRDefault="00C8071B" w:rsidP="00195A1D">
            <w:pPr>
              <w:pStyle w:val="ListParagraph"/>
              <w:numPr>
                <w:ilvl w:val="0"/>
                <w:numId w:val="31"/>
              </w:numPr>
              <w:spacing w:after="0" w:line="240" w:lineRule="auto"/>
              <w:ind w:left="360"/>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осветление за пешеходни пътеки със 170 единици оборудване; </w:t>
            </w:r>
          </w:p>
          <w:p w14:paraId="271F3A37" w14:textId="77777777" w:rsidR="00C8071B" w:rsidRPr="00225351" w:rsidRDefault="00C8071B" w:rsidP="00195A1D">
            <w:pPr>
              <w:pStyle w:val="ListParagraph"/>
              <w:numPr>
                <w:ilvl w:val="0"/>
                <w:numId w:val="31"/>
              </w:numPr>
              <w:spacing w:after="0" w:line="240" w:lineRule="auto"/>
              <w:ind w:left="360"/>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изграждане на велосипедна инфраструктура с дължина от 110 km; </w:t>
            </w:r>
          </w:p>
          <w:p w14:paraId="740928EB" w14:textId="77777777" w:rsidR="00C8071B" w:rsidRPr="00225351" w:rsidRDefault="00C8071B" w:rsidP="00195A1D">
            <w:pPr>
              <w:pStyle w:val="ListParagraph"/>
              <w:numPr>
                <w:ilvl w:val="0"/>
                <w:numId w:val="31"/>
              </w:numPr>
              <w:spacing w:after="0" w:line="240" w:lineRule="auto"/>
              <w:ind w:left="360"/>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инфраструктурни мерки за движението по пътищата, целящи нормализиране на движението по входните пътища в 15 общини. </w:t>
            </w:r>
          </w:p>
          <w:p w14:paraId="1E73B084" w14:textId="77777777" w:rsidR="00C8071B" w:rsidRPr="008A0F8A" w:rsidRDefault="00C8071B" w:rsidP="00C8071B">
            <w:pPr>
              <w:spacing w:after="0" w:line="240" w:lineRule="auto"/>
              <w:jc w:val="both"/>
              <w:rPr>
                <w:rFonts w:ascii="Times New Roman" w:eastAsia="Times New Roman" w:hAnsi="Times New Roman" w:cs="Times New Roman"/>
                <w:noProof/>
                <w:color w:val="006100"/>
                <w:sz w:val="20"/>
                <w:szCs w:val="20"/>
                <w:lang w:val="ru-RU"/>
              </w:rPr>
            </w:pPr>
          </w:p>
          <w:p w14:paraId="57477638" w14:textId="77777777" w:rsidR="00C8071B" w:rsidRPr="00225351" w:rsidRDefault="00C8071B" w:rsidP="00C8071B">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Критериите за подбор на местоположенията трябва да включват следното: </w:t>
            </w:r>
          </w:p>
          <w:p w14:paraId="6B8F1A02" w14:textId="77777777" w:rsidR="00C8071B" w:rsidRPr="00225351" w:rsidRDefault="00C8071B" w:rsidP="00195A1D">
            <w:pPr>
              <w:pStyle w:val="ListParagraph"/>
              <w:numPr>
                <w:ilvl w:val="0"/>
                <w:numId w:val="31"/>
              </w:numPr>
              <w:spacing w:after="0" w:line="240" w:lineRule="auto"/>
              <w:ind w:left="360"/>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състоянието на пътната безопасност в съответните общини (от гледна точка на инфраструктурата за защита на уязвимите участници в пътното движение) и очакваното въздействие по отношение на подобряването на пътната безопасност (смъртни случаи, намаляване на тежките наранявания);</w:t>
            </w:r>
          </w:p>
          <w:p w14:paraId="6BE5AC7F" w14:textId="77777777" w:rsidR="00C8071B" w:rsidRPr="00225351" w:rsidRDefault="00C8071B" w:rsidP="00195A1D">
            <w:pPr>
              <w:pStyle w:val="ListParagraph"/>
              <w:numPr>
                <w:ilvl w:val="0"/>
                <w:numId w:val="31"/>
              </w:numPr>
              <w:spacing w:after="0" w:line="240" w:lineRule="auto"/>
              <w:ind w:left="360"/>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 наличие на проекти/приоритети, определени в Плановете за интегрирано развитие на общините и Интегрираните териториални стратегии за развитие, за регионите от ниво NUTS 2;</w:t>
            </w:r>
          </w:p>
          <w:p w14:paraId="65176205" w14:textId="77777777" w:rsidR="00C8071B" w:rsidRPr="00225351" w:rsidRDefault="00C8071B" w:rsidP="00195A1D">
            <w:pPr>
              <w:pStyle w:val="ListParagraph"/>
              <w:numPr>
                <w:ilvl w:val="0"/>
                <w:numId w:val="31"/>
              </w:numPr>
              <w:spacing w:after="0" w:line="240" w:lineRule="auto"/>
              <w:ind w:left="360"/>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съответствие с плановете за устойчива градска мобилност (включени в Плановете за интегрирано развитие на общините или актуализирани в съответствие с тях).</w:t>
            </w:r>
            <w:r>
              <w:rPr>
                <w:rFonts w:ascii="Times New Roman" w:hAnsi="Times New Roman"/>
                <w:noProof/>
                <w:sz w:val="20"/>
              </w:rPr>
              <w:t xml:space="preserve"> </w:t>
            </w:r>
          </w:p>
        </w:tc>
      </w:tr>
    </w:tbl>
    <w:p w14:paraId="1AECC42B" w14:textId="644DD556" w:rsidR="0006128B" w:rsidRPr="008A0F8A" w:rsidRDefault="0006128B" w:rsidP="001F2C01">
      <w:pPr>
        <w:spacing w:before="120" w:after="120" w:line="240" w:lineRule="auto"/>
        <w:jc w:val="both"/>
        <w:rPr>
          <w:rFonts w:ascii="Times New Roman" w:eastAsia="Calibri" w:hAnsi="Times New Roman" w:cs="Times New Roman"/>
          <w:b/>
          <w:bCs/>
          <w:noProof/>
          <w:sz w:val="24"/>
          <w:szCs w:val="24"/>
          <w:u w:val="single"/>
          <w:lang w:val="ru-RU"/>
        </w:rPr>
        <w:sectPr w:rsidR="0006128B" w:rsidRPr="008A0F8A" w:rsidSect="006C2102">
          <w:headerReference w:type="even" r:id="rId108"/>
          <w:headerReference w:type="default" r:id="rId109"/>
          <w:footerReference w:type="even" r:id="rId110"/>
          <w:footerReference w:type="default" r:id="rId111"/>
          <w:headerReference w:type="first" r:id="rId112"/>
          <w:footerReference w:type="first" r:id="rId113"/>
          <w:pgSz w:w="16839" w:h="11907" w:orient="landscape"/>
          <w:pgMar w:top="1417" w:right="1134" w:bottom="1417" w:left="1134" w:header="709" w:footer="709" w:gutter="0"/>
          <w:cols w:space="720"/>
          <w:docGrid w:linePitch="360"/>
        </w:sectPr>
      </w:pPr>
    </w:p>
    <w:p w14:paraId="54217B1D" w14:textId="1C8A58EB" w:rsidR="0006128B" w:rsidRPr="00562D16" w:rsidRDefault="0006128B" w:rsidP="00765189">
      <w:pPr>
        <w:keepNext/>
        <w:tabs>
          <w:tab w:val="left" w:pos="850"/>
        </w:tabs>
        <w:spacing w:before="360" w:after="120" w:line="240" w:lineRule="auto"/>
        <w:ind w:firstLine="851"/>
        <w:jc w:val="both"/>
        <w:outlineLvl w:val="0"/>
        <w:rPr>
          <w:rFonts w:ascii="Times New Roman" w:eastAsia="Calibri" w:hAnsi="Times New Roman" w:cs="Times New Roman"/>
          <w:b/>
          <w:smallCaps/>
          <w:noProof/>
          <w:sz w:val="24"/>
        </w:rPr>
      </w:pPr>
      <w:r>
        <w:rPr>
          <w:rFonts w:ascii="Times New Roman" w:hAnsi="Times New Roman"/>
          <w:b/>
          <w:smallCaps/>
          <w:noProof/>
          <w:sz w:val="24"/>
        </w:rPr>
        <w:t>И. КОМПОНЕНТ 9: Местно развитие</w:t>
      </w:r>
    </w:p>
    <w:p w14:paraId="237CDC5B" w14:textId="3653AA95" w:rsidR="0006128B" w:rsidRPr="00562D16" w:rsidRDefault="0006128B" w:rsidP="0006128B">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Този компонент на българския план за възстановяване и устойчивост има за цел да определи рамката за подобряване на конкурентоспособността и устойчивото развитие на регионите на държавата и да насърчи местното развитие.</w:t>
      </w:r>
      <w:r>
        <w:rPr>
          <w:rFonts w:ascii="Times New Roman" w:hAnsi="Times New Roman"/>
          <w:noProof/>
        </w:rPr>
        <w:t xml:space="preserve"> </w:t>
      </w:r>
      <w:r>
        <w:rPr>
          <w:rFonts w:ascii="Times New Roman" w:hAnsi="Times New Roman"/>
          <w:noProof/>
          <w:sz w:val="24"/>
        </w:rPr>
        <w:t xml:space="preserve">Компонентът е насочен и към управлението на водите, което е важен аспект на екологичния преход. </w:t>
      </w:r>
    </w:p>
    <w:p w14:paraId="081E5A37" w14:textId="77777777" w:rsidR="0006128B" w:rsidRPr="00562D16" w:rsidRDefault="0006128B" w:rsidP="0006128B">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Компонентът допринася за изпълнението на специфичните за държавата препоръки за 2019 и 2020 г., съгласно които следва да бъдат отчетени регионалните различия, а инвестициите и свързаните с тях политики да бъдат съсредоточени в областта на водите и на екологичния преход, по-специално екологичната инфраструктура (специфична за държавата препоръка 3 от 2019 г. и специфична за държавата препоръка 3 от 2020 г.).</w:t>
      </w:r>
    </w:p>
    <w:p w14:paraId="0F77AA94" w14:textId="42C3D418" w:rsidR="0006128B" w:rsidRPr="00562D16" w:rsidRDefault="0006128B" w:rsidP="0006128B">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 xml:space="preserve">Очаква се, че нито една мярка в този компонент не вреди в значителна степен на екологичните цели по смисъла на член 17 от Регламент (ЕС) 2020/852, като се вземат предвид описанието на мерките и стъпките за смекчаване на последиците, определени в плана за възстановяване и устойчивост в съответствие с Техническите насоки на принципа за ненанасяне на значителни вреди (ПНЗВ) (2021/C58/01). </w:t>
      </w:r>
    </w:p>
    <w:p w14:paraId="7CD7A4E3" w14:textId="77777777" w:rsidR="0006128B" w:rsidRPr="008A0F8A" w:rsidRDefault="0006128B" w:rsidP="0006128B">
      <w:pPr>
        <w:spacing w:before="120" w:after="120" w:line="240" w:lineRule="auto"/>
        <w:ind w:left="850"/>
        <w:jc w:val="both"/>
        <w:rPr>
          <w:rFonts w:ascii="Times New Roman" w:eastAsia="Calibri" w:hAnsi="Times New Roman" w:cs="Times New Roman"/>
          <w:noProof/>
          <w:sz w:val="24"/>
          <w:lang w:val="ru-RU"/>
        </w:rPr>
      </w:pPr>
    </w:p>
    <w:p w14:paraId="77DD9059" w14:textId="1E861588" w:rsidR="0006128B" w:rsidRPr="00562D16" w:rsidRDefault="00FE1623" w:rsidP="0006128B">
      <w:pPr>
        <w:spacing w:before="120" w:after="120" w:line="240" w:lineRule="auto"/>
        <w:ind w:left="850"/>
        <w:jc w:val="both"/>
        <w:rPr>
          <w:rFonts w:ascii="Times New Roman" w:eastAsia="Calibri" w:hAnsi="Times New Roman" w:cs="Times New Roman"/>
          <w:b/>
          <w:i/>
          <w:noProof/>
          <w:color w:val="4F81BD"/>
          <w:sz w:val="24"/>
        </w:rPr>
      </w:pPr>
      <w:r>
        <w:rPr>
          <w:rFonts w:ascii="Times New Roman" w:hAnsi="Times New Roman"/>
          <w:b/>
          <w:noProof/>
          <w:sz w:val="24"/>
          <w:u w:val="single"/>
        </w:rPr>
        <w:t>И</w:t>
      </w:r>
      <w:r w:rsidR="0006128B">
        <w:rPr>
          <w:rFonts w:ascii="Times New Roman" w:hAnsi="Times New Roman"/>
          <w:b/>
          <w:noProof/>
          <w:sz w:val="24"/>
          <w:u w:val="single"/>
        </w:rPr>
        <w:t xml:space="preserve">.1 </w:t>
      </w:r>
      <w:r w:rsidR="0006128B">
        <w:rPr>
          <w:rFonts w:ascii="Times New Roman" w:hAnsi="Times New Roman"/>
          <w:b/>
          <w:noProof/>
          <w:sz w:val="24"/>
          <w:u w:val="single"/>
        </w:rPr>
        <w:tab/>
        <w:t>Описание на реформите и инвестициите за безвъзмездна финансова подкрепа</w:t>
      </w:r>
    </w:p>
    <w:p w14:paraId="09F79827" w14:textId="2B456FA6" w:rsidR="0006128B" w:rsidRPr="00562D16" w:rsidRDefault="0006128B" w:rsidP="0006128B">
      <w:pPr>
        <w:spacing w:before="120" w:after="120" w:line="240" w:lineRule="auto"/>
        <w:ind w:left="850"/>
        <w:jc w:val="both"/>
        <w:rPr>
          <w:rFonts w:ascii="Times New Roman" w:eastAsia="Calibri" w:hAnsi="Times New Roman" w:cs="Times New Roman"/>
          <w:noProof/>
          <w:sz w:val="24"/>
          <w:u w:val="single"/>
        </w:rPr>
      </w:pPr>
      <w:r>
        <w:rPr>
          <w:rFonts w:ascii="Times New Roman" w:hAnsi="Times New Roman"/>
          <w:noProof/>
          <w:sz w:val="24"/>
          <w:u w:val="single"/>
        </w:rPr>
        <w:t>Реформа 1 (К9.Р1): Нов регионален подход с пряко въвличане на местните общности в управлението на средствата от европейските фондове и инструменти</w:t>
      </w:r>
    </w:p>
    <w:p w14:paraId="7A94C058" w14:textId="77777777" w:rsidR="0006128B" w:rsidRPr="00562D16" w:rsidRDefault="0006128B" w:rsidP="0006128B">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Целта на мярката е да се насърчи прякото участие на местните общности във всеки регион на държавата в управлението на средствата от ЕС. Очаква се това да засили чувството за ангажираност на местно равнище и да повиши ефективността на политиката, като отговори на установените на местно равнище потребности по по-целенасочен начин.</w:t>
      </w:r>
    </w:p>
    <w:p w14:paraId="37A3E84E" w14:textId="77777777" w:rsidR="0006128B" w:rsidRPr="00562D16" w:rsidRDefault="0006128B" w:rsidP="0006128B">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 xml:space="preserve">Мярката се състои в законодателни промени, които засилват ролята на регионалните и местните органи в подготовката и изпълнението на интегрирани териториални стратегии и проекти, финансирани със средства от ЕС. </w:t>
      </w:r>
    </w:p>
    <w:p w14:paraId="2613C763" w14:textId="202B1147" w:rsidR="0006128B" w:rsidRPr="00562D16" w:rsidRDefault="0006128B" w:rsidP="0006128B">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 xml:space="preserve">Изпълнението на реформата трябва да приключи до 30 юни 2022 г. </w:t>
      </w:r>
    </w:p>
    <w:p w14:paraId="5FD4ECA4" w14:textId="77777777" w:rsidR="0006128B" w:rsidRPr="008A0F8A" w:rsidRDefault="0006128B" w:rsidP="0006128B">
      <w:pPr>
        <w:spacing w:before="120" w:after="120" w:line="240" w:lineRule="auto"/>
        <w:ind w:left="850"/>
        <w:jc w:val="both"/>
        <w:rPr>
          <w:rFonts w:ascii="Times New Roman" w:eastAsia="Calibri" w:hAnsi="Times New Roman" w:cs="Times New Roman"/>
          <w:noProof/>
          <w:sz w:val="24"/>
          <w:szCs w:val="24"/>
          <w:lang w:val="ru-RU"/>
        </w:rPr>
      </w:pPr>
    </w:p>
    <w:p w14:paraId="06873AF4" w14:textId="572AA495" w:rsidR="0006128B" w:rsidRPr="00562D16" w:rsidRDefault="0006128B" w:rsidP="0006128B">
      <w:pPr>
        <w:spacing w:before="120" w:after="120" w:line="240" w:lineRule="auto"/>
        <w:ind w:left="850"/>
        <w:jc w:val="both"/>
        <w:rPr>
          <w:rFonts w:ascii="Times New Roman" w:eastAsia="Calibri" w:hAnsi="Times New Roman" w:cs="Times New Roman"/>
          <w:noProof/>
          <w:sz w:val="24"/>
          <w:u w:val="single"/>
        </w:rPr>
      </w:pPr>
      <w:r>
        <w:rPr>
          <w:rFonts w:ascii="Times New Roman" w:hAnsi="Times New Roman"/>
          <w:noProof/>
          <w:sz w:val="24"/>
          <w:u w:val="single"/>
        </w:rPr>
        <w:t>Реформа 2 (К9.Р2): Продължаване на реформата във водния сектор</w:t>
      </w:r>
    </w:p>
    <w:p w14:paraId="0CED6149" w14:textId="6DAC7EDF" w:rsidR="0006128B" w:rsidRPr="00562D16" w:rsidRDefault="0006128B" w:rsidP="0006128B">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 xml:space="preserve">Целта на мярката е да се оптимизира нормативната уредба за водоснабдителните и канализационните услуги. </w:t>
      </w:r>
    </w:p>
    <w:p w14:paraId="09B9DB4E" w14:textId="77777777" w:rsidR="0006128B" w:rsidRPr="00562D16" w:rsidRDefault="0006128B" w:rsidP="0006128B">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Мярката се състои в приемането на нов закон — Закона за водоснабдяването и канализацията, с който трябва да се предвидят условията за консолидиране при предоставянето на водоснабдителни и канализационни услуги и да се въведат еднакви условия по отношение на критериите за качество и ефективност на услугите, които трябва да бъдат изпълнени от ВиК операторите. Със законодателството трябва да се уточнят механизмите за определяне на тарифите и да се гарантира разходно ориентирано ценообразуване за ползването на системите и на услугите, като същевременно се гарантира и финансовата устойчивост на операторите.</w:t>
      </w:r>
    </w:p>
    <w:p w14:paraId="3A1EF223" w14:textId="77777777" w:rsidR="0006128B" w:rsidRPr="00562D16" w:rsidRDefault="0006128B" w:rsidP="0006128B">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 xml:space="preserve">Изпълнението на реформата ще приключи до 31 март 2023 г. </w:t>
      </w:r>
    </w:p>
    <w:p w14:paraId="503C0866" w14:textId="77777777" w:rsidR="0006128B" w:rsidRPr="008A0F8A" w:rsidRDefault="0006128B" w:rsidP="0006128B">
      <w:pPr>
        <w:spacing w:before="120" w:after="120" w:line="240" w:lineRule="auto"/>
        <w:ind w:left="850"/>
        <w:jc w:val="both"/>
        <w:rPr>
          <w:rFonts w:ascii="Times New Roman" w:eastAsia="Calibri" w:hAnsi="Times New Roman" w:cs="Times New Roman"/>
          <w:noProof/>
          <w:sz w:val="24"/>
          <w:szCs w:val="24"/>
          <w:lang w:val="ru-RU"/>
        </w:rPr>
      </w:pPr>
    </w:p>
    <w:p w14:paraId="2A1B092C" w14:textId="3556087A" w:rsidR="0006128B" w:rsidRPr="00562D16" w:rsidRDefault="0006128B" w:rsidP="0006128B">
      <w:pPr>
        <w:spacing w:before="120" w:after="120" w:line="240" w:lineRule="auto"/>
        <w:ind w:left="850"/>
        <w:jc w:val="both"/>
        <w:rPr>
          <w:rFonts w:ascii="Times New Roman" w:eastAsia="Calibri" w:hAnsi="Times New Roman" w:cs="Times New Roman"/>
          <w:noProof/>
          <w:sz w:val="24"/>
          <w:u w:val="single"/>
        </w:rPr>
      </w:pPr>
      <w:r>
        <w:rPr>
          <w:rFonts w:ascii="Times New Roman" w:hAnsi="Times New Roman"/>
          <w:noProof/>
          <w:sz w:val="24"/>
          <w:u w:val="single"/>
        </w:rPr>
        <w:t>Инвестиция 1 (К9.И1): Програма за изграждане/доизграждане/реконструкция на водоснабдителни и канализационни системи, включително пречиствателни станции за отпадъчни води за агломерациите между 5 000 и 10 000 еквивалент жители</w:t>
      </w:r>
    </w:p>
    <w:p w14:paraId="6A3BA7D6" w14:textId="77777777" w:rsidR="0006128B" w:rsidRPr="00562D16" w:rsidRDefault="0006128B" w:rsidP="0006128B">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 xml:space="preserve">Целта на мярката е да се гарантира ефективно и устойчиво използване на водите в съответствие със законодателството на ЕС и националното законодателство в областта на водите. </w:t>
      </w:r>
    </w:p>
    <w:p w14:paraId="0DA2A831" w14:textId="77777777" w:rsidR="0006128B" w:rsidRPr="00562D16" w:rsidRDefault="0006128B" w:rsidP="0006128B">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Мярката се състои в изграждането, реконструкцията и модернизацията на водоснабдителни и канализационни системи и пречиствателни станции за питейни и отпадъчни води в 13 агломерации и включените в тях населени места с големина между 5000 и 10 000 еквивалент жители. В съответствие с реформата във водния сектор проектът трябва да обхваща само инвестиции в агломерации на територията на консолидиран регионален ВиК оператор, за които са изготвени регионални проучвания за осъществимост.</w:t>
      </w:r>
    </w:p>
    <w:p w14:paraId="33A23F8F" w14:textId="6BEAA381" w:rsidR="0006128B" w:rsidRPr="00562D16" w:rsidRDefault="3D17C320" w:rsidP="0006128B">
      <w:pPr>
        <w:spacing w:before="120" w:after="120" w:line="240" w:lineRule="auto"/>
        <w:ind w:left="850"/>
        <w:jc w:val="both"/>
        <w:rPr>
          <w:rFonts w:ascii="Times New Roman" w:eastAsia="Calibri" w:hAnsi="Times New Roman" w:cs="Times New Roman"/>
          <w:noProof/>
          <w:sz w:val="24"/>
          <w:u w:val="single"/>
        </w:rPr>
      </w:pPr>
      <w:r>
        <w:rPr>
          <w:rFonts w:ascii="Times New Roman" w:hAnsi="Times New Roman"/>
          <w:noProof/>
          <w:sz w:val="24"/>
        </w:rPr>
        <w:t xml:space="preserve">Изпълнението на инвестицията ще приключи до 30 юни 2026 г. </w:t>
      </w:r>
    </w:p>
    <w:p w14:paraId="726D229E" w14:textId="77777777" w:rsidR="0006128B" w:rsidRPr="008A0F8A" w:rsidRDefault="0006128B" w:rsidP="0006128B">
      <w:pPr>
        <w:spacing w:before="120" w:after="120" w:line="240" w:lineRule="auto"/>
        <w:ind w:left="850"/>
        <w:jc w:val="both"/>
        <w:rPr>
          <w:rFonts w:ascii="Times New Roman" w:eastAsia="Calibri" w:hAnsi="Times New Roman" w:cs="Times New Roman"/>
          <w:noProof/>
          <w:sz w:val="24"/>
          <w:szCs w:val="24"/>
          <w:lang w:val="ru-RU"/>
        </w:rPr>
      </w:pPr>
    </w:p>
    <w:p w14:paraId="30DD3178" w14:textId="77777777" w:rsidR="0006128B" w:rsidRPr="00562D16" w:rsidRDefault="0006128B" w:rsidP="0006128B">
      <w:pPr>
        <w:spacing w:before="120" w:after="120" w:line="240" w:lineRule="auto"/>
        <w:ind w:left="850"/>
        <w:jc w:val="both"/>
        <w:rPr>
          <w:rFonts w:ascii="Times New Roman" w:eastAsia="Calibri" w:hAnsi="Times New Roman" w:cs="Times New Roman"/>
          <w:b/>
          <w:noProof/>
          <w:sz w:val="24"/>
          <w:u w:val="single"/>
        </w:rPr>
      </w:pPr>
      <w:r>
        <w:rPr>
          <w:rFonts w:ascii="Times New Roman" w:hAnsi="Times New Roman"/>
          <w:b/>
          <w:noProof/>
          <w:sz w:val="24"/>
          <w:u w:val="single"/>
        </w:rPr>
        <w:t xml:space="preserve">И.2. </w:t>
      </w:r>
      <w:r>
        <w:rPr>
          <w:rFonts w:ascii="Times New Roman" w:hAnsi="Times New Roman"/>
          <w:b/>
          <w:noProof/>
          <w:sz w:val="24"/>
          <w:u w:val="single"/>
        </w:rPr>
        <w:tab/>
        <w:t>Ключови етапи, цели, показатели и график за мониторинг и изпълнение на безвъзмездната финансова подкрепа</w:t>
      </w:r>
    </w:p>
    <w:p w14:paraId="2DD3C9DE" w14:textId="77777777" w:rsidR="0006128B" w:rsidRPr="008A0F8A" w:rsidRDefault="0006128B" w:rsidP="00773BF3">
      <w:pPr>
        <w:keepNext/>
        <w:tabs>
          <w:tab w:val="left" w:pos="850"/>
        </w:tabs>
        <w:spacing w:before="360" w:after="120" w:line="240" w:lineRule="auto"/>
        <w:ind w:left="850" w:hanging="850"/>
        <w:jc w:val="both"/>
        <w:outlineLvl w:val="0"/>
        <w:rPr>
          <w:rFonts w:ascii="Times New Roman" w:eastAsia="Calibri" w:hAnsi="Times New Roman" w:cs="Times New Roman"/>
          <w:iCs/>
          <w:noProof/>
          <w:color w:val="4F81BD"/>
          <w:sz w:val="24"/>
          <w:lang w:val="ru-RU"/>
        </w:rPr>
        <w:sectPr w:rsidR="0006128B" w:rsidRPr="008A0F8A" w:rsidSect="0017134E">
          <w:headerReference w:type="even" r:id="rId114"/>
          <w:headerReference w:type="default" r:id="rId115"/>
          <w:footerReference w:type="even" r:id="rId116"/>
          <w:footerReference w:type="default" r:id="rId117"/>
          <w:headerReference w:type="first" r:id="rId118"/>
          <w:footerReference w:type="first" r:id="rId119"/>
          <w:pgSz w:w="11907" w:h="16839"/>
          <w:pgMar w:top="1418" w:right="1418" w:bottom="1418" w:left="1418" w:header="709" w:footer="709" w:gutter="0"/>
          <w:cols w:space="720"/>
          <w:docGrid w:linePitch="360"/>
        </w:sectPr>
      </w:pPr>
    </w:p>
    <w:tbl>
      <w:tblPr>
        <w:tblW w:w="15527" w:type="dxa"/>
        <w:jc w:val="center"/>
        <w:tblLayout w:type="fixed"/>
        <w:tblLook w:val="04A0" w:firstRow="1" w:lastRow="0" w:firstColumn="1" w:lastColumn="0" w:noHBand="0" w:noVBand="1"/>
      </w:tblPr>
      <w:tblGrid>
        <w:gridCol w:w="709"/>
        <w:gridCol w:w="1701"/>
        <w:gridCol w:w="1134"/>
        <w:gridCol w:w="1418"/>
        <w:gridCol w:w="1701"/>
        <w:gridCol w:w="992"/>
        <w:gridCol w:w="992"/>
        <w:gridCol w:w="773"/>
        <w:gridCol w:w="850"/>
        <w:gridCol w:w="645"/>
        <w:gridCol w:w="4612"/>
      </w:tblGrid>
      <w:tr w:rsidR="0006128B" w:rsidRPr="005241FC" w14:paraId="1B57DF03" w14:textId="77777777" w:rsidTr="00374E07">
        <w:trPr>
          <w:trHeight w:val="927"/>
          <w:tblHeader/>
          <w:jc w:val="center"/>
        </w:trPr>
        <w:tc>
          <w:tcPr>
            <w:tcW w:w="70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411F5D7" w14:textId="1C420615" w:rsidR="0006128B" w:rsidRPr="0017134E" w:rsidRDefault="0006128B" w:rsidP="00DF6039">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Пореден номер</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0112DB1" w14:textId="77777777" w:rsidR="0006128B" w:rsidRPr="0017134E" w:rsidRDefault="0006128B" w:rsidP="0019754F">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Свързана мярка (реформа или инвестиция)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E12D16B" w14:textId="77777777" w:rsidR="0006128B" w:rsidRPr="0017134E" w:rsidRDefault="0006128B" w:rsidP="0019754F">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Ключов етап / Цел</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2F8C1D8" w14:textId="77777777" w:rsidR="0006128B" w:rsidRPr="0017134E" w:rsidRDefault="0006128B" w:rsidP="0019754F">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Наименование</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C3182B7" w14:textId="77777777" w:rsidR="0006128B" w:rsidRPr="0017134E" w:rsidRDefault="0006128B" w:rsidP="0019754F">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Качествени показатели </w:t>
            </w:r>
            <w:r>
              <w:rPr>
                <w:rFonts w:ascii="Times New Roman" w:hAnsi="Times New Roman"/>
                <w:b/>
                <w:noProof/>
                <w:sz w:val="18"/>
              </w:rPr>
              <w:br/>
              <w:t>(за ключовите етапи)</w:t>
            </w:r>
          </w:p>
        </w:tc>
        <w:tc>
          <w:tcPr>
            <w:tcW w:w="2757"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22707B14" w14:textId="77777777" w:rsidR="0006128B" w:rsidRPr="0017134E" w:rsidRDefault="0006128B" w:rsidP="0019754F">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Количествени показатели </w:t>
            </w:r>
            <w:r>
              <w:rPr>
                <w:rFonts w:ascii="Times New Roman" w:hAnsi="Times New Roman"/>
                <w:b/>
                <w:noProof/>
                <w:sz w:val="18"/>
              </w:rPr>
              <w:br/>
              <w:t>(за целите)</w:t>
            </w:r>
          </w:p>
        </w:tc>
        <w:tc>
          <w:tcPr>
            <w:tcW w:w="1495" w:type="dxa"/>
            <w:gridSpan w:val="2"/>
            <w:tcBorders>
              <w:top w:val="single" w:sz="4" w:space="0" w:color="auto"/>
              <w:left w:val="nil"/>
              <w:bottom w:val="single" w:sz="4" w:space="0" w:color="auto"/>
              <w:right w:val="single" w:sz="4" w:space="0" w:color="auto"/>
            </w:tcBorders>
            <w:shd w:val="clear" w:color="auto" w:fill="BDD7EE"/>
            <w:vAlign w:val="center"/>
            <w:hideMark/>
          </w:tcPr>
          <w:p w14:paraId="502E6483" w14:textId="77777777" w:rsidR="0006128B" w:rsidRPr="0017134E" w:rsidRDefault="0006128B" w:rsidP="0019754F">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Ориентировъчен график за приключване </w:t>
            </w:r>
          </w:p>
        </w:tc>
        <w:tc>
          <w:tcPr>
            <w:tcW w:w="461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ED2E2EA" w14:textId="77777777" w:rsidR="0006128B" w:rsidRPr="0017134E" w:rsidRDefault="0006128B" w:rsidP="0019754F">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Описание на всеки ключов етап и цел</w:t>
            </w:r>
          </w:p>
        </w:tc>
      </w:tr>
      <w:tr w:rsidR="0006128B" w:rsidRPr="00562D16" w14:paraId="4CC1B6C2" w14:textId="77777777" w:rsidTr="00374E07">
        <w:trPr>
          <w:trHeight w:val="598"/>
          <w:tblHeader/>
          <w:jc w:val="center"/>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15132BD1" w14:textId="77777777" w:rsidR="0006128B" w:rsidRPr="008A0F8A" w:rsidRDefault="0006128B" w:rsidP="0019754F">
            <w:pPr>
              <w:spacing w:after="0" w:line="240" w:lineRule="auto"/>
              <w:rPr>
                <w:rFonts w:ascii="Times New Roman" w:eastAsia="Times New Roman" w:hAnsi="Times New Roman" w:cs="Times New Roman"/>
                <w:b/>
                <w:bCs/>
                <w:noProof/>
                <w:sz w:val="18"/>
                <w:szCs w:val="18"/>
                <w:lang w:val="ru-RU" w:eastAsia="en-G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B84AD78" w14:textId="77777777" w:rsidR="0006128B" w:rsidRPr="008A0F8A" w:rsidRDefault="0006128B" w:rsidP="0019754F">
            <w:pPr>
              <w:spacing w:after="0" w:line="240" w:lineRule="auto"/>
              <w:rPr>
                <w:rFonts w:ascii="Times New Roman" w:eastAsia="Times New Roman" w:hAnsi="Times New Roman" w:cs="Times New Roman"/>
                <w:b/>
                <w:bCs/>
                <w:noProof/>
                <w:sz w:val="18"/>
                <w:szCs w:val="18"/>
                <w:lang w:val="ru-RU" w:eastAsia="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BFFA571" w14:textId="77777777" w:rsidR="0006128B" w:rsidRPr="008A0F8A" w:rsidRDefault="0006128B" w:rsidP="0019754F">
            <w:pPr>
              <w:spacing w:after="0" w:line="240" w:lineRule="auto"/>
              <w:rPr>
                <w:rFonts w:ascii="Times New Roman" w:eastAsia="Times New Roman" w:hAnsi="Times New Roman" w:cs="Times New Roman"/>
                <w:b/>
                <w:bCs/>
                <w:noProof/>
                <w:sz w:val="18"/>
                <w:szCs w:val="18"/>
                <w:lang w:val="ru-RU" w:eastAsia="en-G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97AB984" w14:textId="77777777" w:rsidR="0006128B" w:rsidRPr="008A0F8A" w:rsidRDefault="0006128B" w:rsidP="0019754F">
            <w:pPr>
              <w:spacing w:after="0" w:line="240" w:lineRule="auto"/>
              <w:rPr>
                <w:rFonts w:ascii="Times New Roman" w:eastAsia="Times New Roman" w:hAnsi="Times New Roman" w:cs="Times New Roman"/>
                <w:b/>
                <w:bCs/>
                <w:noProof/>
                <w:sz w:val="18"/>
                <w:szCs w:val="18"/>
                <w:lang w:val="ru-RU" w:eastAsia="en-G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42BD225" w14:textId="77777777" w:rsidR="0006128B" w:rsidRPr="008A0F8A" w:rsidRDefault="0006128B" w:rsidP="0019754F">
            <w:pPr>
              <w:spacing w:after="0" w:line="240" w:lineRule="auto"/>
              <w:rPr>
                <w:rFonts w:ascii="Times New Roman" w:eastAsia="Times New Roman" w:hAnsi="Times New Roman" w:cs="Times New Roman"/>
                <w:b/>
                <w:bCs/>
                <w:noProof/>
                <w:sz w:val="18"/>
                <w:szCs w:val="18"/>
                <w:lang w:val="ru-RU" w:eastAsia="en-GB"/>
              </w:rPr>
            </w:pPr>
          </w:p>
        </w:tc>
        <w:tc>
          <w:tcPr>
            <w:tcW w:w="992" w:type="dxa"/>
            <w:tcBorders>
              <w:top w:val="nil"/>
              <w:left w:val="single" w:sz="4" w:space="0" w:color="auto"/>
              <w:bottom w:val="single" w:sz="4" w:space="0" w:color="auto"/>
              <w:right w:val="single" w:sz="4" w:space="0" w:color="auto"/>
            </w:tcBorders>
            <w:shd w:val="clear" w:color="auto" w:fill="BDD7EE"/>
            <w:vAlign w:val="center"/>
            <w:hideMark/>
          </w:tcPr>
          <w:p w14:paraId="0029C371" w14:textId="77777777" w:rsidR="0006128B" w:rsidRPr="00562D16" w:rsidRDefault="0006128B" w:rsidP="0019754F">
            <w:pPr>
              <w:spacing w:after="0" w:line="240" w:lineRule="auto"/>
              <w:jc w:val="center"/>
              <w:rPr>
                <w:rFonts w:ascii="Times New Roman" w:eastAsia="Times New Roman" w:hAnsi="Times New Roman" w:cs="Times New Roman"/>
                <w:b/>
                <w:noProof/>
                <w:sz w:val="18"/>
                <w:szCs w:val="18"/>
              </w:rPr>
            </w:pPr>
            <w:r>
              <w:rPr>
                <w:rFonts w:ascii="Times New Roman" w:hAnsi="Times New Roman"/>
                <w:b/>
                <w:noProof/>
                <w:sz w:val="18"/>
              </w:rPr>
              <w:t>Мерна единица</w:t>
            </w:r>
          </w:p>
        </w:tc>
        <w:tc>
          <w:tcPr>
            <w:tcW w:w="992" w:type="dxa"/>
            <w:tcBorders>
              <w:top w:val="nil"/>
              <w:left w:val="nil"/>
              <w:bottom w:val="single" w:sz="4" w:space="0" w:color="auto"/>
              <w:right w:val="single" w:sz="4" w:space="0" w:color="auto"/>
            </w:tcBorders>
            <w:shd w:val="clear" w:color="auto" w:fill="BDD7EE"/>
            <w:vAlign w:val="center"/>
            <w:hideMark/>
          </w:tcPr>
          <w:p w14:paraId="5D3B6C0A" w14:textId="77777777" w:rsidR="0006128B" w:rsidRPr="00562D16" w:rsidRDefault="0006128B" w:rsidP="0019754F">
            <w:pPr>
              <w:spacing w:after="0" w:line="240" w:lineRule="auto"/>
              <w:jc w:val="center"/>
              <w:rPr>
                <w:rFonts w:ascii="Times New Roman" w:eastAsia="Times New Roman" w:hAnsi="Times New Roman" w:cs="Times New Roman"/>
                <w:b/>
                <w:noProof/>
                <w:sz w:val="18"/>
                <w:szCs w:val="18"/>
              </w:rPr>
            </w:pPr>
            <w:r>
              <w:rPr>
                <w:rFonts w:ascii="Times New Roman" w:hAnsi="Times New Roman"/>
                <w:b/>
                <w:noProof/>
                <w:sz w:val="18"/>
              </w:rPr>
              <w:t xml:space="preserve">Базова линия </w:t>
            </w:r>
          </w:p>
        </w:tc>
        <w:tc>
          <w:tcPr>
            <w:tcW w:w="773" w:type="dxa"/>
            <w:tcBorders>
              <w:top w:val="nil"/>
              <w:left w:val="nil"/>
              <w:bottom w:val="single" w:sz="4" w:space="0" w:color="auto"/>
              <w:right w:val="single" w:sz="4" w:space="0" w:color="auto"/>
            </w:tcBorders>
            <w:shd w:val="clear" w:color="auto" w:fill="BDD7EE"/>
            <w:vAlign w:val="center"/>
            <w:hideMark/>
          </w:tcPr>
          <w:p w14:paraId="4BAC98FF" w14:textId="77777777" w:rsidR="0006128B" w:rsidRPr="00562D16" w:rsidRDefault="0006128B" w:rsidP="0019754F">
            <w:pPr>
              <w:spacing w:after="0" w:line="240" w:lineRule="auto"/>
              <w:jc w:val="center"/>
              <w:rPr>
                <w:rFonts w:ascii="Times New Roman" w:eastAsia="Times New Roman" w:hAnsi="Times New Roman" w:cs="Times New Roman"/>
                <w:b/>
                <w:noProof/>
                <w:sz w:val="18"/>
                <w:szCs w:val="18"/>
              </w:rPr>
            </w:pPr>
            <w:r>
              <w:rPr>
                <w:rFonts w:ascii="Times New Roman" w:hAnsi="Times New Roman"/>
                <w:b/>
                <w:noProof/>
                <w:sz w:val="18"/>
              </w:rPr>
              <w:t xml:space="preserve">Цел </w:t>
            </w:r>
          </w:p>
        </w:tc>
        <w:tc>
          <w:tcPr>
            <w:tcW w:w="850" w:type="dxa"/>
            <w:tcBorders>
              <w:top w:val="nil"/>
              <w:left w:val="nil"/>
              <w:bottom w:val="single" w:sz="4" w:space="0" w:color="auto"/>
              <w:right w:val="single" w:sz="4" w:space="0" w:color="auto"/>
            </w:tcBorders>
            <w:shd w:val="clear" w:color="auto" w:fill="BDD7EE"/>
            <w:vAlign w:val="center"/>
            <w:hideMark/>
          </w:tcPr>
          <w:p w14:paraId="37763CF0" w14:textId="77777777" w:rsidR="0006128B" w:rsidRPr="00562D16" w:rsidRDefault="0006128B" w:rsidP="0019754F">
            <w:pPr>
              <w:spacing w:after="0" w:line="240" w:lineRule="auto"/>
              <w:jc w:val="center"/>
              <w:rPr>
                <w:rFonts w:ascii="Times New Roman" w:eastAsia="Times New Roman" w:hAnsi="Times New Roman" w:cs="Times New Roman"/>
                <w:b/>
                <w:noProof/>
                <w:sz w:val="18"/>
                <w:szCs w:val="18"/>
              </w:rPr>
            </w:pPr>
            <w:r>
              <w:rPr>
                <w:rFonts w:ascii="Times New Roman" w:hAnsi="Times New Roman"/>
                <w:b/>
                <w:noProof/>
                <w:sz w:val="18"/>
              </w:rPr>
              <w:t>Тримесечие</w:t>
            </w:r>
          </w:p>
        </w:tc>
        <w:tc>
          <w:tcPr>
            <w:tcW w:w="645" w:type="dxa"/>
            <w:tcBorders>
              <w:top w:val="nil"/>
              <w:left w:val="nil"/>
              <w:bottom w:val="single" w:sz="4" w:space="0" w:color="auto"/>
              <w:right w:val="single" w:sz="4" w:space="0" w:color="auto"/>
            </w:tcBorders>
            <w:shd w:val="clear" w:color="auto" w:fill="BDD7EE"/>
            <w:vAlign w:val="center"/>
            <w:hideMark/>
          </w:tcPr>
          <w:p w14:paraId="4E0C95E8" w14:textId="77777777" w:rsidR="0006128B" w:rsidRPr="00562D16" w:rsidRDefault="0006128B" w:rsidP="0019754F">
            <w:pPr>
              <w:spacing w:after="0" w:line="240" w:lineRule="auto"/>
              <w:jc w:val="center"/>
              <w:rPr>
                <w:rFonts w:ascii="Times New Roman" w:eastAsia="Times New Roman" w:hAnsi="Times New Roman" w:cs="Times New Roman"/>
                <w:b/>
                <w:noProof/>
                <w:sz w:val="18"/>
                <w:szCs w:val="18"/>
              </w:rPr>
            </w:pPr>
            <w:r>
              <w:rPr>
                <w:rFonts w:ascii="Times New Roman" w:hAnsi="Times New Roman"/>
                <w:b/>
                <w:noProof/>
                <w:sz w:val="18"/>
              </w:rPr>
              <w:t>Година</w:t>
            </w:r>
          </w:p>
        </w:tc>
        <w:tc>
          <w:tcPr>
            <w:tcW w:w="4612" w:type="dxa"/>
            <w:vMerge/>
            <w:tcBorders>
              <w:top w:val="single" w:sz="4" w:space="0" w:color="auto"/>
              <w:bottom w:val="single" w:sz="4" w:space="0" w:color="auto"/>
              <w:right w:val="single" w:sz="4" w:space="0" w:color="auto"/>
            </w:tcBorders>
            <w:vAlign w:val="center"/>
            <w:hideMark/>
          </w:tcPr>
          <w:p w14:paraId="53DFD380" w14:textId="77777777" w:rsidR="0006128B" w:rsidRPr="00562D16" w:rsidRDefault="0006128B" w:rsidP="0019754F">
            <w:pPr>
              <w:spacing w:after="0" w:line="240" w:lineRule="auto"/>
              <w:rPr>
                <w:rFonts w:ascii="Times New Roman" w:eastAsia="Times New Roman" w:hAnsi="Times New Roman" w:cs="Times New Roman"/>
                <w:b/>
                <w:bCs/>
                <w:noProof/>
                <w:sz w:val="18"/>
                <w:szCs w:val="18"/>
                <w:lang w:val="en-GB" w:eastAsia="en-GB"/>
              </w:rPr>
            </w:pPr>
          </w:p>
        </w:tc>
      </w:tr>
      <w:tr w:rsidR="0006128B" w:rsidRPr="005241FC" w14:paraId="2B3155E9" w14:textId="77777777" w:rsidTr="00374E07">
        <w:trPr>
          <w:trHeight w:val="309"/>
          <w:jc w:val="center"/>
        </w:trPr>
        <w:tc>
          <w:tcPr>
            <w:tcW w:w="709" w:type="dxa"/>
            <w:tcBorders>
              <w:top w:val="single" w:sz="4" w:space="0" w:color="auto"/>
              <w:left w:val="single" w:sz="4" w:space="0" w:color="auto"/>
              <w:bottom w:val="single" w:sz="4" w:space="0" w:color="auto"/>
              <w:right w:val="single" w:sz="4" w:space="0" w:color="auto"/>
            </w:tcBorders>
            <w:shd w:val="clear" w:color="auto" w:fill="C6EFCE"/>
            <w:noWrap/>
            <w:hideMark/>
          </w:tcPr>
          <w:p w14:paraId="3E8D0179" w14:textId="51EF4DE8" w:rsidR="0006128B" w:rsidRPr="007F2B35" w:rsidRDefault="002B7436" w:rsidP="004E3C83">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207</w:t>
            </w:r>
          </w:p>
        </w:tc>
        <w:tc>
          <w:tcPr>
            <w:tcW w:w="1701" w:type="dxa"/>
            <w:tcBorders>
              <w:top w:val="single" w:sz="4" w:space="0" w:color="auto"/>
              <w:left w:val="nil"/>
              <w:bottom w:val="single" w:sz="4" w:space="0" w:color="auto"/>
              <w:right w:val="single" w:sz="4" w:space="0" w:color="auto"/>
            </w:tcBorders>
            <w:shd w:val="clear" w:color="auto" w:fill="C6EFCE"/>
            <w:noWrap/>
            <w:hideMark/>
          </w:tcPr>
          <w:p w14:paraId="14D3D752" w14:textId="77777777" w:rsidR="003B02A1" w:rsidRPr="007F2B35" w:rsidRDefault="0006128B" w:rsidP="0019754F">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К9.Р1: </w:t>
            </w:r>
          </w:p>
          <w:p w14:paraId="427E665C" w14:textId="168203AE" w:rsidR="0006128B" w:rsidRPr="007F2B35" w:rsidRDefault="0006128B" w:rsidP="0019754F">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Нов регионален подход с пряко въвличане на местните общности в управлението на средствата от европейските фондове и инструменти</w:t>
            </w:r>
          </w:p>
        </w:tc>
        <w:tc>
          <w:tcPr>
            <w:tcW w:w="1134" w:type="dxa"/>
            <w:tcBorders>
              <w:top w:val="single" w:sz="4" w:space="0" w:color="auto"/>
              <w:left w:val="nil"/>
              <w:bottom w:val="single" w:sz="4" w:space="0" w:color="auto"/>
              <w:right w:val="single" w:sz="4" w:space="0" w:color="auto"/>
            </w:tcBorders>
            <w:shd w:val="clear" w:color="auto" w:fill="C6EFCE"/>
            <w:noWrap/>
            <w:hideMark/>
          </w:tcPr>
          <w:p w14:paraId="0629A461" w14:textId="77777777" w:rsidR="0006128B" w:rsidRPr="007F2B35" w:rsidRDefault="0006128B" w:rsidP="0019754F">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418" w:type="dxa"/>
            <w:tcBorders>
              <w:top w:val="single" w:sz="4" w:space="0" w:color="auto"/>
              <w:left w:val="nil"/>
              <w:bottom w:val="single" w:sz="4" w:space="0" w:color="auto"/>
              <w:right w:val="single" w:sz="4" w:space="0" w:color="auto"/>
            </w:tcBorders>
            <w:shd w:val="clear" w:color="auto" w:fill="C6EFCE"/>
            <w:noWrap/>
            <w:hideMark/>
          </w:tcPr>
          <w:p w14:paraId="0693BF42" w14:textId="77777777" w:rsidR="0006128B" w:rsidRPr="007F2B35" w:rsidRDefault="0006128B" w:rsidP="0019754F">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p w14:paraId="6D1D0C48" w14:textId="77777777" w:rsidR="0006128B" w:rsidRPr="007F2B35" w:rsidRDefault="0006128B" w:rsidP="0019754F">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Изменения на нормативната уредба относно управлението на</w:t>
            </w:r>
          </w:p>
          <w:p w14:paraId="0E6D2709" w14:textId="77777777" w:rsidR="0006128B" w:rsidRPr="007F2B35" w:rsidRDefault="0006128B" w:rsidP="0019754F">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 </w:t>
            </w:r>
          </w:p>
          <w:p w14:paraId="0C7F47EF" w14:textId="77777777" w:rsidR="0006128B" w:rsidRPr="007F2B35" w:rsidRDefault="0006128B" w:rsidP="0019754F">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средствата от ЕС</w:t>
            </w:r>
          </w:p>
        </w:tc>
        <w:tc>
          <w:tcPr>
            <w:tcW w:w="1701" w:type="dxa"/>
            <w:tcBorders>
              <w:top w:val="single" w:sz="4" w:space="0" w:color="auto"/>
              <w:left w:val="nil"/>
              <w:bottom w:val="single" w:sz="4" w:space="0" w:color="auto"/>
              <w:right w:val="single" w:sz="4" w:space="0" w:color="auto"/>
            </w:tcBorders>
            <w:shd w:val="clear" w:color="auto" w:fill="C6EFCE"/>
            <w:noWrap/>
            <w:hideMark/>
          </w:tcPr>
          <w:p w14:paraId="09F75021" w14:textId="77777777" w:rsidR="0006128B" w:rsidRPr="007F2B35" w:rsidRDefault="0006128B" w:rsidP="0019754F">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Влизане в сила на измененията в Закона за управление на средствата от Европейските структурни и инвестиционни фондове </w:t>
            </w:r>
          </w:p>
          <w:p w14:paraId="6FC9AD38" w14:textId="77777777" w:rsidR="0006128B" w:rsidRPr="007F2B35" w:rsidRDefault="0006128B" w:rsidP="0019754F">
            <w:pPr>
              <w:spacing w:after="0" w:line="240" w:lineRule="auto"/>
              <w:rPr>
                <w:rFonts w:ascii="Times New Roman" w:eastAsia="Times New Roman" w:hAnsi="Times New Roman" w:cs="Times New Roman"/>
                <w:noProof/>
                <w:color w:val="006100"/>
                <w:sz w:val="20"/>
                <w:szCs w:val="20"/>
              </w:rPr>
            </w:pPr>
          </w:p>
        </w:tc>
        <w:tc>
          <w:tcPr>
            <w:tcW w:w="992" w:type="dxa"/>
            <w:tcBorders>
              <w:top w:val="nil"/>
              <w:left w:val="nil"/>
              <w:bottom w:val="single" w:sz="4" w:space="0" w:color="auto"/>
              <w:right w:val="single" w:sz="4" w:space="0" w:color="auto"/>
            </w:tcBorders>
            <w:shd w:val="clear" w:color="auto" w:fill="C6EFCE"/>
            <w:noWrap/>
          </w:tcPr>
          <w:p w14:paraId="27073621" w14:textId="77777777" w:rsidR="0006128B" w:rsidRPr="008A0F8A" w:rsidRDefault="0006128B" w:rsidP="0019754F">
            <w:pPr>
              <w:spacing w:after="0" w:line="240" w:lineRule="auto"/>
              <w:rPr>
                <w:rFonts w:ascii="Times New Roman" w:eastAsia="Times New Roman" w:hAnsi="Times New Roman" w:cs="Times New Roman"/>
                <w:noProof/>
                <w:color w:val="006100"/>
                <w:sz w:val="20"/>
                <w:szCs w:val="20"/>
                <w:lang w:val="ru-RU" w:eastAsia="en-GB"/>
              </w:rPr>
            </w:pPr>
          </w:p>
        </w:tc>
        <w:tc>
          <w:tcPr>
            <w:tcW w:w="992" w:type="dxa"/>
            <w:tcBorders>
              <w:top w:val="nil"/>
              <w:left w:val="nil"/>
              <w:bottom w:val="single" w:sz="4" w:space="0" w:color="auto"/>
              <w:right w:val="single" w:sz="4" w:space="0" w:color="auto"/>
            </w:tcBorders>
            <w:shd w:val="clear" w:color="auto" w:fill="C6EFCE"/>
            <w:noWrap/>
          </w:tcPr>
          <w:p w14:paraId="5AB46255" w14:textId="77777777" w:rsidR="0006128B" w:rsidRPr="008A0F8A" w:rsidRDefault="0006128B" w:rsidP="0019754F">
            <w:pPr>
              <w:spacing w:after="0" w:line="240" w:lineRule="auto"/>
              <w:jc w:val="right"/>
              <w:rPr>
                <w:rFonts w:ascii="Times New Roman" w:eastAsia="Times New Roman" w:hAnsi="Times New Roman" w:cs="Times New Roman"/>
                <w:noProof/>
                <w:color w:val="006100"/>
                <w:sz w:val="20"/>
                <w:szCs w:val="20"/>
                <w:lang w:val="ru-RU" w:eastAsia="en-GB"/>
              </w:rPr>
            </w:pPr>
          </w:p>
        </w:tc>
        <w:tc>
          <w:tcPr>
            <w:tcW w:w="773" w:type="dxa"/>
            <w:tcBorders>
              <w:top w:val="nil"/>
              <w:left w:val="nil"/>
              <w:bottom w:val="single" w:sz="4" w:space="0" w:color="auto"/>
              <w:right w:val="single" w:sz="4" w:space="0" w:color="auto"/>
            </w:tcBorders>
            <w:shd w:val="clear" w:color="auto" w:fill="C6EFCE"/>
            <w:noWrap/>
          </w:tcPr>
          <w:p w14:paraId="552D489E" w14:textId="77777777" w:rsidR="0006128B" w:rsidRPr="008A0F8A" w:rsidRDefault="0006128B" w:rsidP="0019754F">
            <w:pPr>
              <w:spacing w:after="0" w:line="240" w:lineRule="auto"/>
              <w:jc w:val="right"/>
              <w:rPr>
                <w:rFonts w:ascii="Times New Roman" w:eastAsia="Times New Roman" w:hAnsi="Times New Roman" w:cs="Times New Roman"/>
                <w:noProof/>
                <w:color w:val="006100"/>
                <w:sz w:val="20"/>
                <w:szCs w:val="20"/>
                <w:lang w:val="ru-RU" w:eastAsia="en-GB"/>
              </w:rPr>
            </w:pPr>
          </w:p>
        </w:tc>
        <w:tc>
          <w:tcPr>
            <w:tcW w:w="850" w:type="dxa"/>
            <w:tcBorders>
              <w:top w:val="nil"/>
              <w:left w:val="nil"/>
              <w:bottom w:val="single" w:sz="4" w:space="0" w:color="auto"/>
              <w:right w:val="single" w:sz="4" w:space="0" w:color="auto"/>
            </w:tcBorders>
            <w:shd w:val="clear" w:color="auto" w:fill="C6EFCE"/>
            <w:noWrap/>
            <w:hideMark/>
          </w:tcPr>
          <w:p w14:paraId="4547CB43" w14:textId="77777777" w:rsidR="0006128B" w:rsidRPr="007F2B35" w:rsidRDefault="0006128B" w:rsidP="0019754F">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T2</w:t>
            </w:r>
          </w:p>
        </w:tc>
        <w:tc>
          <w:tcPr>
            <w:tcW w:w="645" w:type="dxa"/>
            <w:tcBorders>
              <w:top w:val="nil"/>
              <w:left w:val="nil"/>
              <w:bottom w:val="single" w:sz="4" w:space="0" w:color="auto"/>
              <w:right w:val="single" w:sz="4" w:space="0" w:color="auto"/>
            </w:tcBorders>
            <w:shd w:val="clear" w:color="auto" w:fill="C6EFCE"/>
            <w:noWrap/>
            <w:hideMark/>
          </w:tcPr>
          <w:p w14:paraId="6E4D9876" w14:textId="77777777" w:rsidR="0006128B" w:rsidRPr="007F2B35" w:rsidRDefault="0006128B" w:rsidP="0019754F">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2022</w:t>
            </w:r>
          </w:p>
        </w:tc>
        <w:tc>
          <w:tcPr>
            <w:tcW w:w="4612" w:type="dxa"/>
            <w:tcBorders>
              <w:top w:val="single" w:sz="4" w:space="0" w:color="auto"/>
              <w:left w:val="nil"/>
              <w:bottom w:val="single" w:sz="4" w:space="0" w:color="auto"/>
              <w:right w:val="single" w:sz="4" w:space="0" w:color="auto"/>
            </w:tcBorders>
            <w:shd w:val="clear" w:color="auto" w:fill="C6EFCE"/>
            <w:noWrap/>
            <w:hideMark/>
          </w:tcPr>
          <w:p w14:paraId="13652B0D" w14:textId="520D3F7D" w:rsidR="0006128B" w:rsidRPr="007F2B35" w:rsidRDefault="0006128B" w:rsidP="00DE660E">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С измененията в Закона за управление на средствата от Европейските структурни и инвестиционни фондове трябва да се засили прякото участие на органите на регионално и местно равнище в управлението на средствата от ЕС чрез засилване на тяхната роля при разработването и изпълнението на интегрирани териториални стратегии и проекти. Съгласно тази преразгледана правна уредба Регионалните съвети за развитие (които включват представители на регионалните и местните органи) трябва да функционират като териториални органи, отговарящи за изпълнението на стратегическите документи на ниво регионално планиране и за предварителния подбор на проекти на местно равнище, които да бъдат финансирани със средства от ЕС, въз основа на интегрирани териториални стратегии за развитие.</w:t>
            </w:r>
          </w:p>
        </w:tc>
      </w:tr>
      <w:tr w:rsidR="0006128B" w:rsidRPr="005241FC" w14:paraId="6D7B42D9" w14:textId="77777777" w:rsidTr="2D29187F">
        <w:trPr>
          <w:trHeight w:val="309"/>
          <w:jc w:val="center"/>
        </w:trPr>
        <w:tc>
          <w:tcPr>
            <w:tcW w:w="709" w:type="dxa"/>
            <w:tcBorders>
              <w:top w:val="nil"/>
              <w:left w:val="single" w:sz="4" w:space="0" w:color="auto"/>
              <w:bottom w:val="single" w:sz="4" w:space="0" w:color="auto"/>
              <w:right w:val="single" w:sz="4" w:space="0" w:color="auto"/>
            </w:tcBorders>
            <w:shd w:val="clear" w:color="auto" w:fill="C6EFCE"/>
            <w:noWrap/>
            <w:hideMark/>
          </w:tcPr>
          <w:p w14:paraId="1EB98A5D" w14:textId="184B0895" w:rsidR="0006128B" w:rsidRPr="007F2B35" w:rsidRDefault="002B7436" w:rsidP="004E3C83">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208</w:t>
            </w:r>
          </w:p>
        </w:tc>
        <w:tc>
          <w:tcPr>
            <w:tcW w:w="1701" w:type="dxa"/>
            <w:tcBorders>
              <w:top w:val="nil"/>
              <w:left w:val="nil"/>
              <w:bottom w:val="single" w:sz="4" w:space="0" w:color="auto"/>
              <w:right w:val="single" w:sz="4" w:space="0" w:color="auto"/>
            </w:tcBorders>
            <w:shd w:val="clear" w:color="auto" w:fill="C6EFCE"/>
            <w:noWrap/>
            <w:hideMark/>
          </w:tcPr>
          <w:p w14:paraId="34C33178" w14:textId="77777777" w:rsidR="003B02A1" w:rsidRPr="007F2B35" w:rsidRDefault="0006128B" w:rsidP="0019754F">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К9.Р2: </w:t>
            </w:r>
          </w:p>
          <w:p w14:paraId="4EFDC689" w14:textId="38808035" w:rsidR="0006128B" w:rsidRPr="007F2B35" w:rsidRDefault="0006128B" w:rsidP="0019754F">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Продължаване на реформата във водния сектор</w:t>
            </w:r>
          </w:p>
        </w:tc>
        <w:tc>
          <w:tcPr>
            <w:tcW w:w="1134" w:type="dxa"/>
            <w:tcBorders>
              <w:top w:val="nil"/>
              <w:left w:val="nil"/>
              <w:bottom w:val="single" w:sz="4" w:space="0" w:color="auto"/>
              <w:right w:val="single" w:sz="4" w:space="0" w:color="auto"/>
            </w:tcBorders>
            <w:shd w:val="clear" w:color="auto" w:fill="C6EFCE"/>
            <w:noWrap/>
          </w:tcPr>
          <w:p w14:paraId="78B64ACF" w14:textId="77777777" w:rsidR="0006128B" w:rsidRPr="007F2B35" w:rsidRDefault="0006128B" w:rsidP="0019754F">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418" w:type="dxa"/>
            <w:tcBorders>
              <w:top w:val="nil"/>
              <w:left w:val="nil"/>
              <w:bottom w:val="single" w:sz="4" w:space="0" w:color="auto"/>
              <w:right w:val="single" w:sz="4" w:space="0" w:color="auto"/>
            </w:tcBorders>
            <w:shd w:val="clear" w:color="auto" w:fill="C6EFCE"/>
            <w:noWrap/>
          </w:tcPr>
          <w:p w14:paraId="0460EDA0" w14:textId="77777777" w:rsidR="0006128B" w:rsidRPr="007F2B35" w:rsidRDefault="0006128B" w:rsidP="0019754F">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Влизане в сила на новия Закон за водоснабдяване и канализация</w:t>
            </w:r>
          </w:p>
          <w:p w14:paraId="1588C182" w14:textId="77777777" w:rsidR="0006128B" w:rsidRPr="007F2B35" w:rsidRDefault="0006128B" w:rsidP="0019754F">
            <w:pPr>
              <w:spacing w:after="0" w:line="240" w:lineRule="auto"/>
              <w:rPr>
                <w:rFonts w:ascii="Times New Roman" w:eastAsia="Times New Roman" w:hAnsi="Times New Roman" w:cs="Times New Roman"/>
                <w:noProof/>
                <w:color w:val="006100"/>
                <w:sz w:val="20"/>
                <w:szCs w:val="20"/>
              </w:rPr>
            </w:pPr>
          </w:p>
        </w:tc>
        <w:tc>
          <w:tcPr>
            <w:tcW w:w="1701" w:type="dxa"/>
            <w:tcBorders>
              <w:top w:val="nil"/>
              <w:left w:val="nil"/>
              <w:bottom w:val="single" w:sz="4" w:space="0" w:color="auto"/>
              <w:right w:val="single" w:sz="4" w:space="0" w:color="auto"/>
            </w:tcBorders>
            <w:shd w:val="clear" w:color="auto" w:fill="C6EFCE"/>
            <w:noWrap/>
          </w:tcPr>
          <w:p w14:paraId="3A745C69" w14:textId="77777777" w:rsidR="0006128B" w:rsidRPr="007F2B35" w:rsidRDefault="0006128B" w:rsidP="0019754F">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Влизане в сила</w:t>
            </w:r>
          </w:p>
        </w:tc>
        <w:tc>
          <w:tcPr>
            <w:tcW w:w="992" w:type="dxa"/>
            <w:tcBorders>
              <w:top w:val="nil"/>
              <w:left w:val="nil"/>
              <w:bottom w:val="single" w:sz="4" w:space="0" w:color="auto"/>
              <w:right w:val="single" w:sz="4" w:space="0" w:color="auto"/>
            </w:tcBorders>
            <w:shd w:val="clear" w:color="auto" w:fill="C6EFCE"/>
            <w:noWrap/>
          </w:tcPr>
          <w:p w14:paraId="1D0A0D3A" w14:textId="77777777" w:rsidR="0006128B" w:rsidRPr="007F2B35" w:rsidRDefault="0006128B" w:rsidP="0019754F">
            <w:pPr>
              <w:spacing w:after="0" w:line="240" w:lineRule="auto"/>
              <w:rPr>
                <w:rFonts w:ascii="Times New Roman" w:eastAsia="Times New Roman" w:hAnsi="Times New Roman" w:cs="Times New Roman"/>
                <w:noProof/>
                <w:color w:val="006100"/>
                <w:sz w:val="20"/>
                <w:szCs w:val="20"/>
                <w:lang w:val="en-GB" w:eastAsia="en-GB"/>
              </w:rPr>
            </w:pPr>
          </w:p>
        </w:tc>
        <w:tc>
          <w:tcPr>
            <w:tcW w:w="992" w:type="dxa"/>
            <w:tcBorders>
              <w:top w:val="nil"/>
              <w:left w:val="nil"/>
              <w:bottom w:val="single" w:sz="4" w:space="0" w:color="auto"/>
              <w:right w:val="single" w:sz="4" w:space="0" w:color="auto"/>
            </w:tcBorders>
            <w:shd w:val="clear" w:color="auto" w:fill="C6EFCE"/>
            <w:noWrap/>
          </w:tcPr>
          <w:p w14:paraId="25AA1ED2" w14:textId="77777777" w:rsidR="0006128B" w:rsidRPr="007F2B35" w:rsidRDefault="0006128B" w:rsidP="0019754F">
            <w:pPr>
              <w:spacing w:after="0" w:line="240" w:lineRule="auto"/>
              <w:jc w:val="right"/>
              <w:rPr>
                <w:rFonts w:ascii="Times New Roman" w:eastAsia="Times New Roman" w:hAnsi="Times New Roman" w:cs="Times New Roman"/>
                <w:noProof/>
                <w:color w:val="006100"/>
                <w:sz w:val="20"/>
                <w:szCs w:val="20"/>
                <w:lang w:val="en-GB" w:eastAsia="en-GB"/>
              </w:rPr>
            </w:pPr>
          </w:p>
        </w:tc>
        <w:tc>
          <w:tcPr>
            <w:tcW w:w="773" w:type="dxa"/>
            <w:tcBorders>
              <w:top w:val="nil"/>
              <w:left w:val="nil"/>
              <w:bottom w:val="single" w:sz="4" w:space="0" w:color="auto"/>
              <w:right w:val="single" w:sz="4" w:space="0" w:color="auto"/>
            </w:tcBorders>
            <w:shd w:val="clear" w:color="auto" w:fill="C6EFCE"/>
            <w:noWrap/>
          </w:tcPr>
          <w:p w14:paraId="0A6D3356" w14:textId="77777777" w:rsidR="0006128B" w:rsidRPr="007F2B35" w:rsidRDefault="0006128B" w:rsidP="0019754F">
            <w:pPr>
              <w:spacing w:after="0" w:line="240" w:lineRule="auto"/>
              <w:jc w:val="right"/>
              <w:rPr>
                <w:rFonts w:ascii="Times New Roman" w:eastAsia="Times New Roman" w:hAnsi="Times New Roman" w:cs="Times New Roman"/>
                <w:noProof/>
                <w:color w:val="006100"/>
                <w:sz w:val="20"/>
                <w:szCs w:val="20"/>
                <w:lang w:val="en-GB" w:eastAsia="en-GB"/>
              </w:rPr>
            </w:pPr>
          </w:p>
        </w:tc>
        <w:tc>
          <w:tcPr>
            <w:tcW w:w="850" w:type="dxa"/>
            <w:tcBorders>
              <w:top w:val="nil"/>
              <w:left w:val="nil"/>
              <w:bottom w:val="single" w:sz="4" w:space="0" w:color="auto"/>
              <w:right w:val="single" w:sz="4" w:space="0" w:color="auto"/>
            </w:tcBorders>
            <w:shd w:val="clear" w:color="auto" w:fill="C6EFCE"/>
            <w:noWrap/>
          </w:tcPr>
          <w:p w14:paraId="1A5723F1" w14:textId="77777777" w:rsidR="0006128B" w:rsidRPr="007F2B35" w:rsidRDefault="0006128B" w:rsidP="0019754F">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T1</w:t>
            </w:r>
          </w:p>
        </w:tc>
        <w:tc>
          <w:tcPr>
            <w:tcW w:w="645" w:type="dxa"/>
            <w:tcBorders>
              <w:top w:val="nil"/>
              <w:left w:val="nil"/>
              <w:bottom w:val="single" w:sz="4" w:space="0" w:color="auto"/>
              <w:right w:val="single" w:sz="4" w:space="0" w:color="auto"/>
            </w:tcBorders>
            <w:shd w:val="clear" w:color="auto" w:fill="C6EFCE"/>
            <w:noWrap/>
          </w:tcPr>
          <w:p w14:paraId="1C0A82C9" w14:textId="77777777" w:rsidR="0006128B" w:rsidRPr="007F2B35" w:rsidRDefault="0006128B" w:rsidP="0019754F">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2023</w:t>
            </w:r>
          </w:p>
        </w:tc>
        <w:tc>
          <w:tcPr>
            <w:tcW w:w="4612" w:type="dxa"/>
            <w:tcBorders>
              <w:top w:val="nil"/>
              <w:left w:val="nil"/>
              <w:bottom w:val="single" w:sz="4" w:space="0" w:color="auto"/>
              <w:right w:val="single" w:sz="4" w:space="0" w:color="auto"/>
            </w:tcBorders>
            <w:shd w:val="clear" w:color="auto" w:fill="C6EFCE"/>
            <w:noWrap/>
          </w:tcPr>
          <w:p w14:paraId="02FE3671" w14:textId="1FCA125C" w:rsidR="0006128B" w:rsidRPr="007F2B35" w:rsidRDefault="0006128B" w:rsidP="00DE660E">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Със Закона за водоснабдяването и канализацията трябва да се уточнят механизмите за определяне на тарифите и да се гарантира разходно ориентирано ценообразуване за ползването на системите и на услугите, като същевременно се гарантира и финансовата устойчивост на операторите. Със закона трябва да се предвидят условията за консолидиране при предоставянето на водоснабдителни и канализационни услуги. С него трябва да бъдат въведени еднакви условия за цялата държава по отношение на критериите за качество и ефективност на услугите, които трябва да бъдат изпълнени от ВиК операторите в определените в закона срокове. Качеството на водоснабдителните и канализационните услуги трябва да се наблюдава от независим регулатор, чиито роли и отговорности се определят в закона. </w:t>
            </w:r>
          </w:p>
        </w:tc>
      </w:tr>
      <w:tr w:rsidR="0006128B" w:rsidRPr="005241FC" w14:paraId="6331765A" w14:textId="77777777" w:rsidTr="2D29187F">
        <w:trPr>
          <w:trHeight w:val="309"/>
          <w:jc w:val="center"/>
        </w:trPr>
        <w:tc>
          <w:tcPr>
            <w:tcW w:w="709" w:type="dxa"/>
            <w:tcBorders>
              <w:top w:val="nil"/>
              <w:left w:val="single" w:sz="4" w:space="0" w:color="auto"/>
              <w:bottom w:val="single" w:sz="4" w:space="0" w:color="auto"/>
              <w:right w:val="single" w:sz="4" w:space="0" w:color="auto"/>
            </w:tcBorders>
            <w:shd w:val="clear" w:color="auto" w:fill="C6EFCE"/>
            <w:noWrap/>
            <w:hideMark/>
          </w:tcPr>
          <w:p w14:paraId="2CC068B6" w14:textId="3FFB9BB8" w:rsidR="0006128B" w:rsidRPr="007F2B35" w:rsidRDefault="002B7436" w:rsidP="004E3C83">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209</w:t>
            </w:r>
          </w:p>
        </w:tc>
        <w:tc>
          <w:tcPr>
            <w:tcW w:w="1701" w:type="dxa"/>
            <w:tcBorders>
              <w:top w:val="nil"/>
              <w:left w:val="nil"/>
              <w:bottom w:val="single" w:sz="4" w:space="0" w:color="auto"/>
              <w:right w:val="single" w:sz="4" w:space="0" w:color="auto"/>
            </w:tcBorders>
            <w:shd w:val="clear" w:color="auto" w:fill="C6EFCE"/>
            <w:noWrap/>
            <w:hideMark/>
          </w:tcPr>
          <w:p w14:paraId="78F5F2B5" w14:textId="77777777" w:rsidR="003B02A1" w:rsidRPr="007F2B35" w:rsidRDefault="0006128B" w:rsidP="0019754F">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К9.И1: </w:t>
            </w:r>
          </w:p>
          <w:p w14:paraId="6C7DCB7B" w14:textId="0178237C" w:rsidR="0006128B" w:rsidRPr="007F2B35" w:rsidRDefault="0006128B" w:rsidP="0019754F">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Програма за изграждане/доизграждане/реконструкция на водоснабдителни и канализационни системи, включително пречиствателни станции за отпадъчни води за агломерациите между 5000 и 10 000 еквивалент жители</w:t>
            </w:r>
          </w:p>
        </w:tc>
        <w:tc>
          <w:tcPr>
            <w:tcW w:w="1134" w:type="dxa"/>
            <w:tcBorders>
              <w:top w:val="nil"/>
              <w:left w:val="nil"/>
              <w:bottom w:val="single" w:sz="4" w:space="0" w:color="auto"/>
              <w:right w:val="single" w:sz="4" w:space="0" w:color="auto"/>
            </w:tcBorders>
            <w:shd w:val="clear" w:color="auto" w:fill="C6EFCE"/>
            <w:noWrap/>
            <w:hideMark/>
          </w:tcPr>
          <w:p w14:paraId="30F424D2" w14:textId="77777777" w:rsidR="0006128B" w:rsidRPr="007F2B35" w:rsidRDefault="0006128B" w:rsidP="0019754F">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Ключов етап</w:t>
            </w:r>
          </w:p>
        </w:tc>
        <w:tc>
          <w:tcPr>
            <w:tcW w:w="1418" w:type="dxa"/>
            <w:tcBorders>
              <w:top w:val="nil"/>
              <w:left w:val="nil"/>
              <w:bottom w:val="single" w:sz="4" w:space="0" w:color="auto"/>
              <w:right w:val="single" w:sz="4" w:space="0" w:color="auto"/>
            </w:tcBorders>
            <w:shd w:val="clear" w:color="auto" w:fill="C6EFCE"/>
            <w:noWrap/>
            <w:hideMark/>
          </w:tcPr>
          <w:p w14:paraId="21355EF0" w14:textId="77777777" w:rsidR="0006128B" w:rsidRPr="007F2B35" w:rsidRDefault="0006128B" w:rsidP="0019754F">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Възлагане на обществени поръчки за проектиране и </w:t>
            </w:r>
          </w:p>
          <w:p w14:paraId="1787DE14" w14:textId="77777777" w:rsidR="0006128B" w:rsidRPr="007F2B35" w:rsidRDefault="0006128B" w:rsidP="0019754F">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 </w:t>
            </w:r>
          </w:p>
          <w:p w14:paraId="525F6448" w14:textId="77777777" w:rsidR="0006128B" w:rsidRPr="007F2B35" w:rsidRDefault="0006128B" w:rsidP="0019754F">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изграждане на пречиствателни станции за отпадъчни води и водоснабдителна и канализационна </w:t>
            </w:r>
          </w:p>
          <w:p w14:paraId="3096EEC8" w14:textId="77777777" w:rsidR="0006128B" w:rsidRPr="007F2B35" w:rsidRDefault="0006128B" w:rsidP="0019754F">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 </w:t>
            </w:r>
          </w:p>
          <w:p w14:paraId="29533338" w14:textId="77777777" w:rsidR="0006128B" w:rsidRPr="007F2B35" w:rsidRDefault="0006128B" w:rsidP="0019754F">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 </w:t>
            </w:r>
          </w:p>
          <w:p w14:paraId="77E0A689" w14:textId="77777777" w:rsidR="0006128B" w:rsidRPr="007F2B35" w:rsidRDefault="0006128B" w:rsidP="0019754F">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 </w:t>
            </w:r>
          </w:p>
          <w:p w14:paraId="0061C2A5" w14:textId="77777777" w:rsidR="0006128B" w:rsidRPr="007F2B35" w:rsidRDefault="0006128B" w:rsidP="0019754F">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мрежа</w:t>
            </w:r>
          </w:p>
        </w:tc>
        <w:tc>
          <w:tcPr>
            <w:tcW w:w="1701" w:type="dxa"/>
            <w:tcBorders>
              <w:top w:val="nil"/>
              <w:left w:val="nil"/>
              <w:bottom w:val="single" w:sz="4" w:space="0" w:color="auto"/>
              <w:right w:val="single" w:sz="4" w:space="0" w:color="auto"/>
            </w:tcBorders>
            <w:shd w:val="clear" w:color="auto" w:fill="C6EFCE"/>
            <w:noWrap/>
            <w:hideMark/>
          </w:tcPr>
          <w:p w14:paraId="4174E492" w14:textId="77777777" w:rsidR="0006128B" w:rsidRPr="007F2B35" w:rsidRDefault="0006128B" w:rsidP="0019754F">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Съобщаване за възложените договори от Българския ВиК холдинг </w:t>
            </w:r>
          </w:p>
        </w:tc>
        <w:tc>
          <w:tcPr>
            <w:tcW w:w="992" w:type="dxa"/>
            <w:tcBorders>
              <w:top w:val="nil"/>
              <w:left w:val="nil"/>
              <w:bottom w:val="single" w:sz="4" w:space="0" w:color="auto"/>
              <w:right w:val="single" w:sz="4" w:space="0" w:color="auto"/>
            </w:tcBorders>
            <w:shd w:val="clear" w:color="auto" w:fill="C6EFCE"/>
            <w:noWrap/>
            <w:hideMark/>
          </w:tcPr>
          <w:p w14:paraId="3C718A76" w14:textId="77777777" w:rsidR="0006128B" w:rsidRPr="007F2B35" w:rsidRDefault="0006128B" w:rsidP="0019754F">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992" w:type="dxa"/>
            <w:tcBorders>
              <w:top w:val="nil"/>
              <w:left w:val="nil"/>
              <w:bottom w:val="single" w:sz="4" w:space="0" w:color="auto"/>
              <w:right w:val="single" w:sz="4" w:space="0" w:color="auto"/>
            </w:tcBorders>
            <w:shd w:val="clear" w:color="auto" w:fill="C6EFCE"/>
            <w:noWrap/>
            <w:hideMark/>
          </w:tcPr>
          <w:p w14:paraId="6AD9956D" w14:textId="77777777" w:rsidR="0006128B" w:rsidRPr="007F2B35" w:rsidRDefault="0006128B" w:rsidP="0019754F">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773" w:type="dxa"/>
            <w:tcBorders>
              <w:top w:val="nil"/>
              <w:left w:val="nil"/>
              <w:bottom w:val="single" w:sz="4" w:space="0" w:color="auto"/>
              <w:right w:val="single" w:sz="4" w:space="0" w:color="auto"/>
            </w:tcBorders>
            <w:shd w:val="clear" w:color="auto" w:fill="C6EFCE"/>
            <w:noWrap/>
            <w:hideMark/>
          </w:tcPr>
          <w:p w14:paraId="38465828" w14:textId="77777777" w:rsidR="0006128B" w:rsidRPr="007F2B35" w:rsidRDefault="0006128B" w:rsidP="0019754F">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850" w:type="dxa"/>
            <w:tcBorders>
              <w:top w:val="nil"/>
              <w:left w:val="nil"/>
              <w:bottom w:val="single" w:sz="4" w:space="0" w:color="auto"/>
              <w:right w:val="single" w:sz="4" w:space="0" w:color="auto"/>
            </w:tcBorders>
            <w:shd w:val="clear" w:color="auto" w:fill="C6EFCE"/>
            <w:noWrap/>
            <w:hideMark/>
          </w:tcPr>
          <w:p w14:paraId="7DB0BD2F" w14:textId="77777777" w:rsidR="0006128B" w:rsidRPr="007F2B35" w:rsidRDefault="0006128B" w:rsidP="0019754F">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T4 </w:t>
            </w:r>
          </w:p>
        </w:tc>
        <w:tc>
          <w:tcPr>
            <w:tcW w:w="645" w:type="dxa"/>
            <w:tcBorders>
              <w:top w:val="nil"/>
              <w:left w:val="nil"/>
              <w:bottom w:val="single" w:sz="4" w:space="0" w:color="auto"/>
              <w:right w:val="single" w:sz="4" w:space="0" w:color="auto"/>
            </w:tcBorders>
            <w:shd w:val="clear" w:color="auto" w:fill="C6EFCE"/>
            <w:noWrap/>
            <w:hideMark/>
          </w:tcPr>
          <w:p w14:paraId="0056BF4C" w14:textId="77777777" w:rsidR="0006128B" w:rsidRPr="007F2B35" w:rsidRDefault="0006128B" w:rsidP="0019754F">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2023</w:t>
            </w:r>
          </w:p>
        </w:tc>
        <w:tc>
          <w:tcPr>
            <w:tcW w:w="4612" w:type="dxa"/>
            <w:tcBorders>
              <w:top w:val="nil"/>
              <w:left w:val="nil"/>
              <w:bottom w:val="single" w:sz="4" w:space="0" w:color="auto"/>
              <w:right w:val="single" w:sz="4" w:space="0" w:color="auto"/>
            </w:tcBorders>
            <w:shd w:val="clear" w:color="auto" w:fill="C6EFCE"/>
            <w:noWrap/>
            <w:hideMark/>
          </w:tcPr>
          <w:p w14:paraId="2DFD12F4" w14:textId="2401D2DD" w:rsidR="0006128B" w:rsidRPr="007F2B35" w:rsidRDefault="0006128B" w:rsidP="0019754F">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Възлагане на договори след успешно провеждане на обществени поръчки за проектиране и изграждане на пречиствателни станции за отпадъчни води и ВиК мрежа в 13 агломерации (Девня, Генерал Тошево, Павел баня, Дулово, Ахтопол, Крумовград, Девин, Гълъбово, Стралджа, Долни чифлик, Съединение, Котел и Рогош — Скутаре). Договорът за всяка агломерация трябва да съдържа задължение към изпълнителя за пълно съответствие с изискванията на законодателството на ЕС в областта на околната среда (т.е. Директивата за ОВОС, Директивата за местообитанията, Рамковата директива за водите, Директивата за пречистването на градските отпадъчни води и Директивата за питейната вода). </w:t>
            </w:r>
          </w:p>
          <w:p w14:paraId="3510DE6B" w14:textId="3B992882" w:rsidR="0006128B" w:rsidRPr="007F2B35" w:rsidRDefault="0006128B" w:rsidP="00092AA4">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 В съответствие с реформата във водния сектор договорите за 13-те агломерации трябва да обхващат териториите, обслужвани от консолидирани регионални ВиК оператори, и да се основават на регионални проучвания за осъществимост, изготвени по-рано за тези територии.</w:t>
            </w:r>
          </w:p>
        </w:tc>
      </w:tr>
      <w:tr w:rsidR="0006128B" w:rsidRPr="005241FC" w14:paraId="1B55C431" w14:textId="77777777" w:rsidTr="2D29187F">
        <w:trPr>
          <w:trHeight w:val="309"/>
          <w:jc w:val="center"/>
        </w:trPr>
        <w:tc>
          <w:tcPr>
            <w:tcW w:w="709" w:type="dxa"/>
            <w:tcBorders>
              <w:top w:val="nil"/>
              <w:left w:val="single" w:sz="4" w:space="0" w:color="auto"/>
              <w:bottom w:val="single" w:sz="4" w:space="0" w:color="auto"/>
              <w:right w:val="single" w:sz="4" w:space="0" w:color="auto"/>
            </w:tcBorders>
            <w:shd w:val="clear" w:color="auto" w:fill="C6EFCE"/>
            <w:noWrap/>
          </w:tcPr>
          <w:p w14:paraId="7B963F78" w14:textId="0B253EA9" w:rsidR="0006128B" w:rsidRPr="007F2B35" w:rsidRDefault="002B7436" w:rsidP="004E3C83">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210</w:t>
            </w:r>
          </w:p>
        </w:tc>
        <w:tc>
          <w:tcPr>
            <w:tcW w:w="1701" w:type="dxa"/>
            <w:tcBorders>
              <w:top w:val="nil"/>
              <w:left w:val="nil"/>
              <w:bottom w:val="single" w:sz="4" w:space="0" w:color="auto"/>
              <w:right w:val="single" w:sz="4" w:space="0" w:color="auto"/>
            </w:tcBorders>
            <w:shd w:val="clear" w:color="auto" w:fill="C6EFCE"/>
            <w:noWrap/>
          </w:tcPr>
          <w:p w14:paraId="14B1086B" w14:textId="77777777" w:rsidR="003B02A1" w:rsidRPr="007F2B35" w:rsidRDefault="0006128B" w:rsidP="0019754F">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К9.И1: </w:t>
            </w:r>
          </w:p>
          <w:p w14:paraId="4E0DEA8F" w14:textId="4253675C" w:rsidR="0006128B" w:rsidRPr="007F2B35" w:rsidRDefault="0006128B" w:rsidP="0019754F">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Програма за изграждане/доизграждане/реконструкция на водоснабдителни и канализационни системи, включително пречиствателни станции за отпадъчни води за агломерациите между 5000 и 10 000 еквивалент жители</w:t>
            </w:r>
          </w:p>
        </w:tc>
        <w:tc>
          <w:tcPr>
            <w:tcW w:w="1134" w:type="dxa"/>
            <w:tcBorders>
              <w:top w:val="nil"/>
              <w:left w:val="nil"/>
              <w:bottom w:val="single" w:sz="4" w:space="0" w:color="auto"/>
              <w:right w:val="single" w:sz="4" w:space="0" w:color="auto"/>
            </w:tcBorders>
            <w:shd w:val="clear" w:color="auto" w:fill="C6EFCE"/>
            <w:noWrap/>
          </w:tcPr>
          <w:p w14:paraId="06EC557B" w14:textId="65AE2AF5" w:rsidR="0006128B" w:rsidRPr="007F2B35" w:rsidRDefault="702FA0E6" w:rsidP="0019754F">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Цел</w:t>
            </w:r>
          </w:p>
        </w:tc>
        <w:tc>
          <w:tcPr>
            <w:tcW w:w="1418" w:type="dxa"/>
            <w:tcBorders>
              <w:top w:val="nil"/>
              <w:left w:val="nil"/>
              <w:bottom w:val="single" w:sz="4" w:space="0" w:color="auto"/>
              <w:right w:val="single" w:sz="4" w:space="0" w:color="auto"/>
            </w:tcBorders>
            <w:shd w:val="clear" w:color="auto" w:fill="C6EFCE"/>
            <w:noWrap/>
          </w:tcPr>
          <w:p w14:paraId="339807E2" w14:textId="77777777" w:rsidR="0006128B" w:rsidRPr="007F2B35" w:rsidRDefault="0006128B" w:rsidP="0019754F">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Новопостроена/ </w:t>
            </w:r>
          </w:p>
          <w:p w14:paraId="6A73256B" w14:textId="77777777" w:rsidR="0006128B" w:rsidRPr="007F2B35" w:rsidRDefault="0006128B" w:rsidP="0019754F">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реконструирана </w:t>
            </w:r>
          </w:p>
          <w:p w14:paraId="5E6F5C2D" w14:textId="77777777" w:rsidR="0006128B" w:rsidRPr="007F2B35" w:rsidRDefault="0006128B" w:rsidP="0019754F">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водоснабдителна мрежа, свързана с новопостроени/реконструирани пречиствателни станции за отпадъчни води </w:t>
            </w:r>
          </w:p>
        </w:tc>
        <w:tc>
          <w:tcPr>
            <w:tcW w:w="1701" w:type="dxa"/>
            <w:tcBorders>
              <w:top w:val="nil"/>
              <w:left w:val="nil"/>
              <w:bottom w:val="single" w:sz="4" w:space="0" w:color="auto"/>
              <w:right w:val="single" w:sz="4" w:space="0" w:color="auto"/>
            </w:tcBorders>
            <w:shd w:val="clear" w:color="auto" w:fill="C6EFCE"/>
            <w:noWrap/>
          </w:tcPr>
          <w:p w14:paraId="7130102C" w14:textId="77777777" w:rsidR="0006128B" w:rsidRPr="008A0F8A" w:rsidRDefault="0006128B" w:rsidP="0019754F">
            <w:pPr>
              <w:spacing w:after="0" w:line="240" w:lineRule="auto"/>
              <w:rPr>
                <w:rFonts w:ascii="Times New Roman" w:eastAsia="Times New Roman" w:hAnsi="Times New Roman" w:cs="Times New Roman"/>
                <w:noProof/>
                <w:color w:val="006100"/>
                <w:sz w:val="20"/>
                <w:szCs w:val="20"/>
                <w:lang w:val="ru-RU" w:eastAsia="en-GB"/>
              </w:rPr>
            </w:pPr>
          </w:p>
        </w:tc>
        <w:tc>
          <w:tcPr>
            <w:tcW w:w="992" w:type="dxa"/>
            <w:tcBorders>
              <w:top w:val="nil"/>
              <w:left w:val="nil"/>
              <w:bottom w:val="single" w:sz="4" w:space="0" w:color="auto"/>
              <w:right w:val="single" w:sz="4" w:space="0" w:color="auto"/>
            </w:tcBorders>
            <w:shd w:val="clear" w:color="auto" w:fill="C6EFCE"/>
            <w:noWrap/>
          </w:tcPr>
          <w:p w14:paraId="5BE9626A" w14:textId="77777777" w:rsidR="0006128B" w:rsidRPr="007F2B35" w:rsidRDefault="0006128B" w:rsidP="0019754F">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Km</w:t>
            </w:r>
          </w:p>
        </w:tc>
        <w:tc>
          <w:tcPr>
            <w:tcW w:w="992" w:type="dxa"/>
            <w:tcBorders>
              <w:top w:val="nil"/>
              <w:left w:val="nil"/>
              <w:bottom w:val="single" w:sz="4" w:space="0" w:color="auto"/>
              <w:right w:val="single" w:sz="4" w:space="0" w:color="auto"/>
            </w:tcBorders>
            <w:shd w:val="clear" w:color="auto" w:fill="C6EFCE"/>
            <w:noWrap/>
          </w:tcPr>
          <w:p w14:paraId="23717538" w14:textId="77777777" w:rsidR="0006128B" w:rsidRPr="007F2B35" w:rsidRDefault="0006128B" w:rsidP="0019754F">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0</w:t>
            </w:r>
          </w:p>
        </w:tc>
        <w:tc>
          <w:tcPr>
            <w:tcW w:w="773" w:type="dxa"/>
            <w:tcBorders>
              <w:top w:val="nil"/>
              <w:left w:val="nil"/>
              <w:bottom w:val="single" w:sz="4" w:space="0" w:color="auto"/>
              <w:right w:val="single" w:sz="4" w:space="0" w:color="auto"/>
            </w:tcBorders>
            <w:shd w:val="clear" w:color="auto" w:fill="C6EFCE"/>
            <w:noWrap/>
          </w:tcPr>
          <w:p w14:paraId="52AAB0B9" w14:textId="77777777" w:rsidR="0006128B" w:rsidRPr="007F2B35" w:rsidRDefault="0006128B" w:rsidP="0019754F">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250</w:t>
            </w:r>
          </w:p>
        </w:tc>
        <w:tc>
          <w:tcPr>
            <w:tcW w:w="850" w:type="dxa"/>
            <w:tcBorders>
              <w:top w:val="nil"/>
              <w:left w:val="nil"/>
              <w:bottom w:val="single" w:sz="4" w:space="0" w:color="auto"/>
              <w:right w:val="single" w:sz="4" w:space="0" w:color="auto"/>
            </w:tcBorders>
            <w:shd w:val="clear" w:color="auto" w:fill="C6EFCE"/>
            <w:noWrap/>
          </w:tcPr>
          <w:p w14:paraId="794A78B4" w14:textId="62CCB6F1" w:rsidR="0006128B" w:rsidRPr="007F2B35" w:rsidRDefault="0006128B" w:rsidP="0019754F">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T2</w:t>
            </w:r>
          </w:p>
        </w:tc>
        <w:tc>
          <w:tcPr>
            <w:tcW w:w="645" w:type="dxa"/>
            <w:tcBorders>
              <w:top w:val="nil"/>
              <w:left w:val="nil"/>
              <w:bottom w:val="single" w:sz="4" w:space="0" w:color="auto"/>
              <w:right w:val="single" w:sz="4" w:space="0" w:color="auto"/>
            </w:tcBorders>
            <w:shd w:val="clear" w:color="auto" w:fill="C6EFCE"/>
            <w:noWrap/>
          </w:tcPr>
          <w:p w14:paraId="390586E1" w14:textId="62933469" w:rsidR="0006128B" w:rsidRPr="007F2B35" w:rsidRDefault="0006128B" w:rsidP="0019754F">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2026</w:t>
            </w:r>
          </w:p>
        </w:tc>
        <w:tc>
          <w:tcPr>
            <w:tcW w:w="4612" w:type="dxa"/>
            <w:tcBorders>
              <w:top w:val="nil"/>
              <w:left w:val="nil"/>
              <w:bottom w:val="single" w:sz="4" w:space="0" w:color="auto"/>
              <w:right w:val="single" w:sz="4" w:space="0" w:color="auto"/>
            </w:tcBorders>
            <w:shd w:val="clear" w:color="auto" w:fill="C6EFCE"/>
            <w:noWrap/>
          </w:tcPr>
          <w:p w14:paraId="5A9FFF1A" w14:textId="3613CE24" w:rsidR="0006128B" w:rsidRPr="007F2B35" w:rsidRDefault="0006128B" w:rsidP="0019754F">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Новоизградената/реконструираната водоснабдителна мрежа трябва да бъде свързана към пречиствателни станции за отпадъчни води, които трябва да бъдат изградени/реконструирани като част от същата инвестиция. С инвестицията трябва да се осигури пречистването на отпадъчните води от 13 агломерации (Девня, Генерал Тошево, Павел баня, Дулово, Ахтопол, Крумовград, Девин, Гълъбово, Стралджа, Долни чифлик, Съединение, Котел и Рогош — Скутаре), да се намалят загубите по водоснабдителната мрежа и да се подобри качеството на питейната вода в тези агломерации.</w:t>
            </w:r>
          </w:p>
          <w:p w14:paraId="470A6A14" w14:textId="77777777" w:rsidR="0006128B" w:rsidRPr="007F2B35" w:rsidRDefault="0006128B" w:rsidP="0019754F">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 </w:t>
            </w:r>
          </w:p>
          <w:p w14:paraId="559DA1D1" w14:textId="0BC39319" w:rsidR="0006128B" w:rsidRPr="007F2B35" w:rsidRDefault="0006128B" w:rsidP="0019754F">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Осигуряването и експлоатацията на установената инфраструктура за питейна вода трябва да е в съответствие с Директивата за питейната вода (Директива (ЕС) 2020/2184).</w:t>
            </w:r>
          </w:p>
        </w:tc>
      </w:tr>
    </w:tbl>
    <w:p w14:paraId="7BCC3C50" w14:textId="77777777" w:rsidR="0006128B" w:rsidRPr="008A0F8A" w:rsidRDefault="0006128B" w:rsidP="0019754F">
      <w:pPr>
        <w:keepNext/>
        <w:framePr w:w="15134" w:wrap="auto" w:hAnchor="text" w:x="851"/>
        <w:tabs>
          <w:tab w:val="left" w:pos="850"/>
        </w:tabs>
        <w:spacing w:before="360" w:after="120" w:line="240" w:lineRule="auto"/>
        <w:ind w:left="850" w:hanging="850"/>
        <w:jc w:val="both"/>
        <w:outlineLvl w:val="0"/>
        <w:rPr>
          <w:rFonts w:ascii="Times New Roman" w:eastAsia="Calibri" w:hAnsi="Times New Roman" w:cs="Times New Roman"/>
          <w:iCs/>
          <w:noProof/>
          <w:color w:val="4F81BD"/>
          <w:sz w:val="24"/>
          <w:lang w:val="ru-RU"/>
        </w:rPr>
        <w:sectPr w:rsidR="0006128B" w:rsidRPr="008A0F8A" w:rsidSect="00337679">
          <w:headerReference w:type="even" r:id="rId120"/>
          <w:headerReference w:type="default" r:id="rId121"/>
          <w:footerReference w:type="even" r:id="rId122"/>
          <w:footerReference w:type="default" r:id="rId123"/>
          <w:headerReference w:type="first" r:id="rId124"/>
          <w:footerReference w:type="first" r:id="rId125"/>
          <w:pgSz w:w="16839" w:h="11907" w:orient="landscape"/>
          <w:pgMar w:top="720" w:right="720" w:bottom="720" w:left="720" w:header="709" w:footer="709" w:gutter="0"/>
          <w:cols w:space="720"/>
          <w:docGrid w:linePitch="360"/>
        </w:sectPr>
      </w:pPr>
    </w:p>
    <w:p w14:paraId="1F4FA660" w14:textId="5C1A471D" w:rsidR="00A17CA8" w:rsidRPr="002F262F" w:rsidRDefault="00DA604C" w:rsidP="00765189">
      <w:pPr>
        <w:keepNext/>
        <w:tabs>
          <w:tab w:val="left" w:pos="850"/>
        </w:tabs>
        <w:spacing w:before="360" w:after="120" w:line="240" w:lineRule="auto"/>
        <w:ind w:left="850" w:firstLine="1"/>
        <w:jc w:val="both"/>
        <w:outlineLvl w:val="0"/>
        <w:rPr>
          <w:rFonts w:ascii="Times New Roman" w:eastAsia="Calibri" w:hAnsi="Times New Roman" w:cs="Times New Roman"/>
          <w:b/>
          <w:smallCaps/>
          <w:noProof/>
          <w:sz w:val="24"/>
          <w:highlight w:val="yellow"/>
        </w:rPr>
      </w:pPr>
      <w:r>
        <w:rPr>
          <w:rFonts w:ascii="Times New Roman" w:hAnsi="Times New Roman"/>
          <w:b/>
          <w:smallCaps/>
          <w:noProof/>
          <w:sz w:val="24"/>
        </w:rPr>
        <w:t>Й. КОМПОНЕНТ 10: Бизнес среда</w:t>
      </w:r>
    </w:p>
    <w:p w14:paraId="4DAE7D14" w14:textId="77777777" w:rsidR="00A17CA8" w:rsidRPr="00A17CA8" w:rsidRDefault="00A17CA8" w:rsidP="00A17CA8">
      <w:pPr>
        <w:pStyle w:val="NormalWeb"/>
        <w:ind w:left="850"/>
        <w:jc w:val="both"/>
        <w:rPr>
          <w:noProof/>
        </w:rPr>
      </w:pPr>
      <w:r>
        <w:rPr>
          <w:noProof/>
        </w:rPr>
        <w:t xml:space="preserve">Този компонент има за цел да укрепи потенциала за устойчив растеж и да повиши цялостната устойчивост на българската икономика чрез преодоляване на предизвикателствата в цялостната бизнес среда и подобряване на институционалната рамка. Той включва реформи и инвестиции в области като правосъдието, борбата с корупцията, цифровизацията на публичната администрация, управлението на държавните предприятия, борбата с изпирането на пари, качеството на законодателния процес, обществените поръчки и механизмите за одит и контрол. </w:t>
      </w:r>
    </w:p>
    <w:p w14:paraId="3A0137B1" w14:textId="77777777" w:rsidR="00A17CA8" w:rsidRPr="00A17CA8" w:rsidRDefault="00A17CA8" w:rsidP="00A17CA8">
      <w:pPr>
        <w:pStyle w:val="NormalWeb"/>
        <w:ind w:left="850"/>
        <w:jc w:val="both"/>
        <w:rPr>
          <w:rFonts w:eastAsia="Calibri"/>
          <w:noProof/>
        </w:rPr>
      </w:pPr>
      <w:r>
        <w:rPr>
          <w:noProof/>
        </w:rPr>
        <w:t>Мерките, включени в компонента, допринасят за изпълнението на специфичната за държавата препоръка 3 от 2019 г. във връзка с подобряването на бизнес средата и на специфичната за държавата препоръка 4 от 2020 г. във връзка със свеждането до минимум на административната тежест за дружествата чрез подобряване на ефективността на публичната администрация и укрепване на цифровото управление, осигуряване на ефективно функциониране на уредбата за несъстоятелността и увеличаване на усилията за осигуряване на адекватна оценка на риска, смекчаване на последиците, ефективен надзор и прилагане на рамката за борба с изпирането на пари.</w:t>
      </w:r>
    </w:p>
    <w:p w14:paraId="5BC24975" w14:textId="77777777" w:rsidR="00A17CA8" w:rsidRPr="00A17CA8" w:rsidRDefault="00A17CA8" w:rsidP="00A17CA8">
      <w:pPr>
        <w:pStyle w:val="NormalWeb"/>
        <w:ind w:left="850"/>
        <w:jc w:val="both"/>
        <w:rPr>
          <w:rFonts w:eastAsia="Calibri"/>
          <w:b/>
          <w:smallCaps/>
          <w:noProof/>
        </w:rPr>
      </w:pPr>
      <w:r>
        <w:rPr>
          <w:noProof/>
        </w:rPr>
        <w:t>Очаква се, че нито една мярка в този компонент не вреди в значителна степен на екологичните цели по смисъла на член 17 от Регламент (ЕС) 2020/852, като се вземат предвид описанието на мерките и стъпките за смекчаване на последиците, определени в плана за възстановяване и устойчивост в съответствие с техническите насоки за прилагането на принципа за „ненанасяне на значителни вреди“ (2021/C58/01).</w:t>
      </w:r>
    </w:p>
    <w:p w14:paraId="4788E445" w14:textId="02A4263B" w:rsidR="00A17CA8" w:rsidRPr="00A17CA8" w:rsidRDefault="00FE1623" w:rsidP="00A17CA8">
      <w:pPr>
        <w:spacing w:before="120" w:after="120" w:line="240" w:lineRule="auto"/>
        <w:ind w:left="850"/>
        <w:jc w:val="both"/>
        <w:rPr>
          <w:rFonts w:ascii="Times New Roman" w:eastAsia="Calibri" w:hAnsi="Times New Roman" w:cs="Times New Roman"/>
          <w:b/>
          <w:i/>
          <w:noProof/>
          <w:color w:val="4F81BD"/>
          <w:sz w:val="24"/>
        </w:rPr>
      </w:pPr>
      <w:r>
        <w:rPr>
          <w:rFonts w:ascii="Times New Roman" w:hAnsi="Times New Roman"/>
          <w:b/>
          <w:noProof/>
          <w:sz w:val="24"/>
          <w:u w:val="single"/>
        </w:rPr>
        <w:t>Й</w:t>
      </w:r>
      <w:r w:rsidR="00A17CA8">
        <w:rPr>
          <w:rFonts w:ascii="Times New Roman" w:hAnsi="Times New Roman"/>
          <w:b/>
          <w:noProof/>
          <w:sz w:val="24"/>
          <w:u w:val="single"/>
        </w:rPr>
        <w:t xml:space="preserve">.1 </w:t>
      </w:r>
      <w:r w:rsidR="00A17CA8">
        <w:rPr>
          <w:rFonts w:ascii="Times New Roman" w:hAnsi="Times New Roman"/>
          <w:b/>
          <w:noProof/>
          <w:sz w:val="24"/>
          <w:u w:val="single"/>
        </w:rPr>
        <w:tab/>
        <w:t>Описание на реформите и инвестициите за безвъзмездна финансова подкрепа</w:t>
      </w:r>
    </w:p>
    <w:p w14:paraId="69AA11F1" w14:textId="2B199FD3" w:rsidR="00A17CA8" w:rsidRPr="00A17CA8" w:rsidRDefault="00A17CA8" w:rsidP="00A17CA8">
      <w:pPr>
        <w:spacing w:before="120" w:after="120" w:line="240" w:lineRule="auto"/>
        <w:ind w:left="850"/>
        <w:jc w:val="both"/>
        <w:rPr>
          <w:rFonts w:ascii="Times New Roman" w:eastAsia="Calibri" w:hAnsi="Times New Roman" w:cs="Times New Roman"/>
          <w:noProof/>
          <w:sz w:val="24"/>
          <w:u w:val="single"/>
        </w:rPr>
      </w:pPr>
      <w:r>
        <w:rPr>
          <w:rFonts w:ascii="Times New Roman" w:hAnsi="Times New Roman"/>
          <w:noProof/>
          <w:sz w:val="24"/>
          <w:u w:val="single"/>
        </w:rPr>
        <w:t>Реформа 1 (К10.Р1): Достъпно, ефективно и предвидимо правосъдие</w:t>
      </w:r>
    </w:p>
    <w:p w14:paraId="3C7F3373" w14:textId="77777777" w:rsidR="00A17CA8" w:rsidRPr="00A17CA8" w:rsidRDefault="00A17CA8" w:rsidP="00A17CA8">
      <w:pPr>
        <w:spacing w:before="120" w:after="120" w:line="240" w:lineRule="auto"/>
        <w:ind w:left="850"/>
        <w:jc w:val="both"/>
        <w:rPr>
          <w:rFonts w:ascii="Times New Roman" w:eastAsia="Calibri" w:hAnsi="Times New Roman" w:cs="Times New Roman"/>
          <w:noProof/>
          <w:sz w:val="24"/>
        </w:rPr>
      </w:pPr>
      <w:r>
        <w:rPr>
          <w:rFonts w:ascii="Times New Roman" w:hAnsi="Times New Roman"/>
          <w:noProof/>
          <w:sz w:val="24"/>
        </w:rPr>
        <w:t xml:space="preserve">Целта на тази реформа е да се подобри достъпността, ефективността и предвидимостта на съдебната система. </w:t>
      </w:r>
    </w:p>
    <w:p w14:paraId="76E5A801" w14:textId="77777777" w:rsidR="00A17CA8" w:rsidRPr="00A17CA8" w:rsidRDefault="00A17CA8" w:rsidP="00A17CA8">
      <w:pPr>
        <w:spacing w:before="120" w:after="120" w:line="240" w:lineRule="auto"/>
        <w:ind w:left="850"/>
        <w:jc w:val="both"/>
        <w:rPr>
          <w:rFonts w:ascii="Times New Roman" w:eastAsia="Calibri" w:hAnsi="Times New Roman" w:cs="Times New Roman"/>
          <w:noProof/>
          <w:sz w:val="24"/>
        </w:rPr>
      </w:pPr>
      <w:r>
        <w:rPr>
          <w:rFonts w:ascii="Times New Roman" w:hAnsi="Times New Roman"/>
          <w:noProof/>
          <w:sz w:val="24"/>
        </w:rPr>
        <w:t xml:space="preserve">Реформата включва годишни анализи на прилагането на правилата за електронно правосъдие, предвидени в Гражданския процесуален кодекс и Наказателно-процесуалния кодекс, в т.ч. на правилата за връчване на съобщения и призовки на електронен адрес, възможност за заплащане на такси и други задължения към съда по електронен път, изготвяне на съдебните актове като електронен документ и подписването им с квалифициран електронен подпис, упражняване на процесуални права и извършване на процесуални действия в електронна форма, както и дистанционно провеждане на съдебни заседания. </w:t>
      </w:r>
    </w:p>
    <w:p w14:paraId="636B1769" w14:textId="77777777" w:rsidR="00A17CA8" w:rsidRPr="00A17CA8" w:rsidRDefault="00A17CA8" w:rsidP="00A17CA8">
      <w:pPr>
        <w:spacing w:before="120" w:after="120" w:line="240" w:lineRule="auto"/>
        <w:ind w:left="850"/>
        <w:jc w:val="both"/>
        <w:rPr>
          <w:rFonts w:ascii="Times New Roman" w:eastAsia="Calibri" w:hAnsi="Times New Roman" w:cs="Times New Roman"/>
          <w:noProof/>
          <w:sz w:val="24"/>
        </w:rPr>
      </w:pPr>
      <w:r>
        <w:rPr>
          <w:rFonts w:ascii="Times New Roman" w:hAnsi="Times New Roman"/>
          <w:noProof/>
          <w:sz w:val="24"/>
        </w:rPr>
        <w:t xml:space="preserve">Реформата включва още законодателни изменения на Административнопроцесуалния кодекс, които позволяват изготвянето на съдебни актове като електронни документи и подписването им с квалифициран електронен подпис. Освен това тя дава възможност за подаване на документи по електронен път и дистанционно провеждане на съдебни заседания. </w:t>
      </w:r>
    </w:p>
    <w:p w14:paraId="1E6E0A76" w14:textId="77777777" w:rsidR="00A17CA8" w:rsidRPr="00A17CA8" w:rsidRDefault="00A17CA8" w:rsidP="00A17CA8">
      <w:pPr>
        <w:spacing w:before="120" w:after="120" w:line="240" w:lineRule="auto"/>
        <w:ind w:left="850"/>
        <w:jc w:val="both"/>
        <w:rPr>
          <w:rFonts w:ascii="Times New Roman" w:eastAsia="Calibri" w:hAnsi="Times New Roman" w:cs="Times New Roman"/>
          <w:noProof/>
          <w:sz w:val="24"/>
        </w:rPr>
      </w:pPr>
      <w:r>
        <w:rPr>
          <w:rFonts w:ascii="Times New Roman" w:hAnsi="Times New Roman"/>
          <w:noProof/>
          <w:sz w:val="24"/>
        </w:rPr>
        <w:t>Очаква се тези мерки да допринесат за инвестиции 1 и 2 във връзка с цифровизацията на правосъдието.</w:t>
      </w:r>
    </w:p>
    <w:p w14:paraId="7E94193F" w14:textId="77777777" w:rsidR="00A17CA8" w:rsidRPr="00A17CA8" w:rsidRDefault="00A17CA8" w:rsidP="00A17CA8">
      <w:pPr>
        <w:spacing w:before="120" w:after="120" w:line="240" w:lineRule="auto"/>
        <w:ind w:left="850"/>
        <w:jc w:val="both"/>
        <w:rPr>
          <w:rFonts w:ascii="Times New Roman" w:eastAsia="Calibri" w:hAnsi="Times New Roman" w:cs="Times New Roman"/>
          <w:noProof/>
          <w:sz w:val="24"/>
        </w:rPr>
      </w:pPr>
      <w:r>
        <w:rPr>
          <w:rFonts w:ascii="Times New Roman" w:hAnsi="Times New Roman"/>
          <w:noProof/>
          <w:sz w:val="24"/>
        </w:rPr>
        <w:t>За да се подобри достъпът до правосъдие, реформата включва законодателни мерки за разширяване на обхвата на безплатната правна помощ и освобождаването от съдебни такси.</w:t>
      </w:r>
    </w:p>
    <w:p w14:paraId="12997190" w14:textId="77777777" w:rsidR="00A17CA8" w:rsidRPr="00A17CA8" w:rsidRDefault="00A17CA8" w:rsidP="00A17CA8">
      <w:pPr>
        <w:spacing w:before="120" w:after="120" w:line="240" w:lineRule="auto"/>
        <w:ind w:left="850"/>
        <w:jc w:val="both"/>
        <w:rPr>
          <w:rFonts w:ascii="Times New Roman" w:eastAsia="Calibri" w:hAnsi="Times New Roman" w:cs="Times New Roman"/>
          <w:noProof/>
          <w:sz w:val="24"/>
          <w:u w:val="single"/>
        </w:rPr>
      </w:pPr>
      <w:r>
        <w:rPr>
          <w:rFonts w:ascii="Times New Roman" w:hAnsi="Times New Roman"/>
          <w:noProof/>
          <w:sz w:val="24"/>
        </w:rPr>
        <w:t>Накрая, реформата включва приемането на пътна карта за изпълнението на решенията на Европейския съд по правата на човека, в която са посочени конкретни мерки, срокове и отговорни институции.</w:t>
      </w:r>
    </w:p>
    <w:p w14:paraId="23A6558A" w14:textId="3B7F5A6E" w:rsidR="00A17CA8" w:rsidRPr="00A17CA8" w:rsidRDefault="00A17CA8" w:rsidP="00A17CA8">
      <w:pPr>
        <w:spacing w:before="120" w:after="120" w:line="240" w:lineRule="auto"/>
        <w:ind w:left="850"/>
        <w:jc w:val="both"/>
        <w:rPr>
          <w:rFonts w:ascii="Times New Roman" w:eastAsia="Calibri" w:hAnsi="Times New Roman" w:cs="Times New Roman"/>
          <w:noProof/>
          <w:sz w:val="24"/>
          <w:u w:val="single"/>
        </w:rPr>
      </w:pPr>
      <w:r>
        <w:rPr>
          <w:rFonts w:ascii="Times New Roman" w:hAnsi="Times New Roman"/>
          <w:noProof/>
          <w:sz w:val="24"/>
        </w:rPr>
        <w:t>Изпълнението на реформата ще приключи до 31 март 2026 г.</w:t>
      </w:r>
    </w:p>
    <w:p w14:paraId="3F2C59C3" w14:textId="1978C0AD" w:rsidR="00A17CA8" w:rsidRPr="00A17CA8" w:rsidRDefault="00A17CA8" w:rsidP="00A17CA8">
      <w:pPr>
        <w:spacing w:before="120" w:after="120" w:line="240" w:lineRule="auto"/>
        <w:ind w:left="850"/>
        <w:jc w:val="both"/>
        <w:rPr>
          <w:rFonts w:ascii="Times New Roman" w:eastAsia="Calibri" w:hAnsi="Times New Roman" w:cs="Times New Roman"/>
          <w:noProof/>
          <w:sz w:val="24"/>
          <w:u w:val="single"/>
        </w:rPr>
      </w:pPr>
      <w:r>
        <w:rPr>
          <w:rFonts w:ascii="Times New Roman" w:hAnsi="Times New Roman"/>
          <w:noProof/>
          <w:sz w:val="24"/>
          <w:u w:val="single"/>
        </w:rPr>
        <w:t>Реформа 2 (К10.Р2): Противодействие на корупцията</w:t>
      </w:r>
    </w:p>
    <w:p w14:paraId="237C6462" w14:textId="77777777" w:rsidR="00A17CA8" w:rsidRPr="00A17CA8" w:rsidRDefault="00A17CA8" w:rsidP="00A17CA8">
      <w:pPr>
        <w:spacing w:before="120" w:after="120" w:line="240" w:lineRule="auto"/>
        <w:ind w:left="850"/>
        <w:jc w:val="both"/>
        <w:rPr>
          <w:rFonts w:ascii="Times New Roman" w:eastAsia="Calibri" w:hAnsi="Times New Roman" w:cs="Times New Roman"/>
          <w:noProof/>
          <w:sz w:val="24"/>
        </w:rPr>
      </w:pPr>
      <w:r>
        <w:rPr>
          <w:rFonts w:ascii="Times New Roman" w:hAnsi="Times New Roman"/>
          <w:noProof/>
          <w:sz w:val="24"/>
        </w:rPr>
        <w:t xml:space="preserve">Целта на тази реформа е да продължи борбата с корупцията на всички равнища на публичната администрация, съдебната система и прокуратурата. </w:t>
      </w:r>
    </w:p>
    <w:p w14:paraId="7623D592" w14:textId="77777777" w:rsidR="00A17CA8" w:rsidRPr="00A17CA8" w:rsidRDefault="00A17CA8" w:rsidP="00A17CA8">
      <w:pPr>
        <w:spacing w:before="120" w:after="120" w:line="240" w:lineRule="auto"/>
        <w:ind w:left="850"/>
        <w:jc w:val="both"/>
        <w:rPr>
          <w:rFonts w:ascii="Times New Roman" w:eastAsia="Calibri" w:hAnsi="Times New Roman" w:cs="Times New Roman"/>
          <w:noProof/>
          <w:sz w:val="24"/>
        </w:rPr>
      </w:pPr>
      <w:r>
        <w:rPr>
          <w:rFonts w:ascii="Times New Roman" w:hAnsi="Times New Roman"/>
          <w:noProof/>
          <w:sz w:val="24"/>
        </w:rPr>
        <w:t>По-специално чрез тази реформа ще се:</w:t>
      </w:r>
    </w:p>
    <w:p w14:paraId="57C5374D" w14:textId="4581B8A0" w:rsidR="00A17CA8" w:rsidRPr="00A17CA8" w:rsidRDefault="00A17CA8" w:rsidP="00A17CA8">
      <w:pPr>
        <w:pStyle w:val="ListParagraph"/>
        <w:numPr>
          <w:ilvl w:val="0"/>
          <w:numId w:val="37"/>
        </w:numPr>
        <w:spacing w:before="120" w:after="120" w:line="240" w:lineRule="auto"/>
        <w:jc w:val="both"/>
        <w:rPr>
          <w:rFonts w:ascii="Times New Roman" w:eastAsia="Calibri" w:hAnsi="Times New Roman" w:cs="Times New Roman"/>
          <w:noProof/>
          <w:sz w:val="24"/>
        </w:rPr>
      </w:pPr>
      <w:r>
        <w:rPr>
          <w:rFonts w:ascii="Times New Roman" w:hAnsi="Times New Roman"/>
          <w:noProof/>
          <w:sz w:val="24"/>
        </w:rPr>
        <w:t>гарантира, че членовете на Гражданския съвет на Националния съвет за антикорупционни политики следят изпълнението на националната стратегия за превенция и противодействие на корупцията и свързаната с нея пътна карта;</w:t>
      </w:r>
    </w:p>
    <w:p w14:paraId="43E76927" w14:textId="77777777" w:rsidR="00A17CA8" w:rsidRPr="00A17CA8" w:rsidRDefault="00A17CA8" w:rsidP="00A17CA8">
      <w:pPr>
        <w:numPr>
          <w:ilvl w:val="0"/>
          <w:numId w:val="37"/>
        </w:numPr>
        <w:spacing w:before="120" w:after="120" w:line="240" w:lineRule="auto"/>
        <w:contextualSpacing/>
        <w:jc w:val="both"/>
        <w:rPr>
          <w:rFonts w:ascii="Times New Roman" w:eastAsia="Calibri" w:hAnsi="Times New Roman" w:cs="Times New Roman"/>
          <w:noProof/>
          <w:sz w:val="24"/>
          <w:u w:val="single"/>
        </w:rPr>
      </w:pPr>
      <w:r>
        <w:rPr>
          <w:rFonts w:ascii="Times New Roman" w:hAnsi="Times New Roman"/>
          <w:noProof/>
          <w:sz w:val="24"/>
        </w:rPr>
        <w:t>изгради електронна платформа за обмен на информация, за да се улесни проверката на декларациите за имущество и интереси и установяването на конфликти на интереси;</w:t>
      </w:r>
    </w:p>
    <w:p w14:paraId="1FB9D164" w14:textId="77777777" w:rsidR="00A17CA8" w:rsidRPr="00A17CA8" w:rsidRDefault="00A17CA8" w:rsidP="00A17CA8">
      <w:pPr>
        <w:pStyle w:val="ListParagraph"/>
        <w:numPr>
          <w:ilvl w:val="0"/>
          <w:numId w:val="37"/>
        </w:numPr>
        <w:spacing w:after="0" w:line="240" w:lineRule="auto"/>
        <w:jc w:val="both"/>
        <w:rPr>
          <w:rFonts w:ascii="Times New Roman" w:eastAsia="Calibri" w:hAnsi="Times New Roman" w:cs="Times New Roman"/>
          <w:noProof/>
          <w:sz w:val="24"/>
          <w:szCs w:val="24"/>
        </w:rPr>
      </w:pPr>
      <w:r>
        <w:rPr>
          <w:rFonts w:ascii="Times New Roman" w:hAnsi="Times New Roman"/>
          <w:noProof/>
          <w:sz w:val="24"/>
        </w:rPr>
        <w:t>укрепи капацитетът на Инспектората към Висшия съдебен съвет за превенция и противодействие на корупцията чрез преглед на етичните насоки и провеждане на обучения. Това не води до увеличаване на дисциплинарните правомощия на Инспектората. Преди да преразгледа насоките и да организира обученията, Инспекторатът ще проведе консултации с Венецианската комисия;</w:t>
      </w:r>
    </w:p>
    <w:p w14:paraId="36A2A319" w14:textId="77777777" w:rsidR="00A17CA8" w:rsidRPr="00A17CA8" w:rsidRDefault="00A17CA8" w:rsidP="00A17CA8">
      <w:pPr>
        <w:pStyle w:val="ListParagraph"/>
        <w:numPr>
          <w:ilvl w:val="0"/>
          <w:numId w:val="37"/>
        </w:numPr>
        <w:spacing w:before="120" w:after="120" w:line="240" w:lineRule="auto"/>
        <w:jc w:val="both"/>
        <w:rPr>
          <w:rFonts w:ascii="Times New Roman" w:eastAsia="Calibri" w:hAnsi="Times New Roman" w:cs="Times New Roman"/>
          <w:noProof/>
          <w:sz w:val="24"/>
          <w:u w:val="single"/>
        </w:rPr>
      </w:pPr>
      <w:r>
        <w:rPr>
          <w:rFonts w:ascii="Times New Roman" w:hAnsi="Times New Roman"/>
          <w:noProof/>
          <w:sz w:val="24"/>
        </w:rPr>
        <w:t>повиши интегритетът на служителите в държавната администрация чрез прилагане на механизъм за проверка на интегритета за служители в администрацията, заемащи длъжности с висок корупционен риск;</w:t>
      </w:r>
    </w:p>
    <w:p w14:paraId="1857D1A6" w14:textId="77777777" w:rsidR="00A17CA8" w:rsidRPr="00A17CA8" w:rsidRDefault="00A17CA8" w:rsidP="00A17CA8">
      <w:pPr>
        <w:pStyle w:val="ListParagraph"/>
        <w:numPr>
          <w:ilvl w:val="0"/>
          <w:numId w:val="37"/>
        </w:numPr>
        <w:spacing w:before="120" w:after="120" w:line="240" w:lineRule="auto"/>
        <w:jc w:val="both"/>
        <w:rPr>
          <w:rFonts w:ascii="Times New Roman" w:eastAsia="Calibri" w:hAnsi="Times New Roman" w:cs="Times New Roman"/>
          <w:noProof/>
          <w:sz w:val="24"/>
          <w:u w:val="single"/>
        </w:rPr>
      </w:pPr>
      <w:r>
        <w:rPr>
          <w:rFonts w:ascii="Times New Roman" w:hAnsi="Times New Roman"/>
          <w:noProof/>
          <w:sz w:val="24"/>
        </w:rPr>
        <w:t>въведат инструменти за противодействие на корупцията и насърчаване на почтеността в държавните предприятия чрез приемането на Кодекс за етично поведение, въвеждането на системи за управление на корупционния риск и мерки за повишаване на прозрачността;</w:t>
      </w:r>
    </w:p>
    <w:p w14:paraId="7C127F6E" w14:textId="77777777" w:rsidR="00A17CA8" w:rsidRPr="00A17CA8" w:rsidRDefault="00A17CA8" w:rsidP="00A17CA8">
      <w:pPr>
        <w:pStyle w:val="ListParagraph"/>
        <w:numPr>
          <w:ilvl w:val="0"/>
          <w:numId w:val="37"/>
        </w:numPr>
        <w:spacing w:before="120" w:after="120" w:line="240" w:lineRule="auto"/>
        <w:jc w:val="both"/>
        <w:rPr>
          <w:rFonts w:ascii="Times New Roman" w:eastAsia="Calibri" w:hAnsi="Times New Roman" w:cs="Times New Roman"/>
          <w:noProof/>
          <w:sz w:val="24"/>
          <w:u w:val="single"/>
        </w:rPr>
      </w:pPr>
      <w:r>
        <w:rPr>
          <w:rFonts w:ascii="Times New Roman" w:hAnsi="Times New Roman"/>
          <w:noProof/>
          <w:sz w:val="24"/>
        </w:rPr>
        <w:t>създаде орган за борба с корупцията, въз основа на съществуващата Комисия за противодействие на корупцията и за отнемане на незаконно придобитото имущество, с правомощия да разследва и използва доказателствата, които събира в наказателното производство, при спазване на подходящи правни гаранции за правата и свободите на физическите лица и предприятията.</w:t>
      </w:r>
    </w:p>
    <w:p w14:paraId="6CAF8CA7" w14:textId="1FBCF944" w:rsidR="00A17CA8" w:rsidRPr="00A17CA8" w:rsidRDefault="00A17CA8" w:rsidP="00A17CA8">
      <w:pPr>
        <w:spacing w:before="120" w:after="120" w:line="240" w:lineRule="auto"/>
        <w:ind w:left="850"/>
        <w:jc w:val="both"/>
        <w:rPr>
          <w:rFonts w:ascii="Times New Roman" w:eastAsia="Calibri" w:hAnsi="Times New Roman" w:cs="Times New Roman"/>
          <w:noProof/>
          <w:sz w:val="24"/>
        </w:rPr>
      </w:pPr>
      <w:r>
        <w:rPr>
          <w:rFonts w:ascii="Times New Roman" w:hAnsi="Times New Roman"/>
          <w:noProof/>
          <w:sz w:val="24"/>
        </w:rPr>
        <w:t>С цел да се гарантира ефективността на наказателните разследвания и отчетността и наказателната отговорност на главния прокурор, с реформата ще се:</w:t>
      </w:r>
    </w:p>
    <w:p w14:paraId="25B3DFE0" w14:textId="77777777" w:rsidR="00A17CA8" w:rsidRPr="00A17CA8" w:rsidRDefault="00A17CA8" w:rsidP="00A17CA8">
      <w:pPr>
        <w:pStyle w:val="ListParagraph"/>
        <w:numPr>
          <w:ilvl w:val="0"/>
          <w:numId w:val="38"/>
        </w:numPr>
        <w:spacing w:before="120" w:after="120" w:line="240" w:lineRule="auto"/>
        <w:jc w:val="both"/>
        <w:rPr>
          <w:rFonts w:ascii="Times New Roman" w:eastAsia="Calibri" w:hAnsi="Times New Roman" w:cs="Times New Roman"/>
          <w:noProof/>
          <w:sz w:val="24"/>
          <w:u w:val="single"/>
        </w:rPr>
      </w:pPr>
      <w:r>
        <w:rPr>
          <w:rFonts w:ascii="Times New Roman" w:hAnsi="Times New Roman"/>
          <w:noProof/>
          <w:sz w:val="24"/>
        </w:rPr>
        <w:t>въведе възможност за съдебен контрол върху постановлението на прокурора за отказ да образува наказателно производство и други мерки;</w:t>
      </w:r>
    </w:p>
    <w:p w14:paraId="00A05BF0" w14:textId="4BB4D834" w:rsidR="00A17CA8" w:rsidRPr="00A17CA8" w:rsidRDefault="00A17CA8" w:rsidP="64567C5C">
      <w:pPr>
        <w:pStyle w:val="ListParagraph"/>
        <w:numPr>
          <w:ilvl w:val="0"/>
          <w:numId w:val="38"/>
        </w:numPr>
        <w:spacing w:before="120" w:after="120" w:line="240" w:lineRule="auto"/>
        <w:jc w:val="both"/>
        <w:rPr>
          <w:rFonts w:ascii="Times New Roman" w:eastAsia="Calibri" w:hAnsi="Times New Roman" w:cs="Times New Roman"/>
          <w:noProof/>
          <w:sz w:val="24"/>
          <w:szCs w:val="24"/>
          <w:u w:val="single"/>
        </w:rPr>
      </w:pPr>
      <w:r>
        <w:rPr>
          <w:rFonts w:ascii="Times New Roman" w:hAnsi="Times New Roman"/>
          <w:noProof/>
          <w:sz w:val="24"/>
        </w:rPr>
        <w:t>ограничат правомощията на главния прокурор във връзка с надзора на законосъобразността на дейностите на прокурорите чрез въвеждане на съдебен контрол на прокурорските актове и въведе годишна отчетност от главния прокурор по отношение на разследванията и осъдителните присъди по дела за корупция;</w:t>
      </w:r>
    </w:p>
    <w:p w14:paraId="22F3A536" w14:textId="2FB36E3C" w:rsidR="00A17CA8" w:rsidRPr="00A17CA8" w:rsidRDefault="00A17CA8" w:rsidP="00A17CA8">
      <w:pPr>
        <w:pStyle w:val="ListParagraph"/>
        <w:numPr>
          <w:ilvl w:val="0"/>
          <w:numId w:val="38"/>
        </w:numPr>
        <w:spacing w:before="120" w:after="120" w:line="240" w:lineRule="auto"/>
        <w:jc w:val="both"/>
        <w:rPr>
          <w:rFonts w:ascii="Times New Roman" w:eastAsia="Calibri" w:hAnsi="Times New Roman" w:cs="Times New Roman"/>
          <w:noProof/>
          <w:sz w:val="24"/>
        </w:rPr>
      </w:pPr>
      <w:r>
        <w:rPr>
          <w:rFonts w:ascii="Times New Roman" w:hAnsi="Times New Roman"/>
          <w:noProof/>
          <w:sz w:val="24"/>
        </w:rPr>
        <w:t>осигурят необходимите предпазни мерки и гаранции за независимост на разследванията на главния прокурор и неговите заместници.</w:t>
      </w:r>
    </w:p>
    <w:p w14:paraId="7815C3BC" w14:textId="77777777" w:rsidR="00A17CA8" w:rsidRPr="008A0F8A" w:rsidRDefault="00A17CA8" w:rsidP="00A17CA8">
      <w:pPr>
        <w:pStyle w:val="ListParagraph"/>
        <w:rPr>
          <w:rFonts w:ascii="Times New Roman" w:eastAsia="Calibri" w:hAnsi="Times New Roman" w:cs="Times New Roman"/>
          <w:noProof/>
          <w:sz w:val="24"/>
          <w:lang w:val="ru-RU"/>
        </w:rPr>
      </w:pPr>
    </w:p>
    <w:p w14:paraId="7602F4B3" w14:textId="77777777" w:rsidR="00A17CA8" w:rsidRPr="00A17CA8" w:rsidRDefault="00A17CA8" w:rsidP="00A17CA8">
      <w:pPr>
        <w:pStyle w:val="ListParagraph"/>
        <w:ind w:left="850"/>
        <w:rPr>
          <w:rFonts w:ascii="Times New Roman" w:eastAsia="Calibri" w:hAnsi="Times New Roman" w:cs="Times New Roman"/>
          <w:noProof/>
          <w:sz w:val="24"/>
        </w:rPr>
      </w:pPr>
      <w:r>
        <w:rPr>
          <w:rFonts w:ascii="Times New Roman" w:hAnsi="Times New Roman"/>
          <w:noProof/>
          <w:sz w:val="24"/>
        </w:rPr>
        <w:t>Накрая, реформата включва законодателни мерки за защита на лицата, които подават сигнали за нарушения, и за уреждане на лобистките дейности в контекста на общественото вземане на решения.</w:t>
      </w:r>
    </w:p>
    <w:p w14:paraId="6A7260C0" w14:textId="77777777" w:rsidR="00A17CA8" w:rsidRPr="008A0F8A" w:rsidRDefault="00A17CA8" w:rsidP="00A17CA8">
      <w:pPr>
        <w:pStyle w:val="ListParagraph"/>
        <w:ind w:left="850"/>
        <w:rPr>
          <w:rFonts w:ascii="Times New Roman" w:eastAsia="Calibri" w:hAnsi="Times New Roman" w:cs="Times New Roman"/>
          <w:noProof/>
          <w:sz w:val="24"/>
          <w:lang w:val="ru-RU"/>
        </w:rPr>
      </w:pPr>
    </w:p>
    <w:p w14:paraId="40F68AFA" w14:textId="6AE1A90F" w:rsidR="00A17CA8" w:rsidRPr="00A17CA8" w:rsidRDefault="00A17CA8" w:rsidP="00A17CA8">
      <w:pPr>
        <w:pStyle w:val="ListParagraph"/>
        <w:ind w:left="850"/>
        <w:rPr>
          <w:rFonts w:ascii="Times New Roman" w:eastAsia="Calibri" w:hAnsi="Times New Roman" w:cs="Times New Roman"/>
          <w:noProof/>
          <w:sz w:val="24"/>
        </w:rPr>
      </w:pPr>
      <w:r>
        <w:rPr>
          <w:rFonts w:ascii="Times New Roman" w:hAnsi="Times New Roman"/>
          <w:noProof/>
          <w:sz w:val="24"/>
        </w:rPr>
        <w:t>Изпълнението на реформата ще приключи до 31 март 2026 г.</w:t>
      </w:r>
    </w:p>
    <w:p w14:paraId="4D3E81DF" w14:textId="77777777" w:rsidR="00A17CA8" w:rsidRPr="008A0F8A" w:rsidRDefault="00A17CA8" w:rsidP="00A17CA8">
      <w:pPr>
        <w:pStyle w:val="ListParagraph"/>
        <w:spacing w:before="120" w:after="120"/>
        <w:ind w:left="850"/>
        <w:rPr>
          <w:rFonts w:ascii="Times New Roman" w:eastAsia="Calibri" w:hAnsi="Times New Roman" w:cs="Times New Roman"/>
          <w:noProof/>
          <w:sz w:val="24"/>
          <w:lang w:val="ru-RU"/>
        </w:rPr>
      </w:pPr>
    </w:p>
    <w:p w14:paraId="720914CF" w14:textId="62D8EF06" w:rsidR="00A17CA8" w:rsidRPr="00A17CA8" w:rsidRDefault="00A17CA8" w:rsidP="00A17CA8">
      <w:pPr>
        <w:pStyle w:val="ListParagraph"/>
        <w:spacing w:before="120" w:after="120"/>
        <w:ind w:left="851"/>
        <w:contextualSpacing w:val="0"/>
        <w:jc w:val="both"/>
        <w:rPr>
          <w:rFonts w:ascii="Times New Roman" w:eastAsia="Calibri" w:hAnsi="Times New Roman" w:cs="Times New Roman"/>
          <w:noProof/>
          <w:sz w:val="24"/>
          <w:u w:val="single"/>
        </w:rPr>
      </w:pPr>
      <w:r>
        <w:rPr>
          <w:rFonts w:ascii="Times New Roman" w:hAnsi="Times New Roman"/>
          <w:noProof/>
          <w:sz w:val="24"/>
          <w:u w:val="single"/>
        </w:rPr>
        <w:t>Реформа 3 (К10.Р3): Въвеждане на задължителна съдебна медиация</w:t>
      </w:r>
    </w:p>
    <w:p w14:paraId="6170505E" w14:textId="1198C70C" w:rsidR="00A17CA8" w:rsidRPr="00A17CA8" w:rsidRDefault="00A17CA8" w:rsidP="00A17CA8">
      <w:pPr>
        <w:pStyle w:val="ListParagraph"/>
        <w:spacing w:before="120" w:after="120"/>
        <w:ind w:left="851"/>
        <w:contextualSpacing w:val="0"/>
        <w:jc w:val="both"/>
        <w:rPr>
          <w:rFonts w:ascii="Times New Roman" w:eastAsia="Calibri" w:hAnsi="Times New Roman" w:cs="Times New Roman"/>
          <w:noProof/>
          <w:sz w:val="24"/>
        </w:rPr>
      </w:pPr>
      <w:r>
        <w:rPr>
          <w:rFonts w:ascii="Times New Roman" w:hAnsi="Times New Roman"/>
          <w:noProof/>
          <w:sz w:val="24"/>
        </w:rPr>
        <w:t>Целта на тази реформа е да се въведе задължителна медия по някои граждански и търговски дела.</w:t>
      </w:r>
    </w:p>
    <w:p w14:paraId="2CC81A10" w14:textId="256084B5" w:rsidR="00A17CA8" w:rsidRPr="00A17CA8" w:rsidRDefault="00A17CA8" w:rsidP="00A17CA8">
      <w:pPr>
        <w:pStyle w:val="ListParagraph"/>
        <w:spacing w:before="120" w:after="120"/>
        <w:ind w:left="851"/>
        <w:contextualSpacing w:val="0"/>
        <w:jc w:val="both"/>
        <w:rPr>
          <w:rFonts w:ascii="Times New Roman" w:eastAsia="Calibri" w:hAnsi="Times New Roman" w:cs="Times New Roman"/>
          <w:noProof/>
          <w:sz w:val="24"/>
        </w:rPr>
      </w:pPr>
      <w:r>
        <w:rPr>
          <w:rFonts w:ascii="Times New Roman" w:hAnsi="Times New Roman"/>
          <w:noProof/>
          <w:sz w:val="24"/>
        </w:rPr>
        <w:t>Това се постига чрез приемане на законови изменения в Гражданския процесуален кодекс и в Закона за медиацията, които предвиждат правно задължение за страните по определени граждански и търговски спорове да участват в съдебна медиация.</w:t>
      </w:r>
      <w:r>
        <w:rPr>
          <w:noProof/>
        </w:rPr>
        <w:t xml:space="preserve"> </w:t>
      </w:r>
    </w:p>
    <w:p w14:paraId="139CB194" w14:textId="565ACA96" w:rsidR="00A17CA8" w:rsidRPr="00A17CA8" w:rsidRDefault="00A17CA8" w:rsidP="00A17CA8">
      <w:pPr>
        <w:spacing w:before="120" w:after="120" w:line="240" w:lineRule="auto"/>
        <w:ind w:left="850"/>
        <w:jc w:val="both"/>
        <w:rPr>
          <w:rFonts w:ascii="Times New Roman" w:eastAsia="Calibri" w:hAnsi="Times New Roman" w:cs="Times New Roman"/>
          <w:noProof/>
          <w:sz w:val="24"/>
        </w:rPr>
      </w:pPr>
      <w:r>
        <w:rPr>
          <w:rFonts w:ascii="Times New Roman" w:hAnsi="Times New Roman"/>
          <w:noProof/>
          <w:sz w:val="24"/>
        </w:rPr>
        <w:t>Изпълнението на реформата ще приключи до 31 декември 2022 г.</w:t>
      </w:r>
    </w:p>
    <w:p w14:paraId="7D554577" w14:textId="6A367D05" w:rsidR="00A17CA8" w:rsidRPr="00A17CA8" w:rsidRDefault="00A17CA8" w:rsidP="00A17CA8">
      <w:pPr>
        <w:spacing w:before="120" w:after="120" w:line="240" w:lineRule="auto"/>
        <w:ind w:left="850"/>
        <w:jc w:val="both"/>
        <w:rPr>
          <w:rFonts w:ascii="Times New Roman" w:eastAsia="Calibri" w:hAnsi="Times New Roman" w:cs="Times New Roman"/>
          <w:noProof/>
          <w:sz w:val="24"/>
          <w:u w:val="single"/>
        </w:rPr>
      </w:pPr>
      <w:r>
        <w:rPr>
          <w:rFonts w:ascii="Times New Roman" w:hAnsi="Times New Roman"/>
          <w:noProof/>
          <w:sz w:val="24"/>
          <w:u w:val="single"/>
        </w:rPr>
        <w:t xml:space="preserve">Реформа 4 (К10.Р4): Укрепване на производствата по несъстоятелност </w:t>
      </w:r>
    </w:p>
    <w:p w14:paraId="4B56EA1B" w14:textId="17E80CB3" w:rsidR="00A17CA8" w:rsidRPr="00A17CA8" w:rsidRDefault="00A17CA8" w:rsidP="00A17CA8">
      <w:pPr>
        <w:spacing w:before="120" w:after="120" w:line="240" w:lineRule="auto"/>
        <w:ind w:left="850"/>
        <w:jc w:val="both"/>
        <w:rPr>
          <w:rFonts w:ascii="Times New Roman" w:eastAsia="Calibri" w:hAnsi="Times New Roman" w:cs="Times New Roman"/>
          <w:noProof/>
          <w:sz w:val="24"/>
        </w:rPr>
      </w:pPr>
      <w:r>
        <w:rPr>
          <w:rFonts w:ascii="Times New Roman" w:hAnsi="Times New Roman"/>
          <w:noProof/>
          <w:sz w:val="24"/>
        </w:rPr>
        <w:t>Целта на тази реформа е да се повиши ефективността на производствата по несъстоятелност и преструктуриране.</w:t>
      </w:r>
    </w:p>
    <w:p w14:paraId="605FDBA8" w14:textId="77777777" w:rsidR="00A17CA8" w:rsidRPr="00A17CA8" w:rsidRDefault="00A17CA8" w:rsidP="00A17CA8">
      <w:pPr>
        <w:spacing w:before="120" w:after="120" w:line="240" w:lineRule="auto"/>
        <w:ind w:left="850"/>
        <w:jc w:val="both"/>
        <w:rPr>
          <w:noProof/>
        </w:rPr>
      </w:pPr>
      <w:r>
        <w:rPr>
          <w:rFonts w:ascii="Times New Roman" w:hAnsi="Times New Roman"/>
          <w:noProof/>
          <w:sz w:val="24"/>
        </w:rPr>
        <w:t>Това се постига чрез приемане на законодателни изменения в Търговския закон за транспониране на Директива (ЕС) 2019/1023, за да се реформират производствата по несъстоятелност и преструктуриране и да се гарантира използването на електронни средства в производствата по несъстоятелност, преструктуриране и опрощаване на задълженията, както и да се предвиди по-строго регулиране на професията на синдиците, инструменти за ранно предупреждение, задължения на директорите при вероятност от неплатежоспособност и правни гаранции, че при регистрирането на дружествата търговците регистрират действителни адреси за управление.</w:t>
      </w:r>
    </w:p>
    <w:p w14:paraId="587AB1AB" w14:textId="77777777" w:rsidR="00A17CA8" w:rsidRPr="00A17CA8" w:rsidRDefault="00A17CA8" w:rsidP="00A17CA8">
      <w:pPr>
        <w:spacing w:before="120" w:after="120" w:line="240" w:lineRule="auto"/>
        <w:ind w:left="850"/>
        <w:jc w:val="both"/>
        <w:rPr>
          <w:rFonts w:ascii="Times New Roman" w:eastAsia="Calibri" w:hAnsi="Times New Roman" w:cs="Times New Roman"/>
          <w:noProof/>
          <w:sz w:val="24"/>
        </w:rPr>
      </w:pPr>
      <w:r>
        <w:rPr>
          <w:rFonts w:ascii="Times New Roman" w:hAnsi="Times New Roman"/>
          <w:noProof/>
          <w:sz w:val="24"/>
        </w:rPr>
        <w:t>Реформата обхваща и мерки за изпълнение, включително обучения относно новата уредба на несъстоятелността за синдици и съдии, електронни инструменти за целите на комуникацията по време на производствата по несъстоятелност и преструктуриране, приемане на наръчници, кодекси, образци и насоки относно различните производства, както и събиране и публикуване на статистически данни.</w:t>
      </w:r>
    </w:p>
    <w:p w14:paraId="75FECDB3" w14:textId="0AB02DDC" w:rsidR="00A17CA8" w:rsidRPr="00A17CA8" w:rsidRDefault="00A17CA8" w:rsidP="00A17CA8">
      <w:pPr>
        <w:spacing w:before="120" w:after="120" w:line="240" w:lineRule="auto"/>
        <w:ind w:left="850"/>
        <w:jc w:val="both"/>
        <w:rPr>
          <w:rFonts w:ascii="Times New Roman" w:eastAsia="Calibri" w:hAnsi="Times New Roman" w:cs="Times New Roman"/>
          <w:noProof/>
          <w:sz w:val="24"/>
        </w:rPr>
      </w:pPr>
      <w:r>
        <w:rPr>
          <w:rFonts w:ascii="Times New Roman" w:hAnsi="Times New Roman"/>
          <w:noProof/>
          <w:sz w:val="24"/>
        </w:rPr>
        <w:t>Изпълнението на реформата ще приключи до 30 юни 2023 г.</w:t>
      </w:r>
    </w:p>
    <w:p w14:paraId="4B265166" w14:textId="0E22DDE1" w:rsidR="00A17CA8" w:rsidRPr="00A17CA8" w:rsidRDefault="00A17CA8" w:rsidP="00A17CA8">
      <w:pPr>
        <w:spacing w:before="120" w:after="120" w:line="240" w:lineRule="auto"/>
        <w:ind w:left="850"/>
        <w:jc w:val="both"/>
        <w:rPr>
          <w:rFonts w:ascii="Times New Roman" w:eastAsia="Calibri" w:hAnsi="Times New Roman" w:cs="Times New Roman"/>
          <w:noProof/>
          <w:sz w:val="24"/>
          <w:u w:val="single"/>
        </w:rPr>
      </w:pPr>
      <w:r>
        <w:rPr>
          <w:rFonts w:ascii="Times New Roman" w:hAnsi="Times New Roman"/>
          <w:noProof/>
          <w:sz w:val="24"/>
          <w:u w:val="single"/>
        </w:rPr>
        <w:t>Реформа 5 (К10.Р5): Цифрова реформа на българския строителен сектор</w:t>
      </w:r>
    </w:p>
    <w:p w14:paraId="180D9C2F" w14:textId="5D386E4B" w:rsidR="00A17CA8" w:rsidRPr="00A17CA8" w:rsidRDefault="00A17CA8" w:rsidP="00A17CA8">
      <w:pPr>
        <w:spacing w:before="120" w:after="120" w:line="240" w:lineRule="auto"/>
        <w:ind w:left="850"/>
        <w:jc w:val="both"/>
        <w:rPr>
          <w:rFonts w:ascii="Times New Roman" w:eastAsia="Calibri" w:hAnsi="Times New Roman" w:cs="Times New Roman"/>
          <w:noProof/>
          <w:sz w:val="24"/>
        </w:rPr>
      </w:pPr>
      <w:r>
        <w:rPr>
          <w:rFonts w:ascii="Times New Roman" w:hAnsi="Times New Roman"/>
          <w:noProof/>
          <w:sz w:val="24"/>
        </w:rPr>
        <w:t xml:space="preserve">Целта на тази реформа е да положи основите на цифровата трансформация на строителния сектор в България. </w:t>
      </w:r>
    </w:p>
    <w:p w14:paraId="5D2D80A7" w14:textId="77777777" w:rsidR="00A17CA8" w:rsidRPr="00A17CA8" w:rsidRDefault="00A17CA8" w:rsidP="00A17CA8">
      <w:pPr>
        <w:spacing w:before="120" w:after="120" w:line="240" w:lineRule="auto"/>
        <w:ind w:left="850"/>
        <w:jc w:val="both"/>
        <w:rPr>
          <w:rFonts w:ascii="Times New Roman" w:eastAsia="Calibri" w:hAnsi="Times New Roman" w:cs="Times New Roman"/>
          <w:noProof/>
          <w:sz w:val="24"/>
        </w:rPr>
      </w:pPr>
      <w:r>
        <w:rPr>
          <w:rFonts w:ascii="Times New Roman" w:hAnsi="Times New Roman"/>
          <w:noProof/>
          <w:sz w:val="24"/>
        </w:rPr>
        <w:t>Това ще се постигне чрез разработването и приемането на Дългосрочна стратегия за въвеждане на строително информационното моделиране при проектирането, изпълнението и поддържането на строежите, както и пътна карта за нейното изпълнение. Проектите на стратегията и пътната карта се изготвят с подкрепата на проект REFORM/SC2020/089 „Подготовка и стартиране на цифрова реформа на българския строителен сектор“.</w:t>
      </w:r>
    </w:p>
    <w:p w14:paraId="7B217D97" w14:textId="2A07F27A" w:rsidR="00296E53" w:rsidRPr="00A17CA8" w:rsidRDefault="00A17CA8" w:rsidP="00A17CA8">
      <w:pPr>
        <w:spacing w:before="120" w:after="120" w:line="240" w:lineRule="auto"/>
        <w:ind w:left="850"/>
        <w:jc w:val="both"/>
        <w:rPr>
          <w:rFonts w:ascii="Times New Roman" w:eastAsia="Calibri" w:hAnsi="Times New Roman" w:cs="Times New Roman"/>
          <w:noProof/>
          <w:sz w:val="24"/>
        </w:rPr>
      </w:pPr>
      <w:r>
        <w:rPr>
          <w:rFonts w:ascii="Times New Roman" w:hAnsi="Times New Roman"/>
          <w:noProof/>
          <w:sz w:val="24"/>
        </w:rPr>
        <w:t>Изпълнението на реформата ще приключи до 31 март 2023 г.</w:t>
      </w:r>
    </w:p>
    <w:p w14:paraId="597E5453" w14:textId="0DEE05F2" w:rsidR="00A17CA8" w:rsidRPr="00A17CA8" w:rsidRDefault="00A17CA8" w:rsidP="00A17CA8">
      <w:pPr>
        <w:spacing w:before="120" w:after="120" w:line="240" w:lineRule="auto"/>
        <w:ind w:left="850"/>
        <w:jc w:val="both"/>
        <w:rPr>
          <w:rFonts w:ascii="Times New Roman" w:eastAsia="Calibri" w:hAnsi="Times New Roman" w:cs="Times New Roman"/>
          <w:noProof/>
          <w:sz w:val="24"/>
          <w:u w:val="single"/>
        </w:rPr>
      </w:pPr>
      <w:r>
        <w:rPr>
          <w:rFonts w:ascii="Times New Roman" w:hAnsi="Times New Roman"/>
          <w:noProof/>
          <w:sz w:val="24"/>
          <w:u w:val="single"/>
        </w:rPr>
        <w:t>Реформа 6 (К10.Р6):</w:t>
      </w:r>
      <w:r>
        <w:rPr>
          <w:noProof/>
          <w:u w:val="single"/>
        </w:rPr>
        <w:t xml:space="preserve"> </w:t>
      </w:r>
      <w:r>
        <w:rPr>
          <w:rFonts w:ascii="Times New Roman" w:hAnsi="Times New Roman"/>
          <w:noProof/>
          <w:sz w:val="24"/>
          <w:u w:val="single"/>
        </w:rPr>
        <w:t>Регистрова реформа за разгръщане потенциала на електронното управление за подобряване на бизнес средата</w:t>
      </w:r>
    </w:p>
    <w:p w14:paraId="5E75E42B" w14:textId="77777777" w:rsidR="00A17CA8" w:rsidRPr="00A17CA8" w:rsidRDefault="00A17CA8" w:rsidP="00A17CA8">
      <w:pPr>
        <w:spacing w:before="120" w:after="120" w:line="240" w:lineRule="auto"/>
        <w:ind w:left="850"/>
        <w:jc w:val="both"/>
        <w:rPr>
          <w:rFonts w:ascii="Times New Roman" w:eastAsia="Calibri" w:hAnsi="Times New Roman" w:cs="Times New Roman"/>
          <w:noProof/>
          <w:sz w:val="24"/>
        </w:rPr>
      </w:pPr>
      <w:r>
        <w:rPr>
          <w:rFonts w:ascii="Times New Roman" w:hAnsi="Times New Roman"/>
          <w:noProof/>
          <w:sz w:val="24"/>
        </w:rPr>
        <w:t xml:space="preserve">Целта на тази реформа е да се подобрят организацията, качеството и сигурността на регистрите в държавната администрация, да се увеличи потенциалът на електронното управление и да се намали административната тежест за гражданите. </w:t>
      </w:r>
    </w:p>
    <w:p w14:paraId="6BBF34AA" w14:textId="77777777" w:rsidR="00A17CA8" w:rsidRPr="00A17CA8" w:rsidRDefault="00A17CA8" w:rsidP="00A17CA8">
      <w:pPr>
        <w:spacing w:before="120" w:after="120" w:line="240" w:lineRule="auto"/>
        <w:ind w:left="850"/>
        <w:jc w:val="both"/>
        <w:rPr>
          <w:rFonts w:ascii="Times New Roman" w:eastAsia="Calibri" w:hAnsi="Times New Roman" w:cs="Times New Roman"/>
          <w:noProof/>
          <w:sz w:val="24"/>
        </w:rPr>
      </w:pPr>
      <w:r>
        <w:rPr>
          <w:rFonts w:ascii="Times New Roman" w:hAnsi="Times New Roman"/>
          <w:noProof/>
          <w:sz w:val="24"/>
        </w:rPr>
        <w:t>Реформата установява необходимата нормативна уредба за създаването, поддържането и използването на електронни регистри чрез изменения на следните закони:</w:t>
      </w:r>
    </w:p>
    <w:p w14:paraId="21543EF1" w14:textId="77777777" w:rsidR="00A17CA8" w:rsidRPr="00A17CA8" w:rsidRDefault="00A17CA8" w:rsidP="00A17CA8">
      <w:pPr>
        <w:pStyle w:val="ListParagraph"/>
        <w:numPr>
          <w:ilvl w:val="0"/>
          <w:numId w:val="39"/>
        </w:numPr>
        <w:spacing w:before="120" w:after="120" w:line="240" w:lineRule="auto"/>
        <w:jc w:val="both"/>
        <w:rPr>
          <w:rFonts w:ascii="Times New Roman" w:eastAsia="Calibri" w:hAnsi="Times New Roman" w:cs="Times New Roman"/>
          <w:noProof/>
          <w:sz w:val="24"/>
        </w:rPr>
      </w:pPr>
      <w:r>
        <w:rPr>
          <w:rFonts w:ascii="Times New Roman" w:hAnsi="Times New Roman"/>
          <w:noProof/>
          <w:sz w:val="24"/>
        </w:rPr>
        <w:t>Закона за електронното управление, с който се въвежда задължение за всички органи на изпълнителната власт да съхраняват, поддържат и актуализират регистрите в електронна форма;</w:t>
      </w:r>
    </w:p>
    <w:p w14:paraId="37FF6DA8" w14:textId="16B3172C" w:rsidR="00A17CA8" w:rsidRPr="00A17CA8" w:rsidRDefault="00A17CA8" w:rsidP="00A17CA8">
      <w:pPr>
        <w:pStyle w:val="ListParagraph"/>
        <w:numPr>
          <w:ilvl w:val="0"/>
          <w:numId w:val="39"/>
        </w:numPr>
        <w:spacing w:before="120" w:after="120" w:line="240" w:lineRule="auto"/>
        <w:jc w:val="both"/>
        <w:rPr>
          <w:rFonts w:ascii="Times New Roman" w:eastAsia="Calibri" w:hAnsi="Times New Roman" w:cs="Times New Roman"/>
          <w:noProof/>
          <w:sz w:val="24"/>
        </w:rPr>
      </w:pPr>
      <w:r>
        <w:rPr>
          <w:rFonts w:ascii="Times New Roman" w:hAnsi="Times New Roman"/>
          <w:noProof/>
          <w:sz w:val="24"/>
        </w:rPr>
        <w:t>Закона за кадастъра и имотния регистър, който определя изискванията за съдържанието на имотните партиди в поземления регистър и отговорностите на съдиите по вписванията в процеса по създаването им;</w:t>
      </w:r>
    </w:p>
    <w:p w14:paraId="5D1E9228" w14:textId="77777777" w:rsidR="00A17CA8" w:rsidRPr="00A17CA8" w:rsidRDefault="00A17CA8" w:rsidP="00A17CA8">
      <w:pPr>
        <w:pStyle w:val="ListParagraph"/>
        <w:numPr>
          <w:ilvl w:val="0"/>
          <w:numId w:val="39"/>
        </w:numPr>
        <w:spacing w:before="120" w:after="120" w:line="240" w:lineRule="auto"/>
        <w:jc w:val="both"/>
        <w:rPr>
          <w:rFonts w:ascii="Times New Roman" w:eastAsia="Calibri" w:hAnsi="Times New Roman" w:cs="Times New Roman"/>
          <w:noProof/>
          <w:sz w:val="24"/>
        </w:rPr>
      </w:pPr>
      <w:r>
        <w:rPr>
          <w:rFonts w:ascii="Times New Roman" w:hAnsi="Times New Roman"/>
          <w:noProof/>
          <w:sz w:val="24"/>
        </w:rPr>
        <w:t>Закона за гражданската регистрация, който забранява на публичните административни органи да изискват документи, свързани с гражданското състояние на гражданите.</w:t>
      </w:r>
    </w:p>
    <w:p w14:paraId="78D9F759" w14:textId="75607FB8" w:rsidR="00A17CA8" w:rsidRPr="00A17CA8" w:rsidRDefault="00A17CA8" w:rsidP="00A17CA8">
      <w:pPr>
        <w:spacing w:before="120" w:after="120" w:line="240" w:lineRule="auto"/>
        <w:ind w:left="850"/>
        <w:jc w:val="both"/>
        <w:rPr>
          <w:rFonts w:ascii="Times New Roman" w:eastAsia="Calibri" w:hAnsi="Times New Roman" w:cs="Times New Roman"/>
          <w:noProof/>
          <w:sz w:val="24"/>
        </w:rPr>
      </w:pPr>
      <w:r>
        <w:rPr>
          <w:rFonts w:ascii="Times New Roman" w:hAnsi="Times New Roman"/>
          <w:noProof/>
          <w:sz w:val="24"/>
        </w:rPr>
        <w:t xml:space="preserve">Очаква се тази реформа да допринесе за изпълнението на инвестиция 9 за цифровизиране на регистровите данни в публичната администрация. </w:t>
      </w:r>
    </w:p>
    <w:p w14:paraId="5CF303F9" w14:textId="1210A74A" w:rsidR="00A17CA8" w:rsidRPr="00A17CA8" w:rsidRDefault="00A17CA8" w:rsidP="00A17CA8">
      <w:pPr>
        <w:spacing w:before="120" w:after="120" w:line="240" w:lineRule="auto"/>
        <w:ind w:left="850"/>
        <w:jc w:val="both"/>
        <w:rPr>
          <w:rFonts w:ascii="Times New Roman" w:eastAsia="Calibri" w:hAnsi="Times New Roman" w:cs="Times New Roman"/>
          <w:noProof/>
          <w:sz w:val="24"/>
        </w:rPr>
      </w:pPr>
      <w:r>
        <w:rPr>
          <w:rFonts w:ascii="Times New Roman" w:hAnsi="Times New Roman"/>
          <w:noProof/>
          <w:sz w:val="24"/>
        </w:rPr>
        <w:t>Изпълнението на реформата ще приключи до 31 март 2024 г.</w:t>
      </w:r>
    </w:p>
    <w:p w14:paraId="71EC3DFF" w14:textId="7D502A1B" w:rsidR="00A17CA8" w:rsidRPr="00A17CA8" w:rsidRDefault="00A17CA8" w:rsidP="00A17CA8">
      <w:pPr>
        <w:spacing w:before="120" w:after="120" w:line="240" w:lineRule="auto"/>
        <w:ind w:left="850"/>
        <w:jc w:val="both"/>
        <w:rPr>
          <w:rFonts w:ascii="Times New Roman" w:eastAsia="Calibri" w:hAnsi="Times New Roman" w:cs="Times New Roman"/>
          <w:noProof/>
          <w:sz w:val="24"/>
          <w:u w:val="single"/>
        </w:rPr>
      </w:pPr>
      <w:r>
        <w:rPr>
          <w:rFonts w:ascii="Times New Roman" w:hAnsi="Times New Roman"/>
          <w:noProof/>
          <w:sz w:val="24"/>
          <w:u w:val="single"/>
        </w:rPr>
        <w:t>Реформа 7 (К10.Р7):</w:t>
      </w:r>
      <w:r>
        <w:rPr>
          <w:noProof/>
          <w:u w:val="single"/>
        </w:rPr>
        <w:t xml:space="preserve"> </w:t>
      </w:r>
      <w:r>
        <w:rPr>
          <w:rFonts w:ascii="Times New Roman" w:hAnsi="Times New Roman"/>
          <w:noProof/>
          <w:sz w:val="24"/>
          <w:u w:val="single"/>
        </w:rPr>
        <w:t>Подобряване на рамката за управление на държавните предприятия</w:t>
      </w:r>
    </w:p>
    <w:p w14:paraId="0F1357FA" w14:textId="43114AF7" w:rsidR="00A17CA8" w:rsidRPr="00A17CA8" w:rsidRDefault="00A17CA8" w:rsidP="00A17CA8">
      <w:pPr>
        <w:spacing w:before="120" w:after="120" w:line="240" w:lineRule="auto"/>
        <w:ind w:left="850"/>
        <w:jc w:val="both"/>
        <w:rPr>
          <w:rFonts w:ascii="Times New Roman" w:eastAsia="Calibri" w:hAnsi="Times New Roman" w:cs="Times New Roman"/>
          <w:noProof/>
          <w:sz w:val="24"/>
        </w:rPr>
      </w:pPr>
      <w:r>
        <w:rPr>
          <w:rFonts w:ascii="Times New Roman" w:hAnsi="Times New Roman"/>
          <w:noProof/>
          <w:sz w:val="24"/>
        </w:rPr>
        <w:t>Целта на тази реформа е да се подобри управлението на държавните предприятия.</w:t>
      </w:r>
    </w:p>
    <w:p w14:paraId="7422BA81" w14:textId="77777777" w:rsidR="00A17CA8" w:rsidRPr="00A17CA8" w:rsidRDefault="00A17CA8" w:rsidP="00A17CA8">
      <w:pPr>
        <w:spacing w:before="120" w:after="120" w:line="240" w:lineRule="auto"/>
        <w:ind w:left="850"/>
        <w:jc w:val="both"/>
        <w:rPr>
          <w:rFonts w:ascii="Times New Roman" w:eastAsia="Calibri" w:hAnsi="Times New Roman" w:cs="Times New Roman"/>
          <w:noProof/>
          <w:sz w:val="24"/>
        </w:rPr>
      </w:pPr>
      <w:r>
        <w:rPr>
          <w:rFonts w:ascii="Times New Roman" w:hAnsi="Times New Roman"/>
          <w:noProof/>
          <w:sz w:val="24"/>
        </w:rPr>
        <w:t xml:space="preserve">За тази цел Министерският съвет приема: </w:t>
      </w:r>
    </w:p>
    <w:p w14:paraId="7359D8E7" w14:textId="77777777" w:rsidR="00A17CA8" w:rsidRPr="00A17CA8" w:rsidRDefault="00A17CA8" w:rsidP="00A17CA8">
      <w:pPr>
        <w:pStyle w:val="ListParagraph"/>
        <w:numPr>
          <w:ilvl w:val="0"/>
          <w:numId w:val="43"/>
        </w:numPr>
        <w:spacing w:before="120" w:after="120" w:line="240" w:lineRule="auto"/>
        <w:jc w:val="both"/>
        <w:rPr>
          <w:rFonts w:ascii="Times New Roman" w:eastAsia="Calibri" w:hAnsi="Times New Roman" w:cs="Times New Roman"/>
          <w:noProof/>
          <w:sz w:val="24"/>
        </w:rPr>
      </w:pPr>
      <w:r>
        <w:rPr>
          <w:rFonts w:ascii="Times New Roman" w:hAnsi="Times New Roman"/>
          <w:noProof/>
          <w:sz w:val="24"/>
        </w:rPr>
        <w:t>политика за държавната собственост, която включва обосновката и целите за участието на държавата в държавни предприятия (ДП), както и ролята на държавата в управлението на ДП и в изпълнението на политиката;</w:t>
      </w:r>
    </w:p>
    <w:p w14:paraId="58E30170" w14:textId="2521A8C8" w:rsidR="00A17CA8" w:rsidRPr="00A17CA8" w:rsidRDefault="00A17CA8" w:rsidP="00A17CA8">
      <w:pPr>
        <w:pStyle w:val="ListParagraph"/>
        <w:numPr>
          <w:ilvl w:val="0"/>
          <w:numId w:val="43"/>
        </w:numPr>
        <w:spacing w:before="120" w:after="120" w:line="240" w:lineRule="auto"/>
        <w:jc w:val="both"/>
        <w:rPr>
          <w:rFonts w:ascii="Times New Roman" w:eastAsia="Calibri" w:hAnsi="Times New Roman" w:cs="Times New Roman"/>
          <w:noProof/>
          <w:sz w:val="24"/>
        </w:rPr>
      </w:pPr>
      <w:r>
        <w:rPr>
          <w:rFonts w:ascii="Times New Roman" w:hAnsi="Times New Roman"/>
          <w:noProof/>
          <w:sz w:val="24"/>
        </w:rPr>
        <w:t>годишни обобщени отчети за дейността на държавните предприятия към 2020 г.;</w:t>
      </w:r>
    </w:p>
    <w:p w14:paraId="17BB18B5" w14:textId="46220916" w:rsidR="00A17CA8" w:rsidRPr="00A17CA8" w:rsidRDefault="00A17CA8" w:rsidP="00A17CA8">
      <w:pPr>
        <w:pStyle w:val="ListParagraph"/>
        <w:numPr>
          <w:ilvl w:val="0"/>
          <w:numId w:val="43"/>
        </w:numPr>
        <w:spacing w:before="120" w:after="120" w:line="240" w:lineRule="auto"/>
        <w:jc w:val="both"/>
        <w:rPr>
          <w:rFonts w:ascii="Times New Roman" w:eastAsia="Calibri" w:hAnsi="Times New Roman" w:cs="Times New Roman"/>
          <w:noProof/>
          <w:sz w:val="24"/>
        </w:rPr>
      </w:pPr>
      <w:r>
        <w:rPr>
          <w:rFonts w:ascii="Times New Roman" w:hAnsi="Times New Roman"/>
          <w:noProof/>
          <w:sz w:val="24"/>
        </w:rPr>
        <w:t>програма за преобразуване на създадените със специални закони държавни предприятия въз основа на анализ на естеството на техните дейности — основно търговски или обществени функции.</w:t>
      </w:r>
    </w:p>
    <w:p w14:paraId="7FAF8442" w14:textId="5D03FC45" w:rsidR="00A17CA8" w:rsidRPr="00794339" w:rsidRDefault="0070714C" w:rsidP="00794339">
      <w:pPr>
        <w:spacing w:before="120" w:after="120" w:line="240" w:lineRule="auto"/>
        <w:ind w:left="851"/>
        <w:jc w:val="both"/>
        <w:rPr>
          <w:rFonts w:ascii="Times New Roman" w:eastAsia="Calibri" w:hAnsi="Times New Roman" w:cs="Times New Roman"/>
          <w:noProof/>
          <w:sz w:val="24"/>
        </w:rPr>
      </w:pPr>
      <w:r>
        <w:rPr>
          <w:rFonts w:ascii="Times New Roman" w:hAnsi="Times New Roman"/>
          <w:noProof/>
          <w:sz w:val="24"/>
        </w:rPr>
        <w:t xml:space="preserve">Освен това, Агенцията за публичните предприятия и контрол приема доклад за оценка и потвърждаване на съответствието между състава на управителните съвети на големите държавни предприятия и процедурите за подбор, определени в Закона за публичните предприятия. </w:t>
      </w:r>
    </w:p>
    <w:p w14:paraId="0B71D423" w14:textId="23A164A1" w:rsidR="00A17CA8" w:rsidRPr="00A17CA8" w:rsidRDefault="00A17CA8" w:rsidP="00A17CA8">
      <w:pPr>
        <w:spacing w:before="120" w:after="120" w:line="240" w:lineRule="auto"/>
        <w:ind w:left="850"/>
        <w:jc w:val="both"/>
        <w:rPr>
          <w:rFonts w:ascii="Times New Roman" w:eastAsia="Calibri" w:hAnsi="Times New Roman" w:cs="Times New Roman"/>
          <w:noProof/>
          <w:sz w:val="24"/>
        </w:rPr>
      </w:pPr>
      <w:r>
        <w:rPr>
          <w:rFonts w:ascii="Times New Roman" w:hAnsi="Times New Roman"/>
          <w:noProof/>
          <w:sz w:val="24"/>
        </w:rPr>
        <w:t>Изпълнението на реформата ще приключи до 30 юни 2023 г.</w:t>
      </w:r>
    </w:p>
    <w:p w14:paraId="28E3F571" w14:textId="4AA1498C" w:rsidR="00A17CA8" w:rsidRPr="00A17CA8" w:rsidRDefault="00A17CA8" w:rsidP="00A17CA8">
      <w:pPr>
        <w:spacing w:before="120" w:after="120" w:line="240" w:lineRule="auto"/>
        <w:ind w:left="850"/>
        <w:jc w:val="both"/>
        <w:rPr>
          <w:rFonts w:ascii="Times New Roman" w:eastAsia="Calibri" w:hAnsi="Times New Roman" w:cs="Times New Roman"/>
          <w:noProof/>
          <w:sz w:val="24"/>
          <w:u w:val="single"/>
        </w:rPr>
      </w:pPr>
      <w:r>
        <w:rPr>
          <w:rFonts w:ascii="Times New Roman" w:hAnsi="Times New Roman"/>
          <w:noProof/>
          <w:sz w:val="24"/>
          <w:u w:val="single"/>
        </w:rPr>
        <w:t>Реформа 8 (К10.Р8): Подобряване на рамката за борба с изпирането на пари</w:t>
      </w:r>
    </w:p>
    <w:p w14:paraId="4C4BC8C4" w14:textId="4DBD0258" w:rsidR="00A17CA8" w:rsidRPr="00A17CA8" w:rsidRDefault="00A17CA8" w:rsidP="00A17CA8">
      <w:pPr>
        <w:spacing w:before="120" w:after="120" w:line="240" w:lineRule="auto"/>
        <w:ind w:left="850"/>
        <w:jc w:val="both"/>
        <w:rPr>
          <w:rFonts w:ascii="Times New Roman" w:eastAsia="Calibri" w:hAnsi="Times New Roman" w:cs="Times New Roman"/>
          <w:noProof/>
          <w:sz w:val="24"/>
        </w:rPr>
      </w:pPr>
      <w:r>
        <w:rPr>
          <w:rFonts w:ascii="Times New Roman" w:hAnsi="Times New Roman"/>
          <w:noProof/>
          <w:sz w:val="24"/>
        </w:rPr>
        <w:t xml:space="preserve">Целта на тази реформа е да се укрепи рамката за борба с изпирането на пари чрез гарантиране на правилното ѝ прилагане, приемане на план за действие за намаляване на рисковете от изпиране на пари и финансиране на тероризма, установени чрез националната оценка на риска, както и актуализиране на националната оценка на риска. </w:t>
      </w:r>
    </w:p>
    <w:p w14:paraId="1261E371" w14:textId="77777777" w:rsidR="00A17CA8" w:rsidRPr="00A17CA8" w:rsidRDefault="00A17CA8" w:rsidP="00A17CA8">
      <w:pPr>
        <w:spacing w:before="120" w:after="120" w:line="240" w:lineRule="auto"/>
        <w:ind w:left="850"/>
        <w:jc w:val="both"/>
        <w:rPr>
          <w:rFonts w:ascii="Times New Roman" w:eastAsia="Calibri" w:hAnsi="Times New Roman" w:cs="Times New Roman"/>
          <w:noProof/>
          <w:sz w:val="24"/>
        </w:rPr>
      </w:pPr>
      <w:r>
        <w:rPr>
          <w:rFonts w:ascii="Times New Roman" w:hAnsi="Times New Roman"/>
          <w:noProof/>
          <w:sz w:val="24"/>
        </w:rPr>
        <w:t>Това ще бъде постигнато чрез следните мерки:</w:t>
      </w:r>
    </w:p>
    <w:p w14:paraId="505F3087" w14:textId="6C773080" w:rsidR="00A17CA8" w:rsidRPr="00A17CA8" w:rsidRDefault="00A17CA8" w:rsidP="00A17CA8">
      <w:pPr>
        <w:pStyle w:val="ListParagraph"/>
        <w:numPr>
          <w:ilvl w:val="0"/>
          <w:numId w:val="42"/>
        </w:numPr>
        <w:jc w:val="both"/>
        <w:rPr>
          <w:rFonts w:ascii="Times New Roman" w:eastAsia="Calibri" w:hAnsi="Times New Roman" w:cs="Times New Roman"/>
          <w:noProof/>
          <w:sz w:val="24"/>
        </w:rPr>
      </w:pPr>
      <w:r>
        <w:rPr>
          <w:rFonts w:ascii="Times New Roman" w:hAnsi="Times New Roman"/>
          <w:noProof/>
          <w:sz w:val="24"/>
        </w:rPr>
        <w:t>приемане на надзорни стратегии и насоки относно подхода към „видни политически личности“, както и преразглеждане на надзорните процедури за надзорните органи съгласно Закона за мерките срещу изпирането на пари с цел намаляване на рисковете от изпиране на пари и подобряване на прилагането на рамката за борба с изпирането на пари от задължените субекти под техен надзор;</w:t>
      </w:r>
      <w:r>
        <w:rPr>
          <w:rFonts w:ascii="Calibri" w:hAnsi="Calibri"/>
          <w:noProof/>
          <w:color w:val="006100"/>
        </w:rPr>
        <w:t xml:space="preserve"> </w:t>
      </w:r>
    </w:p>
    <w:p w14:paraId="6ED59A02" w14:textId="77777777" w:rsidR="00A17CA8" w:rsidRPr="00A17CA8" w:rsidRDefault="00A17CA8" w:rsidP="00A17CA8">
      <w:pPr>
        <w:pStyle w:val="ListParagraph"/>
        <w:numPr>
          <w:ilvl w:val="0"/>
          <w:numId w:val="42"/>
        </w:numPr>
        <w:spacing w:before="120" w:after="120" w:line="240" w:lineRule="auto"/>
        <w:jc w:val="both"/>
        <w:rPr>
          <w:rFonts w:ascii="Times New Roman" w:eastAsia="Calibri" w:hAnsi="Times New Roman" w:cs="Times New Roman"/>
          <w:noProof/>
          <w:sz w:val="24"/>
        </w:rPr>
      </w:pPr>
      <w:r>
        <w:rPr>
          <w:rFonts w:ascii="Times New Roman" w:hAnsi="Times New Roman"/>
          <w:noProof/>
          <w:sz w:val="24"/>
        </w:rPr>
        <w:t xml:space="preserve">приемане на план за действие от Министерския съвет за намаляване на рисковете от изпиране на пари и финансиране на тероризма, установени чрез националната оценка на риска; </w:t>
      </w:r>
    </w:p>
    <w:p w14:paraId="13823F4E" w14:textId="0E249B94" w:rsidR="00A17CA8" w:rsidRPr="00A17CA8" w:rsidRDefault="00A17CA8" w:rsidP="00A17CA8">
      <w:pPr>
        <w:pStyle w:val="ListParagraph"/>
        <w:numPr>
          <w:ilvl w:val="0"/>
          <w:numId w:val="42"/>
        </w:numPr>
        <w:spacing w:before="120" w:after="120" w:line="240" w:lineRule="auto"/>
        <w:jc w:val="both"/>
        <w:rPr>
          <w:rFonts w:ascii="Times New Roman" w:eastAsia="Calibri" w:hAnsi="Times New Roman" w:cs="Times New Roman"/>
          <w:noProof/>
          <w:sz w:val="24"/>
        </w:rPr>
      </w:pPr>
      <w:r>
        <w:rPr>
          <w:rFonts w:ascii="Times New Roman" w:hAnsi="Times New Roman"/>
          <w:noProof/>
          <w:sz w:val="24"/>
        </w:rPr>
        <w:t>приемане на актуализация на националната оценка на риска от изпирането на пари и финансирането на тероризма, включително секторни оценки на риска за нестопанския сектор, на виртуалните активи и на схемите за предоставяне на гражданство на инвеститори.</w:t>
      </w:r>
      <w:r>
        <w:rPr>
          <w:noProof/>
        </w:rPr>
        <w:t xml:space="preserve"> </w:t>
      </w:r>
    </w:p>
    <w:p w14:paraId="06C3617D" w14:textId="73716192" w:rsidR="00A17CA8" w:rsidRPr="00A17CA8" w:rsidRDefault="00A17CA8" w:rsidP="00A17CA8">
      <w:pPr>
        <w:spacing w:before="120" w:after="120" w:line="240" w:lineRule="auto"/>
        <w:ind w:left="850"/>
        <w:jc w:val="both"/>
        <w:rPr>
          <w:rFonts w:ascii="Times New Roman" w:eastAsia="Calibri" w:hAnsi="Times New Roman" w:cs="Times New Roman"/>
          <w:noProof/>
          <w:sz w:val="24"/>
        </w:rPr>
      </w:pPr>
      <w:r>
        <w:rPr>
          <w:rFonts w:ascii="Times New Roman" w:hAnsi="Times New Roman"/>
          <w:noProof/>
          <w:sz w:val="24"/>
        </w:rPr>
        <w:t>Изпълнението на реформата ще приключи до 31 март 2023 г.</w:t>
      </w:r>
    </w:p>
    <w:p w14:paraId="107FBD33" w14:textId="4707A2D1" w:rsidR="00A17CA8" w:rsidRPr="00A17CA8" w:rsidRDefault="00A17CA8" w:rsidP="00A17CA8">
      <w:pPr>
        <w:spacing w:before="120" w:after="120" w:line="240" w:lineRule="auto"/>
        <w:ind w:left="850"/>
        <w:jc w:val="both"/>
        <w:rPr>
          <w:rFonts w:ascii="Times New Roman" w:eastAsia="Calibri" w:hAnsi="Times New Roman" w:cs="Times New Roman"/>
          <w:noProof/>
          <w:sz w:val="24"/>
          <w:u w:val="single"/>
        </w:rPr>
      </w:pPr>
      <w:r>
        <w:rPr>
          <w:rFonts w:ascii="Times New Roman" w:hAnsi="Times New Roman"/>
          <w:noProof/>
          <w:sz w:val="24"/>
          <w:u w:val="single"/>
        </w:rPr>
        <w:t>Реформа 9 (К10.Р9): Подобряване на качеството на законодателния процес</w:t>
      </w:r>
    </w:p>
    <w:p w14:paraId="0F89F744" w14:textId="77777777" w:rsidR="00A17CA8" w:rsidRPr="00A17CA8" w:rsidRDefault="00A17CA8" w:rsidP="00A17CA8">
      <w:pPr>
        <w:spacing w:before="120" w:after="120" w:line="240" w:lineRule="auto"/>
        <w:ind w:left="850"/>
        <w:jc w:val="both"/>
        <w:rPr>
          <w:rFonts w:ascii="Times New Roman" w:eastAsia="Calibri" w:hAnsi="Times New Roman" w:cs="Times New Roman"/>
          <w:noProof/>
          <w:sz w:val="24"/>
        </w:rPr>
      </w:pPr>
      <w:r>
        <w:rPr>
          <w:rFonts w:ascii="Times New Roman" w:hAnsi="Times New Roman"/>
          <w:noProof/>
          <w:sz w:val="24"/>
        </w:rPr>
        <w:t xml:space="preserve">Тази реформа има за цел да подобри качеството и предвидимостта на законодателния процес в Народното събрание. </w:t>
      </w:r>
    </w:p>
    <w:p w14:paraId="3ADFA5D9" w14:textId="79077588" w:rsidR="00A17CA8" w:rsidRPr="00A17CA8" w:rsidRDefault="00A17CA8" w:rsidP="00A17CA8">
      <w:pPr>
        <w:spacing w:before="120" w:after="120" w:line="240" w:lineRule="auto"/>
        <w:ind w:left="850"/>
        <w:jc w:val="both"/>
        <w:rPr>
          <w:rFonts w:ascii="Times New Roman" w:eastAsia="Calibri" w:hAnsi="Times New Roman" w:cs="Times New Roman"/>
          <w:noProof/>
          <w:sz w:val="24"/>
        </w:rPr>
      </w:pPr>
      <w:r>
        <w:rPr>
          <w:rFonts w:ascii="Times New Roman" w:hAnsi="Times New Roman"/>
          <w:noProof/>
          <w:sz w:val="24"/>
        </w:rPr>
        <w:t xml:space="preserve">Това трябва да се постигне чрез разпоредби в Правилника за организацията и дейността на Народното събрание, с които се гарантира, че: </w:t>
      </w:r>
    </w:p>
    <w:p w14:paraId="30EA4DE0" w14:textId="647FD1FB" w:rsidR="00A17CA8" w:rsidRPr="00A17CA8" w:rsidRDefault="00A17CA8" w:rsidP="00A17CA8">
      <w:pPr>
        <w:pStyle w:val="ListParagraph"/>
        <w:numPr>
          <w:ilvl w:val="0"/>
          <w:numId w:val="42"/>
        </w:numPr>
        <w:jc w:val="both"/>
        <w:rPr>
          <w:rFonts w:ascii="Times New Roman" w:eastAsia="Calibri" w:hAnsi="Times New Roman" w:cs="Times New Roman"/>
          <w:noProof/>
          <w:sz w:val="24"/>
        </w:rPr>
      </w:pPr>
      <w:r>
        <w:rPr>
          <w:rFonts w:ascii="Times New Roman" w:hAnsi="Times New Roman"/>
          <w:noProof/>
          <w:sz w:val="24"/>
        </w:rPr>
        <w:t>всички законопроекти, инициирани от народни представители, са придружени от предварителна оценка на въздействието;</w:t>
      </w:r>
    </w:p>
    <w:p w14:paraId="27BA4E43" w14:textId="7374AED3" w:rsidR="00A17CA8" w:rsidRPr="00A17CA8" w:rsidRDefault="00A17CA8" w:rsidP="00A17CA8">
      <w:pPr>
        <w:pStyle w:val="ListParagraph"/>
        <w:numPr>
          <w:ilvl w:val="0"/>
          <w:numId w:val="42"/>
        </w:numPr>
        <w:jc w:val="both"/>
        <w:rPr>
          <w:rFonts w:ascii="Times New Roman" w:eastAsia="Calibri" w:hAnsi="Times New Roman" w:cs="Times New Roman"/>
          <w:noProof/>
          <w:sz w:val="24"/>
        </w:rPr>
      </w:pPr>
      <w:r>
        <w:rPr>
          <w:rFonts w:ascii="Times New Roman" w:hAnsi="Times New Roman"/>
          <w:noProof/>
          <w:sz w:val="24"/>
        </w:rPr>
        <w:t>докладите на парламентарните комисии относно законопроектите включват обобщен преглед на становищата на заинтересованите страни и обобщеното становище на комисията; както и</w:t>
      </w:r>
    </w:p>
    <w:p w14:paraId="3159298C" w14:textId="77777777" w:rsidR="00A17CA8" w:rsidRPr="00A17CA8" w:rsidRDefault="00A17CA8" w:rsidP="00A17CA8">
      <w:pPr>
        <w:pStyle w:val="ListParagraph"/>
        <w:numPr>
          <w:ilvl w:val="0"/>
          <w:numId w:val="42"/>
        </w:numPr>
        <w:jc w:val="both"/>
        <w:rPr>
          <w:rFonts w:ascii="Times New Roman" w:eastAsia="Calibri" w:hAnsi="Times New Roman" w:cs="Times New Roman"/>
          <w:noProof/>
          <w:sz w:val="24"/>
        </w:rPr>
      </w:pPr>
      <w:r>
        <w:rPr>
          <w:rFonts w:ascii="Times New Roman" w:hAnsi="Times New Roman"/>
          <w:noProof/>
          <w:sz w:val="24"/>
        </w:rPr>
        <w:t>предложенията за изменения и допълнения на проект на законодателен акт, приет на първо четене, не могат да се отнасят до законодателни актове, различни от тези, чието изменение или допълнение е било предложено в първоначално представения проект на законодателен акт, освен при определени обстоятелства.</w:t>
      </w:r>
    </w:p>
    <w:p w14:paraId="449BA518" w14:textId="4F06CC03" w:rsidR="00A17CA8" w:rsidRPr="00A17CA8" w:rsidRDefault="00A17CA8" w:rsidP="00A17CA8">
      <w:pPr>
        <w:spacing w:before="120" w:after="120" w:line="240" w:lineRule="auto"/>
        <w:ind w:left="850"/>
        <w:jc w:val="both"/>
        <w:rPr>
          <w:rFonts w:ascii="Times New Roman" w:eastAsia="Calibri" w:hAnsi="Times New Roman" w:cs="Times New Roman"/>
          <w:noProof/>
          <w:sz w:val="24"/>
        </w:rPr>
      </w:pPr>
      <w:r>
        <w:rPr>
          <w:rFonts w:ascii="Times New Roman" w:hAnsi="Times New Roman"/>
          <w:noProof/>
          <w:sz w:val="24"/>
        </w:rPr>
        <w:t>Изпълнението на реформата ще приключи до 31 декември 2021 г.</w:t>
      </w:r>
    </w:p>
    <w:p w14:paraId="22195D44" w14:textId="564D6252" w:rsidR="00A17CA8" w:rsidRPr="00A17CA8" w:rsidRDefault="00A17CA8" w:rsidP="00A17CA8">
      <w:pPr>
        <w:spacing w:before="120" w:after="120" w:line="240" w:lineRule="auto"/>
        <w:ind w:left="850"/>
        <w:jc w:val="both"/>
        <w:rPr>
          <w:rFonts w:ascii="Times New Roman" w:eastAsia="Calibri" w:hAnsi="Times New Roman" w:cs="Times New Roman"/>
          <w:noProof/>
          <w:sz w:val="24"/>
          <w:u w:val="single"/>
        </w:rPr>
      </w:pPr>
      <w:r>
        <w:rPr>
          <w:rFonts w:ascii="Times New Roman" w:hAnsi="Times New Roman"/>
          <w:noProof/>
          <w:sz w:val="24"/>
          <w:u w:val="single"/>
        </w:rPr>
        <w:t>Реформа 10 (К10.Р10): Обществени поръчки</w:t>
      </w:r>
    </w:p>
    <w:p w14:paraId="421BC17C" w14:textId="77777777" w:rsidR="00A17CA8" w:rsidRPr="00A17CA8" w:rsidRDefault="00A17CA8" w:rsidP="00A17CA8">
      <w:pPr>
        <w:spacing w:before="120" w:after="120" w:line="240" w:lineRule="auto"/>
        <w:ind w:left="850"/>
        <w:jc w:val="both"/>
        <w:rPr>
          <w:rFonts w:ascii="Times New Roman" w:eastAsia="Calibri" w:hAnsi="Times New Roman" w:cs="Times New Roman"/>
          <w:noProof/>
          <w:sz w:val="24"/>
        </w:rPr>
      </w:pPr>
      <w:r>
        <w:rPr>
          <w:rFonts w:ascii="Times New Roman" w:hAnsi="Times New Roman"/>
          <w:noProof/>
          <w:sz w:val="24"/>
        </w:rPr>
        <w:t>Целта на тази реформа е да се подобри прозрачността и увеличи конкуренцията в процеса на възлагане на обществени поръчки.</w:t>
      </w:r>
    </w:p>
    <w:p w14:paraId="3DDA8C56" w14:textId="2D7145AC" w:rsidR="00A17CA8" w:rsidRPr="00A17CA8" w:rsidRDefault="00A17CA8" w:rsidP="00A17CA8">
      <w:pPr>
        <w:spacing w:before="120" w:after="120" w:line="240" w:lineRule="auto"/>
        <w:ind w:left="850"/>
        <w:jc w:val="both"/>
        <w:rPr>
          <w:rFonts w:ascii="Times New Roman" w:eastAsia="Calibri" w:hAnsi="Times New Roman" w:cs="Times New Roman"/>
          <w:noProof/>
          <w:sz w:val="24"/>
        </w:rPr>
      </w:pPr>
      <w:r>
        <w:rPr>
          <w:rFonts w:ascii="Times New Roman" w:hAnsi="Times New Roman"/>
          <w:noProof/>
          <w:sz w:val="24"/>
        </w:rPr>
        <w:t>По отношение на прилагането на процедури за договаряне на обществени поръчки без обявление („без покана за представяне на оферти“) и възлагане на поръчка при само една оферта, със законодателните изменения се гарантира редовно докладване, засилен контрол от страна на съответните агенции и ефективни и възпиращи санкции в случай на нарушения на правилата. Освен това се увеличават предварителните проверки на обществените поръчки във връзка със средствата на Съюза и се въвеждат нови стандартни електронни формуляри за обществените поръчки.</w:t>
      </w:r>
    </w:p>
    <w:p w14:paraId="0446945D" w14:textId="77777777" w:rsidR="00A17CA8" w:rsidRPr="00A17CA8" w:rsidRDefault="00A17CA8" w:rsidP="00A17CA8">
      <w:pPr>
        <w:spacing w:before="120" w:after="120" w:line="240" w:lineRule="auto"/>
        <w:ind w:left="850"/>
        <w:jc w:val="both"/>
        <w:rPr>
          <w:rFonts w:ascii="Times New Roman" w:eastAsia="Calibri" w:hAnsi="Times New Roman" w:cs="Times New Roman"/>
          <w:noProof/>
          <w:sz w:val="24"/>
        </w:rPr>
      </w:pPr>
      <w:r>
        <w:rPr>
          <w:rFonts w:ascii="Times New Roman" w:hAnsi="Times New Roman"/>
          <w:noProof/>
          <w:sz w:val="24"/>
        </w:rPr>
        <w:t>В резултат на това делът на процедурите на договаряне без обявление ще се намали значително, като същевременно се осигурява и намаляването на дела на поръчките само с една оферта.</w:t>
      </w:r>
    </w:p>
    <w:p w14:paraId="22B67473" w14:textId="77777777" w:rsidR="00A17CA8" w:rsidRPr="00A17CA8" w:rsidRDefault="00A17CA8" w:rsidP="00A17CA8">
      <w:pPr>
        <w:spacing w:before="120" w:after="120" w:line="240" w:lineRule="auto"/>
        <w:ind w:left="850"/>
        <w:jc w:val="both"/>
        <w:rPr>
          <w:rFonts w:ascii="Times New Roman" w:eastAsia="Calibri" w:hAnsi="Times New Roman" w:cs="Times New Roman"/>
          <w:noProof/>
          <w:sz w:val="24"/>
        </w:rPr>
      </w:pPr>
      <w:r>
        <w:rPr>
          <w:rFonts w:ascii="Times New Roman" w:hAnsi="Times New Roman"/>
          <w:noProof/>
          <w:sz w:val="24"/>
        </w:rPr>
        <w:t>Освен това законодателните изменения имат за цел да намалят броя на „вътрешните“ процедури за възлагане на обществени поръчки чрез въвеждане на забрана за преразпределяне на задачи към подизпълнители, изисквания за прозрачност и ефективни и възпиращи санкции в случай на неспазване на тези изисквания.</w:t>
      </w:r>
    </w:p>
    <w:p w14:paraId="4C9E3040" w14:textId="5A944FA2" w:rsidR="00A17CA8" w:rsidRPr="00A17CA8" w:rsidRDefault="00A17CA8" w:rsidP="00A17CA8">
      <w:pPr>
        <w:spacing w:before="120" w:after="120" w:line="240" w:lineRule="auto"/>
        <w:ind w:left="850"/>
        <w:jc w:val="both"/>
        <w:rPr>
          <w:rFonts w:ascii="Times New Roman" w:eastAsia="Calibri" w:hAnsi="Times New Roman" w:cs="Times New Roman"/>
          <w:noProof/>
          <w:sz w:val="24"/>
          <w:u w:val="single"/>
        </w:rPr>
      </w:pPr>
      <w:r>
        <w:rPr>
          <w:rFonts w:ascii="Times New Roman" w:hAnsi="Times New Roman"/>
          <w:noProof/>
          <w:sz w:val="24"/>
        </w:rPr>
        <w:t>Изпълнението на реформата ще приключи до 31 декември 2025 г.</w:t>
      </w:r>
    </w:p>
    <w:p w14:paraId="6BADE43C" w14:textId="17C10022" w:rsidR="00A17CA8" w:rsidRPr="00A17CA8" w:rsidRDefault="00A17CA8" w:rsidP="00A17CA8">
      <w:pPr>
        <w:spacing w:before="120" w:after="120" w:line="240" w:lineRule="auto"/>
        <w:ind w:left="850"/>
        <w:jc w:val="both"/>
        <w:rPr>
          <w:rFonts w:ascii="Times New Roman" w:eastAsia="Calibri" w:hAnsi="Times New Roman" w:cs="Times New Roman"/>
          <w:noProof/>
          <w:sz w:val="24"/>
          <w:u w:val="single"/>
        </w:rPr>
      </w:pPr>
      <w:r>
        <w:rPr>
          <w:rFonts w:ascii="Times New Roman" w:hAnsi="Times New Roman"/>
          <w:noProof/>
          <w:sz w:val="24"/>
          <w:u w:val="single"/>
        </w:rPr>
        <w:t>Реформа 11 (К10.Р11): Разрастване България</w:t>
      </w:r>
    </w:p>
    <w:p w14:paraId="0919BB99" w14:textId="77777777" w:rsidR="00A17CA8" w:rsidRPr="00A17CA8" w:rsidRDefault="00A17CA8" w:rsidP="00A17CA8">
      <w:pPr>
        <w:spacing w:before="120" w:after="120" w:line="240" w:lineRule="auto"/>
        <w:ind w:left="850"/>
        <w:jc w:val="both"/>
        <w:rPr>
          <w:rFonts w:ascii="Times New Roman" w:eastAsia="Calibri" w:hAnsi="Times New Roman" w:cs="Times New Roman"/>
          <w:noProof/>
          <w:sz w:val="24"/>
        </w:rPr>
      </w:pPr>
      <w:r>
        <w:rPr>
          <w:rFonts w:ascii="Times New Roman" w:hAnsi="Times New Roman"/>
          <w:noProof/>
          <w:sz w:val="24"/>
        </w:rPr>
        <w:t xml:space="preserve">Целта на тази реформа е да се насърчи развитието на високотехнологичния сектор в страната чрез подобряване на достъпа до капитал и талант, подобряване на средата за администриране на бизнес и насърчаване на предприемачеството. </w:t>
      </w:r>
    </w:p>
    <w:p w14:paraId="3B3EA257" w14:textId="77777777" w:rsidR="00A17CA8" w:rsidRPr="00A17CA8" w:rsidRDefault="00A17CA8" w:rsidP="00A17CA8">
      <w:pPr>
        <w:spacing w:before="120" w:after="120" w:line="240" w:lineRule="auto"/>
        <w:ind w:left="142" w:firstLine="708"/>
        <w:jc w:val="both"/>
        <w:rPr>
          <w:rFonts w:ascii="Times New Roman" w:eastAsia="Calibri" w:hAnsi="Times New Roman" w:cs="Times New Roman"/>
          <w:noProof/>
          <w:sz w:val="24"/>
        </w:rPr>
      </w:pPr>
      <w:r>
        <w:rPr>
          <w:rFonts w:ascii="Times New Roman" w:hAnsi="Times New Roman"/>
          <w:noProof/>
          <w:sz w:val="24"/>
        </w:rPr>
        <w:t>Основните елементи на реформата са:</w:t>
      </w:r>
    </w:p>
    <w:p w14:paraId="6B9CA8F8" w14:textId="77777777" w:rsidR="00A17CA8" w:rsidRPr="00A17CA8" w:rsidRDefault="00A17CA8" w:rsidP="00A17CA8">
      <w:pPr>
        <w:pStyle w:val="ListParagraph"/>
        <w:numPr>
          <w:ilvl w:val="0"/>
          <w:numId w:val="41"/>
        </w:numPr>
        <w:spacing w:before="120" w:after="120" w:line="240" w:lineRule="auto"/>
        <w:jc w:val="both"/>
        <w:rPr>
          <w:rFonts w:ascii="Times New Roman" w:eastAsia="Calibri" w:hAnsi="Times New Roman" w:cs="Times New Roman"/>
          <w:noProof/>
          <w:sz w:val="24"/>
        </w:rPr>
      </w:pPr>
      <w:r>
        <w:rPr>
          <w:rFonts w:ascii="Times New Roman" w:hAnsi="Times New Roman"/>
          <w:noProof/>
          <w:sz w:val="24"/>
        </w:rPr>
        <w:t xml:space="preserve">въвеждане на процедура и изисквания за издаване на виза за стартъп компании; </w:t>
      </w:r>
    </w:p>
    <w:p w14:paraId="740B3571" w14:textId="77777777" w:rsidR="00A17CA8" w:rsidRPr="00A17CA8" w:rsidRDefault="00A17CA8" w:rsidP="00A17CA8">
      <w:pPr>
        <w:pStyle w:val="ListParagraph"/>
        <w:numPr>
          <w:ilvl w:val="0"/>
          <w:numId w:val="41"/>
        </w:numPr>
        <w:spacing w:before="120" w:after="120" w:line="240" w:lineRule="auto"/>
        <w:jc w:val="both"/>
        <w:rPr>
          <w:rFonts w:ascii="Times New Roman" w:eastAsia="Calibri" w:hAnsi="Times New Roman" w:cs="Times New Roman"/>
          <w:noProof/>
          <w:sz w:val="24"/>
        </w:rPr>
      </w:pPr>
      <w:r>
        <w:rPr>
          <w:rFonts w:ascii="Times New Roman" w:hAnsi="Times New Roman"/>
          <w:noProof/>
          <w:sz w:val="24"/>
        </w:rPr>
        <w:t xml:space="preserve">приемане на Закон за личния фалит; </w:t>
      </w:r>
    </w:p>
    <w:p w14:paraId="6D0E19EC" w14:textId="77777777" w:rsidR="00A17CA8" w:rsidRPr="00A17CA8" w:rsidRDefault="00A17CA8" w:rsidP="00A17CA8">
      <w:pPr>
        <w:pStyle w:val="ListParagraph"/>
        <w:numPr>
          <w:ilvl w:val="0"/>
          <w:numId w:val="41"/>
        </w:numPr>
        <w:spacing w:before="120" w:after="120" w:line="240" w:lineRule="auto"/>
        <w:jc w:val="both"/>
        <w:rPr>
          <w:rFonts w:ascii="Times New Roman" w:eastAsia="Calibri" w:hAnsi="Times New Roman" w:cs="Times New Roman"/>
          <w:noProof/>
          <w:sz w:val="24"/>
        </w:rPr>
      </w:pPr>
      <w:r>
        <w:rPr>
          <w:rFonts w:ascii="Times New Roman" w:hAnsi="Times New Roman"/>
          <w:noProof/>
          <w:sz w:val="24"/>
        </w:rPr>
        <w:t xml:space="preserve">въвеждане на ново търговско дружество от по-гъвкав тип в Търговския закон; </w:t>
      </w:r>
    </w:p>
    <w:p w14:paraId="510565E6" w14:textId="77777777" w:rsidR="00A17CA8" w:rsidRPr="00A17CA8" w:rsidRDefault="00A17CA8" w:rsidP="00A17CA8">
      <w:pPr>
        <w:pStyle w:val="ListParagraph"/>
        <w:numPr>
          <w:ilvl w:val="0"/>
          <w:numId w:val="41"/>
        </w:numPr>
        <w:spacing w:before="120" w:after="120" w:line="240" w:lineRule="auto"/>
        <w:jc w:val="both"/>
        <w:rPr>
          <w:rFonts w:ascii="Times New Roman" w:eastAsia="Calibri" w:hAnsi="Times New Roman" w:cs="Times New Roman"/>
          <w:noProof/>
          <w:sz w:val="24"/>
        </w:rPr>
      </w:pPr>
      <w:r>
        <w:rPr>
          <w:rFonts w:ascii="Times New Roman" w:hAnsi="Times New Roman"/>
          <w:noProof/>
          <w:sz w:val="24"/>
        </w:rPr>
        <w:t xml:space="preserve">приемане на законова рамка за постигане на ускорена ликвидация на юридически лица; </w:t>
      </w:r>
    </w:p>
    <w:p w14:paraId="57230970" w14:textId="6D8AA735" w:rsidR="00A17CA8" w:rsidRPr="00A17CA8" w:rsidRDefault="00A17CA8" w:rsidP="00A17CA8">
      <w:pPr>
        <w:pStyle w:val="ListParagraph"/>
        <w:numPr>
          <w:ilvl w:val="0"/>
          <w:numId w:val="41"/>
        </w:numPr>
        <w:spacing w:before="120" w:after="120" w:line="240" w:lineRule="auto"/>
        <w:jc w:val="both"/>
        <w:rPr>
          <w:rFonts w:ascii="Times New Roman" w:eastAsia="Calibri" w:hAnsi="Times New Roman" w:cs="Times New Roman"/>
          <w:noProof/>
          <w:sz w:val="24"/>
        </w:rPr>
      </w:pPr>
      <w:r>
        <w:rPr>
          <w:rFonts w:ascii="Times New Roman" w:hAnsi="Times New Roman"/>
          <w:noProof/>
          <w:sz w:val="24"/>
        </w:rPr>
        <w:t>осигуряване на повече гъвкавост в нормативните условия за „дистанционна работа“.</w:t>
      </w:r>
    </w:p>
    <w:p w14:paraId="594BE0E5" w14:textId="3549E724" w:rsidR="00A17CA8" w:rsidRPr="00A17CA8" w:rsidRDefault="00A17CA8" w:rsidP="00A17CA8">
      <w:pPr>
        <w:pStyle w:val="ListParagraph"/>
        <w:spacing w:before="120" w:after="120" w:line="240" w:lineRule="auto"/>
        <w:ind w:left="850"/>
        <w:jc w:val="both"/>
        <w:rPr>
          <w:rFonts w:ascii="Times New Roman" w:eastAsia="Calibri" w:hAnsi="Times New Roman" w:cs="Times New Roman"/>
          <w:noProof/>
          <w:sz w:val="24"/>
        </w:rPr>
      </w:pPr>
      <w:r>
        <w:rPr>
          <w:rFonts w:ascii="Times New Roman" w:hAnsi="Times New Roman"/>
          <w:noProof/>
          <w:sz w:val="24"/>
        </w:rPr>
        <w:t>Изпълнението на реформата ще приключи до 31 декември 2023 г.</w:t>
      </w:r>
    </w:p>
    <w:p w14:paraId="4EFFA2B5" w14:textId="77777777" w:rsidR="00A17CA8" w:rsidRPr="008A0F8A" w:rsidRDefault="00A17CA8" w:rsidP="00A17CA8">
      <w:pPr>
        <w:pStyle w:val="ListParagraph"/>
        <w:spacing w:before="120" w:after="120" w:line="240" w:lineRule="auto"/>
        <w:ind w:left="850"/>
        <w:jc w:val="both"/>
        <w:rPr>
          <w:rFonts w:ascii="Times New Roman" w:eastAsia="Calibri" w:hAnsi="Times New Roman" w:cs="Times New Roman"/>
          <w:noProof/>
          <w:sz w:val="24"/>
          <w:lang w:val="ru-RU"/>
        </w:rPr>
      </w:pPr>
    </w:p>
    <w:p w14:paraId="4011DAB6" w14:textId="54543F73" w:rsidR="00A17CA8" w:rsidRPr="00A17CA8" w:rsidRDefault="00A17CA8" w:rsidP="00A17CA8">
      <w:pPr>
        <w:spacing w:before="120" w:after="120" w:line="240" w:lineRule="auto"/>
        <w:ind w:left="850"/>
        <w:jc w:val="both"/>
        <w:rPr>
          <w:rFonts w:ascii="Times New Roman" w:eastAsia="Calibri" w:hAnsi="Times New Roman" w:cs="Times New Roman"/>
          <w:noProof/>
          <w:sz w:val="24"/>
          <w:u w:val="single"/>
        </w:rPr>
      </w:pPr>
      <w:r>
        <w:rPr>
          <w:rFonts w:ascii="Times New Roman" w:hAnsi="Times New Roman"/>
          <w:noProof/>
          <w:sz w:val="24"/>
          <w:u w:val="single"/>
        </w:rPr>
        <w:t>Реформа 12 (К10.Р12): Съвет за икономически анализи</w:t>
      </w:r>
    </w:p>
    <w:p w14:paraId="0800539C" w14:textId="736A784A" w:rsidR="00A17CA8" w:rsidRPr="00A17CA8" w:rsidRDefault="00A17CA8" w:rsidP="00A17CA8">
      <w:pPr>
        <w:spacing w:before="120" w:after="120" w:line="240" w:lineRule="auto"/>
        <w:ind w:left="850"/>
        <w:jc w:val="both"/>
        <w:rPr>
          <w:rFonts w:ascii="Times New Roman" w:eastAsia="Calibri" w:hAnsi="Times New Roman" w:cs="Times New Roman"/>
          <w:noProof/>
          <w:sz w:val="24"/>
        </w:rPr>
      </w:pPr>
      <w:r>
        <w:rPr>
          <w:rFonts w:ascii="Times New Roman" w:hAnsi="Times New Roman"/>
          <w:noProof/>
          <w:sz w:val="24"/>
        </w:rPr>
        <w:t>Целта на реформата е да положи основите на процес на постепенно и устойчиво осигуряване на българското правителство със задълбочена академична икономическа експертиза, която да бъде отправна точка за подобряването на процеса на вземане на стратегически и дългосрочни икономически решения.</w:t>
      </w:r>
    </w:p>
    <w:p w14:paraId="0F9432D5" w14:textId="3F43CF72" w:rsidR="00A17CA8" w:rsidRPr="00A17CA8" w:rsidRDefault="00A17CA8" w:rsidP="00A17CA8">
      <w:pPr>
        <w:spacing w:before="120" w:after="120" w:line="240" w:lineRule="auto"/>
        <w:ind w:left="850"/>
        <w:jc w:val="both"/>
        <w:rPr>
          <w:rFonts w:ascii="Times New Roman" w:eastAsia="Calibri" w:hAnsi="Times New Roman" w:cs="Times New Roman"/>
          <w:noProof/>
          <w:sz w:val="24"/>
        </w:rPr>
      </w:pPr>
      <w:r>
        <w:rPr>
          <w:rFonts w:ascii="Times New Roman" w:hAnsi="Times New Roman"/>
          <w:noProof/>
          <w:sz w:val="24"/>
        </w:rPr>
        <w:t xml:space="preserve">С реформата се създава Съвет за икономически анализ като консултативен орган, подпомаган от секретариат. Основният продукт от дейността на Съвета за икономически анализ ще бъде годишен доклад за състоянието на българската икономика. </w:t>
      </w:r>
    </w:p>
    <w:p w14:paraId="436EE0D5" w14:textId="7645D841" w:rsidR="00A17CA8" w:rsidRPr="00A17CA8" w:rsidRDefault="00A17CA8" w:rsidP="00A17CA8">
      <w:pPr>
        <w:spacing w:before="120" w:after="120" w:line="240" w:lineRule="auto"/>
        <w:ind w:left="850"/>
        <w:jc w:val="both"/>
        <w:rPr>
          <w:rFonts w:ascii="Times New Roman" w:eastAsia="Calibri" w:hAnsi="Times New Roman" w:cs="Times New Roman"/>
          <w:noProof/>
          <w:sz w:val="24"/>
        </w:rPr>
      </w:pPr>
      <w:r>
        <w:rPr>
          <w:rFonts w:ascii="Times New Roman" w:hAnsi="Times New Roman"/>
          <w:noProof/>
          <w:sz w:val="24"/>
        </w:rPr>
        <w:t xml:space="preserve">Изпълнението на реформата ще приключи до 31 декември 2023 г. </w:t>
      </w:r>
    </w:p>
    <w:p w14:paraId="0FB421D9" w14:textId="33C206B2" w:rsidR="00A17CA8" w:rsidRPr="00A17CA8" w:rsidRDefault="00A17CA8" w:rsidP="00A17CA8">
      <w:pPr>
        <w:spacing w:before="120" w:after="120" w:line="240" w:lineRule="auto"/>
        <w:ind w:left="850"/>
        <w:jc w:val="both"/>
        <w:rPr>
          <w:rFonts w:ascii="Times New Roman" w:eastAsia="Calibri" w:hAnsi="Times New Roman" w:cs="Times New Roman"/>
          <w:noProof/>
          <w:sz w:val="24"/>
          <w:u w:val="single"/>
        </w:rPr>
      </w:pPr>
      <w:r>
        <w:rPr>
          <w:rFonts w:ascii="Times New Roman" w:hAnsi="Times New Roman"/>
          <w:noProof/>
          <w:sz w:val="24"/>
          <w:u w:val="single"/>
        </w:rPr>
        <w:t>Инвестиция 1 (К10.И1): Укрепване, доразвитие и надграждане на Единната информационна система на съдилищата</w:t>
      </w:r>
    </w:p>
    <w:p w14:paraId="0C834CD7" w14:textId="77777777" w:rsidR="00A17CA8" w:rsidRPr="00A17CA8" w:rsidRDefault="00A17CA8" w:rsidP="00A17CA8">
      <w:pPr>
        <w:spacing w:before="120" w:after="120" w:line="240" w:lineRule="auto"/>
        <w:ind w:left="850"/>
        <w:jc w:val="both"/>
        <w:rPr>
          <w:rFonts w:ascii="Times New Roman" w:eastAsia="Calibri" w:hAnsi="Times New Roman" w:cs="Times New Roman"/>
          <w:noProof/>
          <w:sz w:val="24"/>
        </w:rPr>
      </w:pPr>
      <w:r>
        <w:rPr>
          <w:rFonts w:ascii="Times New Roman" w:hAnsi="Times New Roman"/>
          <w:noProof/>
          <w:sz w:val="24"/>
        </w:rPr>
        <w:t xml:space="preserve">Целта на тази инвестиция е да се увеличи цифровизацията на правосъдната система чрез надграждане на Единната информационна система на съдилищата. </w:t>
      </w:r>
    </w:p>
    <w:p w14:paraId="242780C4" w14:textId="7A056A58" w:rsidR="00A17CA8" w:rsidRPr="00A17CA8" w:rsidRDefault="00A17CA8" w:rsidP="00A17CA8">
      <w:pPr>
        <w:spacing w:before="120" w:after="120" w:line="240" w:lineRule="auto"/>
        <w:ind w:left="850"/>
        <w:jc w:val="both"/>
        <w:rPr>
          <w:rFonts w:ascii="Times New Roman" w:eastAsia="Calibri" w:hAnsi="Times New Roman" w:cs="Times New Roman"/>
          <w:noProof/>
          <w:sz w:val="24"/>
        </w:rPr>
      </w:pPr>
      <w:r>
        <w:rPr>
          <w:rFonts w:ascii="Times New Roman" w:hAnsi="Times New Roman"/>
          <w:noProof/>
          <w:sz w:val="24"/>
        </w:rPr>
        <w:t xml:space="preserve">Единната информационна система на съдилищата се модернизира, за да: </w:t>
      </w:r>
    </w:p>
    <w:p w14:paraId="1A839C92" w14:textId="431E0EA8" w:rsidR="00A17CA8" w:rsidRPr="00A17CA8" w:rsidRDefault="00A17CA8" w:rsidP="00A17CA8">
      <w:pPr>
        <w:pStyle w:val="ListParagraph"/>
        <w:numPr>
          <w:ilvl w:val="0"/>
          <w:numId w:val="41"/>
        </w:numPr>
        <w:spacing w:before="120" w:after="120" w:line="240" w:lineRule="auto"/>
        <w:jc w:val="both"/>
        <w:rPr>
          <w:rFonts w:ascii="Times New Roman" w:eastAsia="Calibri" w:hAnsi="Times New Roman" w:cs="Times New Roman"/>
          <w:noProof/>
          <w:sz w:val="24"/>
        </w:rPr>
      </w:pPr>
      <w:r>
        <w:rPr>
          <w:rFonts w:ascii="Times New Roman" w:hAnsi="Times New Roman"/>
          <w:noProof/>
          <w:sz w:val="24"/>
        </w:rPr>
        <w:t>се осигурят нови модули за електронно разпределяне и цифровизация на заповедните дела и за администриране на процедурите по медиация;</w:t>
      </w:r>
    </w:p>
    <w:p w14:paraId="461A5DD0" w14:textId="18FFB362" w:rsidR="00A17CA8" w:rsidRPr="00A17CA8" w:rsidRDefault="00A17CA8" w:rsidP="00A17CA8">
      <w:pPr>
        <w:pStyle w:val="ListParagraph"/>
        <w:numPr>
          <w:ilvl w:val="0"/>
          <w:numId w:val="41"/>
        </w:numPr>
        <w:spacing w:before="120" w:after="120" w:line="240" w:lineRule="auto"/>
        <w:jc w:val="both"/>
        <w:rPr>
          <w:rFonts w:ascii="Times New Roman" w:eastAsia="Calibri" w:hAnsi="Times New Roman" w:cs="Times New Roman"/>
          <w:noProof/>
          <w:sz w:val="24"/>
        </w:rPr>
      </w:pPr>
      <w:r>
        <w:rPr>
          <w:rFonts w:ascii="Times New Roman" w:hAnsi="Times New Roman"/>
          <w:noProof/>
          <w:sz w:val="24"/>
        </w:rPr>
        <w:t>се гарантира техническият капацитет на съдилищата да извършват своите задачи изцяло онлайн; както и</w:t>
      </w:r>
    </w:p>
    <w:p w14:paraId="7C8DC70E" w14:textId="1575DD84" w:rsidR="00A17CA8" w:rsidRPr="00A17CA8" w:rsidRDefault="00A17CA8" w:rsidP="00A17CA8">
      <w:pPr>
        <w:pStyle w:val="ListParagraph"/>
        <w:numPr>
          <w:ilvl w:val="0"/>
          <w:numId w:val="41"/>
        </w:numPr>
        <w:spacing w:before="120" w:after="120" w:line="240" w:lineRule="auto"/>
        <w:jc w:val="both"/>
        <w:rPr>
          <w:rFonts w:ascii="Times New Roman" w:eastAsia="Calibri" w:hAnsi="Times New Roman" w:cs="Times New Roman"/>
          <w:noProof/>
          <w:sz w:val="24"/>
        </w:rPr>
      </w:pPr>
      <w:r>
        <w:rPr>
          <w:rFonts w:ascii="Times New Roman" w:hAnsi="Times New Roman"/>
          <w:noProof/>
          <w:sz w:val="24"/>
        </w:rPr>
        <w:t xml:space="preserve">се създадат допълнителни центрове за данни. </w:t>
      </w:r>
    </w:p>
    <w:p w14:paraId="661A63C3" w14:textId="7DFDB7EB" w:rsidR="00A17CA8" w:rsidRPr="00A17CA8" w:rsidRDefault="00A17CA8" w:rsidP="00A17CA8">
      <w:pPr>
        <w:spacing w:before="120" w:after="120" w:line="240" w:lineRule="auto"/>
        <w:ind w:left="850"/>
        <w:jc w:val="both"/>
        <w:rPr>
          <w:rFonts w:ascii="Times New Roman" w:eastAsia="Calibri" w:hAnsi="Times New Roman" w:cs="Times New Roman"/>
          <w:noProof/>
          <w:sz w:val="24"/>
        </w:rPr>
      </w:pPr>
      <w:r>
        <w:rPr>
          <w:rFonts w:ascii="Times New Roman" w:hAnsi="Times New Roman"/>
          <w:noProof/>
          <w:sz w:val="24"/>
        </w:rPr>
        <w:t>Очаква се с инвестициите да се подкрепи изпълнението на реформа 1 за достъпно, ефективно и предвидимо правосъдие.</w:t>
      </w:r>
    </w:p>
    <w:p w14:paraId="1D721D76" w14:textId="2638EDFA" w:rsidR="00A17CA8" w:rsidRPr="00A17CA8" w:rsidRDefault="00A17CA8" w:rsidP="00A17CA8">
      <w:pPr>
        <w:spacing w:before="120" w:after="120" w:line="240" w:lineRule="auto"/>
        <w:ind w:left="850"/>
        <w:jc w:val="both"/>
        <w:rPr>
          <w:rFonts w:ascii="Times New Roman" w:eastAsia="Calibri" w:hAnsi="Times New Roman" w:cs="Times New Roman"/>
          <w:noProof/>
          <w:sz w:val="24"/>
        </w:rPr>
      </w:pPr>
      <w:r>
        <w:rPr>
          <w:rFonts w:ascii="Times New Roman" w:hAnsi="Times New Roman"/>
          <w:noProof/>
          <w:sz w:val="24"/>
        </w:rPr>
        <w:t>Изпълнението на инвестицията ще приключи до 31 декември 2023 г.</w:t>
      </w:r>
    </w:p>
    <w:p w14:paraId="3DE107BE" w14:textId="3AA6D271" w:rsidR="00A17CA8" w:rsidRPr="00A17CA8" w:rsidRDefault="00A17CA8" w:rsidP="00A17CA8">
      <w:pPr>
        <w:spacing w:before="120" w:after="120" w:line="240" w:lineRule="auto"/>
        <w:ind w:left="850"/>
        <w:jc w:val="both"/>
        <w:rPr>
          <w:rFonts w:ascii="Times New Roman" w:eastAsia="Calibri" w:hAnsi="Times New Roman" w:cs="Times New Roman"/>
          <w:noProof/>
          <w:sz w:val="24"/>
          <w:u w:val="single"/>
        </w:rPr>
      </w:pPr>
      <w:r>
        <w:rPr>
          <w:rFonts w:ascii="Times New Roman" w:hAnsi="Times New Roman"/>
          <w:noProof/>
          <w:sz w:val="24"/>
          <w:u w:val="single"/>
        </w:rPr>
        <w:t xml:space="preserve">Инвестиция 2 (К10.И2): Цифровизация на ключови съдопроизводствени процеси в системата на административното правораздаване </w:t>
      </w:r>
    </w:p>
    <w:p w14:paraId="7CF2CF9F" w14:textId="77777777" w:rsidR="00A17CA8" w:rsidRPr="00A17CA8" w:rsidRDefault="00A17CA8" w:rsidP="00A17CA8">
      <w:pPr>
        <w:spacing w:before="120" w:after="120" w:line="240" w:lineRule="auto"/>
        <w:ind w:left="850"/>
        <w:jc w:val="both"/>
        <w:rPr>
          <w:rFonts w:ascii="Times New Roman" w:eastAsia="Calibri" w:hAnsi="Times New Roman" w:cs="Times New Roman"/>
          <w:noProof/>
          <w:sz w:val="24"/>
        </w:rPr>
      </w:pPr>
      <w:r>
        <w:rPr>
          <w:rFonts w:ascii="Times New Roman" w:hAnsi="Times New Roman"/>
          <w:noProof/>
          <w:sz w:val="24"/>
        </w:rPr>
        <w:t>Целта на тази инвестиция е да се увеличи цифровизацията в административните съдилища чрез модернизиране на Единната деловодно-информационна система.</w:t>
      </w:r>
    </w:p>
    <w:p w14:paraId="0A141188" w14:textId="77777777" w:rsidR="00A17CA8" w:rsidRPr="00A17CA8" w:rsidRDefault="00A17CA8" w:rsidP="00A17CA8">
      <w:pPr>
        <w:spacing w:before="120" w:after="120" w:line="240" w:lineRule="auto"/>
        <w:ind w:left="850"/>
        <w:jc w:val="both"/>
        <w:rPr>
          <w:rFonts w:ascii="Times New Roman" w:eastAsia="Calibri" w:hAnsi="Times New Roman" w:cs="Times New Roman"/>
          <w:noProof/>
          <w:sz w:val="24"/>
        </w:rPr>
      </w:pPr>
      <w:r>
        <w:rPr>
          <w:rFonts w:ascii="Times New Roman" w:hAnsi="Times New Roman"/>
          <w:noProof/>
          <w:sz w:val="24"/>
        </w:rPr>
        <w:t xml:space="preserve">Модернизирането ще даде възможност за редица нови функционалности на системата, включително въвеждането и автоматизирането на процеса на връчване на призовки на електронен адрес, дистанционен достъп до и подаване на документи по електронен път за гражданите, както и възможност за провеждане на дистанционни съдебни заседания в 28-те административни съдилища. То се подкрепя от пускането в експлоатация на хардуер за съхранение на данни в център за данни. </w:t>
      </w:r>
    </w:p>
    <w:p w14:paraId="3EF1512B" w14:textId="37D78B5D" w:rsidR="00A17CA8" w:rsidRPr="00A17CA8" w:rsidRDefault="00A17CA8" w:rsidP="00A17CA8">
      <w:pPr>
        <w:spacing w:before="120" w:after="120" w:line="240" w:lineRule="auto"/>
        <w:ind w:left="850"/>
        <w:jc w:val="both"/>
        <w:rPr>
          <w:rFonts w:ascii="Times New Roman" w:eastAsia="Calibri" w:hAnsi="Times New Roman" w:cs="Times New Roman"/>
          <w:noProof/>
          <w:sz w:val="24"/>
        </w:rPr>
      </w:pPr>
      <w:r>
        <w:rPr>
          <w:rFonts w:ascii="Times New Roman" w:hAnsi="Times New Roman"/>
          <w:noProof/>
          <w:sz w:val="24"/>
        </w:rPr>
        <w:t>Очаква се с инвестициите да се подкрепи изпълнението на реформа 1 за достъпно, ефективно и предвидимо правосъдие.</w:t>
      </w:r>
    </w:p>
    <w:p w14:paraId="4AC3B264" w14:textId="711D43E1" w:rsidR="00A17CA8" w:rsidRPr="00A17CA8" w:rsidRDefault="00A17CA8" w:rsidP="00A17CA8">
      <w:pPr>
        <w:spacing w:before="120" w:after="120" w:line="240" w:lineRule="auto"/>
        <w:ind w:left="850"/>
        <w:jc w:val="both"/>
        <w:rPr>
          <w:rFonts w:ascii="Times New Roman" w:eastAsia="Calibri" w:hAnsi="Times New Roman" w:cs="Times New Roman"/>
          <w:noProof/>
          <w:sz w:val="24"/>
        </w:rPr>
      </w:pPr>
      <w:r>
        <w:rPr>
          <w:rFonts w:ascii="Times New Roman" w:hAnsi="Times New Roman"/>
          <w:noProof/>
          <w:sz w:val="24"/>
        </w:rPr>
        <w:t>Изпълнението на инвестицията трябва да приключи до 31 декември 2025 г.</w:t>
      </w:r>
    </w:p>
    <w:p w14:paraId="509F8304" w14:textId="3B5EF343" w:rsidR="00A17CA8" w:rsidRPr="00A17CA8" w:rsidRDefault="00A17CA8" w:rsidP="00A17CA8">
      <w:pPr>
        <w:spacing w:before="120" w:after="120" w:line="240" w:lineRule="auto"/>
        <w:ind w:left="850"/>
        <w:jc w:val="both"/>
        <w:rPr>
          <w:rFonts w:ascii="Times New Roman" w:eastAsia="Calibri" w:hAnsi="Times New Roman" w:cs="Times New Roman"/>
          <w:noProof/>
          <w:sz w:val="24"/>
          <w:u w:val="single"/>
        </w:rPr>
      </w:pPr>
      <w:r>
        <w:rPr>
          <w:rFonts w:ascii="Times New Roman" w:hAnsi="Times New Roman"/>
          <w:noProof/>
          <w:sz w:val="24"/>
          <w:u w:val="single"/>
        </w:rPr>
        <w:t>Инвестиция 3 (К10.И3): Трансформация на съществуващата в прокуратурата информационна и комуникационна инфраструктура</w:t>
      </w:r>
    </w:p>
    <w:p w14:paraId="1271FE62" w14:textId="77777777" w:rsidR="00A17CA8" w:rsidRPr="00A17CA8" w:rsidRDefault="00A17CA8" w:rsidP="00A17CA8">
      <w:pPr>
        <w:spacing w:before="120" w:after="120" w:line="240" w:lineRule="auto"/>
        <w:ind w:left="850"/>
        <w:jc w:val="both"/>
        <w:rPr>
          <w:rFonts w:ascii="Times New Roman" w:eastAsia="Calibri" w:hAnsi="Times New Roman" w:cs="Times New Roman"/>
          <w:noProof/>
          <w:sz w:val="24"/>
        </w:rPr>
      </w:pPr>
      <w:r>
        <w:rPr>
          <w:rFonts w:ascii="Times New Roman" w:hAnsi="Times New Roman"/>
          <w:noProof/>
          <w:sz w:val="24"/>
        </w:rPr>
        <w:t>Целта на тази инвестиция е да се увеличат цифровизацията и сигурността на обмена на информация в рамките на прокуратурата чрез модернизиране на вътрешната информационна и комуникационна инфраструктура.</w:t>
      </w:r>
    </w:p>
    <w:p w14:paraId="3A38A57B" w14:textId="77777777" w:rsidR="00A17CA8" w:rsidRPr="00A17CA8" w:rsidRDefault="00A17CA8" w:rsidP="00A17CA8">
      <w:pPr>
        <w:spacing w:before="120" w:after="120" w:line="240" w:lineRule="auto"/>
        <w:ind w:left="850"/>
        <w:jc w:val="both"/>
        <w:rPr>
          <w:rFonts w:ascii="Times New Roman" w:eastAsia="Calibri" w:hAnsi="Times New Roman" w:cs="Times New Roman"/>
          <w:noProof/>
          <w:sz w:val="24"/>
        </w:rPr>
      </w:pPr>
      <w:r>
        <w:rPr>
          <w:rFonts w:ascii="Times New Roman" w:hAnsi="Times New Roman"/>
          <w:noProof/>
          <w:sz w:val="24"/>
        </w:rPr>
        <w:t>Модернизирането се състои от:</w:t>
      </w:r>
    </w:p>
    <w:p w14:paraId="2A313C26" w14:textId="77777777" w:rsidR="00A17CA8" w:rsidRPr="00A17CA8" w:rsidRDefault="00A17CA8" w:rsidP="00A17CA8">
      <w:pPr>
        <w:pStyle w:val="ListParagraph"/>
        <w:numPr>
          <w:ilvl w:val="0"/>
          <w:numId w:val="41"/>
        </w:numPr>
        <w:spacing w:before="120" w:after="120" w:line="240" w:lineRule="auto"/>
        <w:jc w:val="both"/>
        <w:rPr>
          <w:rFonts w:ascii="Times New Roman" w:eastAsia="Calibri" w:hAnsi="Times New Roman" w:cs="Times New Roman"/>
          <w:noProof/>
          <w:sz w:val="24"/>
        </w:rPr>
      </w:pPr>
      <w:r>
        <w:rPr>
          <w:rFonts w:ascii="Times New Roman" w:hAnsi="Times New Roman"/>
          <w:noProof/>
          <w:sz w:val="24"/>
        </w:rPr>
        <w:t>по-голям вътрешен обмен на данни в електронна форма;</w:t>
      </w:r>
    </w:p>
    <w:p w14:paraId="3DDD36D3" w14:textId="77777777" w:rsidR="00A17CA8" w:rsidRPr="00A17CA8" w:rsidRDefault="00A17CA8" w:rsidP="00A17CA8">
      <w:pPr>
        <w:pStyle w:val="ListParagraph"/>
        <w:numPr>
          <w:ilvl w:val="0"/>
          <w:numId w:val="41"/>
        </w:numPr>
        <w:spacing w:before="120" w:after="120" w:line="240" w:lineRule="auto"/>
        <w:jc w:val="both"/>
        <w:rPr>
          <w:rFonts w:ascii="Times New Roman" w:eastAsia="Calibri" w:hAnsi="Times New Roman" w:cs="Times New Roman"/>
          <w:noProof/>
          <w:sz w:val="24"/>
        </w:rPr>
      </w:pPr>
      <w:r>
        <w:rPr>
          <w:rFonts w:ascii="Times New Roman" w:hAnsi="Times New Roman"/>
          <w:noProof/>
          <w:sz w:val="24"/>
        </w:rPr>
        <w:t>сигурен достъп от разстояние и електронна идентификация;</w:t>
      </w:r>
    </w:p>
    <w:p w14:paraId="6A8D1F41" w14:textId="77777777" w:rsidR="00A17CA8" w:rsidRPr="00A17CA8" w:rsidRDefault="00A17CA8" w:rsidP="00A17CA8">
      <w:pPr>
        <w:pStyle w:val="ListParagraph"/>
        <w:numPr>
          <w:ilvl w:val="0"/>
          <w:numId w:val="41"/>
        </w:numPr>
        <w:spacing w:before="120" w:after="120" w:line="240" w:lineRule="auto"/>
        <w:jc w:val="both"/>
        <w:rPr>
          <w:rFonts w:ascii="Times New Roman" w:eastAsia="Calibri" w:hAnsi="Times New Roman" w:cs="Times New Roman"/>
          <w:noProof/>
          <w:sz w:val="24"/>
        </w:rPr>
      </w:pPr>
      <w:r>
        <w:rPr>
          <w:rFonts w:ascii="Times New Roman" w:hAnsi="Times New Roman"/>
          <w:noProof/>
          <w:sz w:val="24"/>
        </w:rPr>
        <w:t>автоматичен обмен на електронни данни с други правоприлагащи органи в България;</w:t>
      </w:r>
    </w:p>
    <w:p w14:paraId="42F50250" w14:textId="145E4583" w:rsidR="00A17CA8" w:rsidRPr="00A17CA8" w:rsidRDefault="00A17CA8" w:rsidP="00A17CA8">
      <w:pPr>
        <w:pStyle w:val="ListParagraph"/>
        <w:numPr>
          <w:ilvl w:val="0"/>
          <w:numId w:val="41"/>
        </w:numPr>
        <w:spacing w:before="120" w:after="120" w:line="240" w:lineRule="auto"/>
        <w:jc w:val="both"/>
        <w:rPr>
          <w:rFonts w:ascii="Times New Roman" w:eastAsia="Calibri" w:hAnsi="Times New Roman" w:cs="Times New Roman"/>
          <w:noProof/>
          <w:sz w:val="24"/>
        </w:rPr>
      </w:pPr>
      <w:r>
        <w:rPr>
          <w:rFonts w:ascii="Times New Roman" w:hAnsi="Times New Roman"/>
          <w:noProof/>
          <w:sz w:val="24"/>
        </w:rPr>
        <w:t>интегрира вътрешната инфраструктура с Единния портал за електронно правосъдие; както и</w:t>
      </w:r>
    </w:p>
    <w:p w14:paraId="4C66A103" w14:textId="77777777" w:rsidR="00A17CA8" w:rsidRPr="00A17CA8" w:rsidRDefault="00A17CA8" w:rsidP="00A17CA8">
      <w:pPr>
        <w:pStyle w:val="ListParagraph"/>
        <w:numPr>
          <w:ilvl w:val="0"/>
          <w:numId w:val="41"/>
        </w:numPr>
        <w:spacing w:before="120" w:after="120" w:line="240" w:lineRule="auto"/>
        <w:jc w:val="both"/>
        <w:rPr>
          <w:rFonts w:ascii="Times New Roman" w:eastAsia="Calibri" w:hAnsi="Times New Roman" w:cs="Times New Roman"/>
          <w:noProof/>
          <w:sz w:val="24"/>
        </w:rPr>
      </w:pPr>
      <w:r>
        <w:rPr>
          <w:rFonts w:ascii="Times New Roman" w:hAnsi="Times New Roman"/>
          <w:noProof/>
          <w:sz w:val="24"/>
        </w:rPr>
        <w:t>повишено ниво на киберсигурност и улесняване на спазването на изискванията за защита на данните.</w:t>
      </w:r>
    </w:p>
    <w:p w14:paraId="183BC3CA" w14:textId="146F0B3F" w:rsidR="00A17CA8" w:rsidRPr="00A17CA8" w:rsidRDefault="00A17CA8" w:rsidP="00DF56F8">
      <w:pPr>
        <w:spacing w:before="120" w:after="120" w:line="240" w:lineRule="auto"/>
        <w:ind w:left="851"/>
        <w:jc w:val="both"/>
        <w:rPr>
          <w:rFonts w:ascii="Times New Roman" w:eastAsia="Calibri" w:hAnsi="Times New Roman" w:cs="Times New Roman"/>
          <w:noProof/>
          <w:sz w:val="24"/>
        </w:rPr>
      </w:pPr>
      <w:r>
        <w:rPr>
          <w:rFonts w:ascii="Times New Roman" w:hAnsi="Times New Roman"/>
          <w:noProof/>
          <w:sz w:val="24"/>
        </w:rPr>
        <w:t>Очаква се с инвестициите да се подкрепи изпълнението на реформа 2 за противодействие на корупцията.</w:t>
      </w:r>
    </w:p>
    <w:p w14:paraId="47D2CBBD" w14:textId="5BB97E09" w:rsidR="00A17CA8" w:rsidRPr="00A17CA8" w:rsidRDefault="00A17CA8" w:rsidP="00A17CA8">
      <w:pPr>
        <w:spacing w:before="120" w:after="120" w:line="240" w:lineRule="auto"/>
        <w:ind w:left="850"/>
        <w:jc w:val="both"/>
        <w:rPr>
          <w:rFonts w:ascii="Times New Roman" w:eastAsia="Calibri" w:hAnsi="Times New Roman" w:cs="Times New Roman"/>
          <w:noProof/>
          <w:sz w:val="24"/>
        </w:rPr>
      </w:pPr>
      <w:r>
        <w:rPr>
          <w:rFonts w:ascii="Times New Roman" w:hAnsi="Times New Roman"/>
          <w:noProof/>
          <w:sz w:val="24"/>
        </w:rPr>
        <w:t>Изпълнението на инвестицията ще приключи до 31 декември 2024 г.</w:t>
      </w:r>
    </w:p>
    <w:p w14:paraId="7CDEE3B4" w14:textId="77777777" w:rsidR="00A17CA8" w:rsidRPr="008A0F8A" w:rsidRDefault="00A17CA8" w:rsidP="00A17CA8">
      <w:pPr>
        <w:spacing w:before="120" w:after="120" w:line="240" w:lineRule="auto"/>
        <w:ind w:left="850"/>
        <w:jc w:val="both"/>
        <w:rPr>
          <w:rFonts w:ascii="Times New Roman" w:eastAsia="Calibri" w:hAnsi="Times New Roman" w:cs="Times New Roman"/>
          <w:noProof/>
          <w:sz w:val="24"/>
          <w:u w:val="single"/>
          <w:lang w:val="ru-RU"/>
        </w:rPr>
      </w:pPr>
    </w:p>
    <w:p w14:paraId="0DD26CA0" w14:textId="56790AF6" w:rsidR="00A17CA8" w:rsidRPr="00A17CA8" w:rsidRDefault="00A17CA8" w:rsidP="00A17CA8">
      <w:pPr>
        <w:spacing w:before="120" w:after="120" w:line="240" w:lineRule="auto"/>
        <w:ind w:left="850"/>
        <w:jc w:val="both"/>
        <w:rPr>
          <w:rFonts w:ascii="Times New Roman" w:eastAsia="Calibri" w:hAnsi="Times New Roman" w:cs="Times New Roman"/>
          <w:noProof/>
          <w:sz w:val="24"/>
          <w:u w:val="single"/>
        </w:rPr>
      </w:pPr>
      <w:r>
        <w:rPr>
          <w:rFonts w:ascii="Times New Roman" w:hAnsi="Times New Roman"/>
          <w:noProof/>
          <w:sz w:val="24"/>
          <w:u w:val="single"/>
        </w:rPr>
        <w:t>Инвестиция 4 (К10.И4): Подобряване на качеството и устойчивостта на политиките в сферата на сигурността</w:t>
      </w:r>
    </w:p>
    <w:p w14:paraId="5C9DEFE5" w14:textId="77777777" w:rsidR="00A17CA8" w:rsidRPr="00A17CA8" w:rsidRDefault="00A17CA8" w:rsidP="00A17CA8">
      <w:pPr>
        <w:spacing w:before="120" w:after="120" w:line="240" w:lineRule="auto"/>
        <w:ind w:left="850"/>
        <w:jc w:val="both"/>
        <w:rPr>
          <w:rFonts w:ascii="Times New Roman" w:eastAsia="Calibri" w:hAnsi="Times New Roman" w:cs="Times New Roman"/>
          <w:noProof/>
          <w:sz w:val="24"/>
        </w:rPr>
      </w:pPr>
      <w:r>
        <w:rPr>
          <w:rFonts w:ascii="Times New Roman" w:hAnsi="Times New Roman"/>
          <w:noProof/>
          <w:sz w:val="24"/>
        </w:rPr>
        <w:t>Целта на тези инвестиции е да се подобри качеството и ефективността на политиките за борба с корупцията и за обществената сигурност, като се подкрепи тяхната екологична и цифрова трансформация.</w:t>
      </w:r>
    </w:p>
    <w:p w14:paraId="3208FFC1" w14:textId="666936FE" w:rsidR="00A17CA8" w:rsidRDefault="00A17CA8" w:rsidP="00A17CA8">
      <w:pPr>
        <w:spacing w:before="120" w:after="120" w:line="240" w:lineRule="auto"/>
        <w:ind w:left="850"/>
        <w:jc w:val="both"/>
        <w:rPr>
          <w:rFonts w:ascii="Times New Roman" w:eastAsia="Calibri" w:hAnsi="Times New Roman" w:cs="Times New Roman"/>
          <w:noProof/>
          <w:sz w:val="24"/>
        </w:rPr>
      </w:pPr>
      <w:r>
        <w:rPr>
          <w:rFonts w:ascii="Times New Roman" w:hAnsi="Times New Roman"/>
          <w:noProof/>
          <w:sz w:val="24"/>
        </w:rPr>
        <w:t xml:space="preserve">С тези инвестиции ще се: </w:t>
      </w:r>
    </w:p>
    <w:p w14:paraId="1E48679B" w14:textId="77777777" w:rsidR="00A17CA8" w:rsidRPr="00A17CA8" w:rsidRDefault="00A17CA8" w:rsidP="00A17CA8">
      <w:pPr>
        <w:pStyle w:val="ListParagraph"/>
        <w:numPr>
          <w:ilvl w:val="0"/>
          <w:numId w:val="41"/>
        </w:numPr>
        <w:spacing w:before="120" w:after="120" w:line="240" w:lineRule="auto"/>
        <w:jc w:val="both"/>
        <w:rPr>
          <w:rFonts w:ascii="Times New Roman" w:eastAsia="Calibri" w:hAnsi="Times New Roman" w:cs="Times New Roman"/>
          <w:noProof/>
          <w:sz w:val="24"/>
        </w:rPr>
      </w:pPr>
      <w:r>
        <w:rPr>
          <w:rFonts w:ascii="Times New Roman" w:hAnsi="Times New Roman"/>
          <w:noProof/>
          <w:sz w:val="24"/>
        </w:rPr>
        <w:t>изгради Национална интелигентна система за сигурност чрез модернизиране и надграждане на съществуващите системи в Министерството на вътрешните работи;</w:t>
      </w:r>
    </w:p>
    <w:p w14:paraId="5ABB6CA4" w14:textId="4D4F090F" w:rsidR="00A17CA8" w:rsidRPr="00A17CA8" w:rsidRDefault="00863B7F" w:rsidP="00A17CA8">
      <w:pPr>
        <w:pStyle w:val="ListParagraph"/>
        <w:numPr>
          <w:ilvl w:val="0"/>
          <w:numId w:val="41"/>
        </w:numPr>
        <w:spacing w:before="120" w:after="120" w:line="240" w:lineRule="auto"/>
        <w:jc w:val="both"/>
        <w:rPr>
          <w:rFonts w:ascii="Times New Roman" w:eastAsia="Calibri" w:hAnsi="Times New Roman" w:cs="Times New Roman"/>
          <w:noProof/>
          <w:sz w:val="24"/>
        </w:rPr>
      </w:pPr>
      <w:r>
        <w:rPr>
          <w:rFonts w:ascii="Times New Roman" w:hAnsi="Times New Roman"/>
          <w:noProof/>
          <w:sz w:val="24"/>
        </w:rPr>
        <w:t>изградят на редица места и интегрират системи за видеонаблюдение с функционалност за разпознаване на номера на превозното средство;</w:t>
      </w:r>
    </w:p>
    <w:p w14:paraId="6343A66B" w14:textId="77777777" w:rsidR="00A17CA8" w:rsidRPr="00A17CA8" w:rsidRDefault="00A17CA8" w:rsidP="00A17CA8">
      <w:pPr>
        <w:pStyle w:val="ListParagraph"/>
        <w:numPr>
          <w:ilvl w:val="0"/>
          <w:numId w:val="41"/>
        </w:numPr>
        <w:spacing w:before="120" w:after="120" w:line="240" w:lineRule="auto"/>
        <w:jc w:val="both"/>
        <w:rPr>
          <w:rFonts w:ascii="Times New Roman" w:eastAsia="Calibri" w:hAnsi="Times New Roman" w:cs="Times New Roman"/>
          <w:noProof/>
          <w:sz w:val="24"/>
        </w:rPr>
      </w:pPr>
      <w:r>
        <w:rPr>
          <w:rFonts w:ascii="Times New Roman" w:hAnsi="Times New Roman"/>
          <w:noProof/>
          <w:sz w:val="24"/>
        </w:rPr>
        <w:t xml:space="preserve">осигурят нови, щадящи околната среда полицейски превозни средства с оборудване за видеонаблюдение, които да заменят 300 от най-старите използвани патрулни превозни средства. </w:t>
      </w:r>
    </w:p>
    <w:p w14:paraId="355444B8" w14:textId="4309802E" w:rsidR="00A17CA8" w:rsidRPr="00A17CA8" w:rsidRDefault="00A17CA8" w:rsidP="00DF56F8">
      <w:pPr>
        <w:spacing w:before="120" w:after="120" w:line="240" w:lineRule="auto"/>
        <w:ind w:left="851"/>
        <w:jc w:val="both"/>
        <w:rPr>
          <w:rFonts w:ascii="Times New Roman" w:eastAsia="Calibri" w:hAnsi="Times New Roman" w:cs="Times New Roman"/>
          <w:noProof/>
          <w:sz w:val="24"/>
        </w:rPr>
      </w:pPr>
      <w:r>
        <w:rPr>
          <w:rFonts w:ascii="Times New Roman" w:hAnsi="Times New Roman"/>
          <w:noProof/>
          <w:sz w:val="24"/>
        </w:rPr>
        <w:t>Очаква се с инвестициите да се подкрепи изпълнението на реформа 2 за противодействие на корупцията.</w:t>
      </w:r>
    </w:p>
    <w:p w14:paraId="7CDD0541" w14:textId="46F04BA0" w:rsidR="00A17CA8" w:rsidRPr="00A17CA8" w:rsidRDefault="00A17CA8" w:rsidP="00A17CA8">
      <w:pPr>
        <w:spacing w:before="120" w:after="120" w:line="240" w:lineRule="auto"/>
        <w:ind w:left="850"/>
        <w:jc w:val="both"/>
        <w:rPr>
          <w:rFonts w:ascii="Times New Roman" w:eastAsia="Calibri" w:hAnsi="Times New Roman" w:cs="Times New Roman"/>
          <w:noProof/>
          <w:sz w:val="24"/>
        </w:rPr>
      </w:pPr>
      <w:r>
        <w:rPr>
          <w:rFonts w:ascii="Times New Roman" w:hAnsi="Times New Roman"/>
          <w:noProof/>
          <w:sz w:val="24"/>
        </w:rPr>
        <w:t>Изпълнението на инвестицията ще приключи до 31 декември 2024 г.</w:t>
      </w:r>
    </w:p>
    <w:p w14:paraId="461F9A94" w14:textId="77777777" w:rsidR="00A17CA8" w:rsidRPr="008A0F8A" w:rsidRDefault="00A17CA8" w:rsidP="00A17CA8">
      <w:pPr>
        <w:spacing w:before="120" w:after="120" w:line="240" w:lineRule="auto"/>
        <w:ind w:left="850"/>
        <w:jc w:val="both"/>
        <w:rPr>
          <w:rFonts w:ascii="Times New Roman" w:eastAsia="Calibri" w:hAnsi="Times New Roman" w:cs="Times New Roman"/>
          <w:noProof/>
          <w:sz w:val="24"/>
          <w:lang w:val="ru-RU"/>
        </w:rPr>
      </w:pPr>
    </w:p>
    <w:p w14:paraId="4502C0C1" w14:textId="7117A15F" w:rsidR="00A17CA8" w:rsidRPr="00A17CA8" w:rsidRDefault="00A17CA8" w:rsidP="00A17CA8">
      <w:pPr>
        <w:spacing w:before="120" w:after="120" w:line="240" w:lineRule="auto"/>
        <w:ind w:left="850"/>
        <w:jc w:val="both"/>
        <w:rPr>
          <w:rFonts w:ascii="Times New Roman" w:eastAsia="Calibri" w:hAnsi="Times New Roman" w:cs="Times New Roman"/>
          <w:noProof/>
          <w:sz w:val="24"/>
          <w:u w:val="single"/>
        </w:rPr>
      </w:pPr>
      <w:r>
        <w:rPr>
          <w:rFonts w:ascii="Times New Roman" w:hAnsi="Times New Roman"/>
          <w:noProof/>
          <w:sz w:val="24"/>
          <w:u w:val="single"/>
        </w:rPr>
        <w:t xml:space="preserve">Инвестиция 6 (К10.И6): Подкрепа на пилотна фаза за въвеждане на строително информационното моделиране </w:t>
      </w:r>
    </w:p>
    <w:p w14:paraId="15A9935E" w14:textId="77777777" w:rsidR="00A17CA8" w:rsidRPr="00A17CA8" w:rsidRDefault="00A17CA8" w:rsidP="00A17CA8">
      <w:pPr>
        <w:spacing w:before="120" w:after="120" w:line="240" w:lineRule="auto"/>
        <w:ind w:left="850"/>
        <w:jc w:val="both"/>
        <w:rPr>
          <w:rFonts w:ascii="Times New Roman" w:eastAsia="Calibri" w:hAnsi="Times New Roman" w:cs="Times New Roman"/>
          <w:noProof/>
          <w:sz w:val="24"/>
        </w:rPr>
      </w:pPr>
      <w:r>
        <w:rPr>
          <w:rFonts w:ascii="Times New Roman" w:hAnsi="Times New Roman"/>
          <w:noProof/>
          <w:sz w:val="24"/>
        </w:rPr>
        <w:t xml:space="preserve">Целта на тази инвестиция е да се изгради капацитетът на СИМ общността в България. </w:t>
      </w:r>
    </w:p>
    <w:p w14:paraId="25873C2A" w14:textId="77777777" w:rsidR="00A17CA8" w:rsidRPr="00A17CA8" w:rsidRDefault="00A17CA8" w:rsidP="00A17CA8">
      <w:pPr>
        <w:spacing w:before="120" w:after="120" w:line="240" w:lineRule="auto"/>
        <w:ind w:left="850"/>
        <w:jc w:val="both"/>
        <w:rPr>
          <w:rFonts w:ascii="Times New Roman" w:eastAsia="Calibri" w:hAnsi="Times New Roman" w:cs="Times New Roman"/>
          <w:noProof/>
          <w:sz w:val="24"/>
        </w:rPr>
      </w:pPr>
      <w:r>
        <w:rPr>
          <w:rFonts w:ascii="Times New Roman" w:hAnsi="Times New Roman"/>
          <w:noProof/>
          <w:sz w:val="24"/>
        </w:rPr>
        <w:t xml:space="preserve">Инвестицията включва специализирано обучение за експерти в държавната администрация, изграждане на уебсайт с онлайн курсове и материали за експерти от частния сектор, създаване на интегриран СИМ модул за Единната информационна система по устройство на територията, инвестиционно проектиране и разрешаване на строителството и ИТ обезпечаване (хардуер и софтуер) за експерти от общинската, областна и държавна администрация. </w:t>
      </w:r>
    </w:p>
    <w:p w14:paraId="501BE7E1" w14:textId="70862E05" w:rsidR="00A17CA8" w:rsidRPr="00A17CA8" w:rsidRDefault="00A17CA8" w:rsidP="00A17CA8">
      <w:pPr>
        <w:spacing w:before="120" w:after="120" w:line="240" w:lineRule="auto"/>
        <w:ind w:left="850"/>
        <w:jc w:val="both"/>
        <w:rPr>
          <w:rFonts w:ascii="Times New Roman" w:eastAsia="Calibri" w:hAnsi="Times New Roman" w:cs="Times New Roman"/>
          <w:noProof/>
          <w:sz w:val="24"/>
          <w:u w:val="single"/>
        </w:rPr>
      </w:pPr>
      <w:r>
        <w:rPr>
          <w:rFonts w:ascii="Times New Roman" w:hAnsi="Times New Roman"/>
          <w:noProof/>
          <w:sz w:val="24"/>
        </w:rPr>
        <w:t>Изпълнението на инвестицията ще приключи до 30 юни 2026 г.</w:t>
      </w:r>
    </w:p>
    <w:p w14:paraId="599B8DA9" w14:textId="1C90E451" w:rsidR="00A17CA8" w:rsidRPr="00A17CA8" w:rsidRDefault="00A17CA8" w:rsidP="00A17CA8">
      <w:pPr>
        <w:spacing w:before="120" w:after="120" w:line="240" w:lineRule="auto"/>
        <w:ind w:left="850"/>
        <w:jc w:val="both"/>
        <w:rPr>
          <w:rFonts w:ascii="Times New Roman" w:eastAsia="Calibri" w:hAnsi="Times New Roman" w:cs="Times New Roman"/>
          <w:noProof/>
          <w:sz w:val="24"/>
          <w:u w:val="single"/>
        </w:rPr>
      </w:pPr>
      <w:r>
        <w:rPr>
          <w:rFonts w:ascii="Times New Roman" w:hAnsi="Times New Roman"/>
          <w:noProof/>
          <w:sz w:val="24"/>
          <w:u w:val="single"/>
        </w:rPr>
        <w:t>Инвестиция 7 (К10.И7): Единна информационна система по устройство на територията, инвестиционно проектиране и разрешаване на строителството</w:t>
      </w:r>
    </w:p>
    <w:p w14:paraId="3F966DF4" w14:textId="77777777" w:rsidR="00A17CA8" w:rsidRPr="00A17CA8" w:rsidRDefault="00A17CA8" w:rsidP="00A17CA8">
      <w:pPr>
        <w:spacing w:before="120" w:after="120" w:line="240" w:lineRule="auto"/>
        <w:ind w:left="850"/>
        <w:jc w:val="both"/>
        <w:rPr>
          <w:rFonts w:ascii="Times New Roman" w:eastAsia="Calibri" w:hAnsi="Times New Roman" w:cs="Times New Roman"/>
          <w:noProof/>
          <w:sz w:val="24"/>
        </w:rPr>
      </w:pPr>
      <w:r>
        <w:rPr>
          <w:rFonts w:ascii="Times New Roman" w:hAnsi="Times New Roman"/>
          <w:noProof/>
          <w:sz w:val="24"/>
        </w:rPr>
        <w:t xml:space="preserve">Целта на тази инвестиция е да се намали свързаната със строителството административна тежест за гражданите и предприятията чрез създаване на платформа за предоставяне на електронни административни услуги по устройство на територията и разрешаване на строителството. </w:t>
      </w:r>
    </w:p>
    <w:p w14:paraId="0904F027" w14:textId="77777777" w:rsidR="00A17CA8" w:rsidRPr="00A17CA8" w:rsidRDefault="00A17CA8" w:rsidP="00A17CA8">
      <w:pPr>
        <w:spacing w:before="120" w:after="120" w:line="240" w:lineRule="auto"/>
        <w:ind w:left="850"/>
        <w:jc w:val="both"/>
        <w:rPr>
          <w:rFonts w:ascii="Times New Roman" w:eastAsia="Calibri" w:hAnsi="Times New Roman" w:cs="Times New Roman"/>
          <w:noProof/>
          <w:sz w:val="24"/>
        </w:rPr>
      </w:pPr>
      <w:r>
        <w:rPr>
          <w:rFonts w:ascii="Times New Roman" w:hAnsi="Times New Roman"/>
          <w:noProof/>
          <w:sz w:val="24"/>
        </w:rPr>
        <w:t xml:space="preserve">Очаква се проектът да съкрати значително времето за предоставяне на услуги по устройственото планиране, инвестиционното проектиране и въвеждането в експлоатация на завършените строежи, като ще се създадат възможности за извършване на комплексни електронни административни услуги. </w:t>
      </w:r>
    </w:p>
    <w:p w14:paraId="1D7DB8B9" w14:textId="66A0721F" w:rsidR="00A17CA8" w:rsidRPr="00A17CA8" w:rsidRDefault="00A17CA8" w:rsidP="00A17CA8">
      <w:pPr>
        <w:spacing w:before="120" w:after="120" w:line="240" w:lineRule="auto"/>
        <w:ind w:left="850"/>
        <w:jc w:val="both"/>
        <w:rPr>
          <w:rFonts w:ascii="Times New Roman" w:eastAsia="Calibri" w:hAnsi="Times New Roman" w:cs="Times New Roman"/>
          <w:noProof/>
          <w:sz w:val="24"/>
        </w:rPr>
      </w:pPr>
      <w:r>
        <w:rPr>
          <w:rFonts w:ascii="Times New Roman" w:hAnsi="Times New Roman"/>
          <w:noProof/>
          <w:sz w:val="24"/>
        </w:rPr>
        <w:t>Изпълнението на инвестицията ще приключи до 30 юни 2026 г.</w:t>
      </w:r>
    </w:p>
    <w:p w14:paraId="7B245FA7" w14:textId="4219DB06" w:rsidR="00A17CA8" w:rsidRPr="00A17CA8" w:rsidRDefault="00A17CA8" w:rsidP="00A17CA8">
      <w:pPr>
        <w:spacing w:before="120" w:after="120" w:line="240" w:lineRule="auto"/>
        <w:ind w:left="850"/>
        <w:jc w:val="both"/>
        <w:rPr>
          <w:rFonts w:ascii="Times New Roman" w:eastAsia="Calibri" w:hAnsi="Times New Roman" w:cs="Times New Roman"/>
          <w:noProof/>
          <w:sz w:val="24"/>
          <w:u w:val="single"/>
        </w:rPr>
      </w:pPr>
      <w:r>
        <w:rPr>
          <w:rFonts w:ascii="Times New Roman" w:hAnsi="Times New Roman"/>
          <w:noProof/>
          <w:sz w:val="24"/>
          <w:u w:val="single"/>
        </w:rPr>
        <w:t>Инвестиция 8 (К10.И8): Пространствен мониторинг, контрол и управление чрез модернизиране на Центъра за аерокосмическо наблюдение (ЦАН)</w:t>
      </w:r>
    </w:p>
    <w:p w14:paraId="3D7690B0" w14:textId="77777777" w:rsidR="00A17CA8" w:rsidRPr="00A17CA8" w:rsidRDefault="00A17CA8" w:rsidP="00A17CA8">
      <w:pPr>
        <w:spacing w:before="120" w:after="120" w:line="240" w:lineRule="auto"/>
        <w:ind w:left="850"/>
        <w:jc w:val="both"/>
        <w:rPr>
          <w:rFonts w:ascii="Times New Roman" w:eastAsia="Calibri" w:hAnsi="Times New Roman" w:cs="Times New Roman"/>
          <w:noProof/>
          <w:sz w:val="24"/>
        </w:rPr>
      </w:pPr>
      <w:r>
        <w:rPr>
          <w:rFonts w:ascii="Times New Roman" w:hAnsi="Times New Roman"/>
          <w:noProof/>
          <w:sz w:val="24"/>
        </w:rPr>
        <w:t>Целта на тези инвестиции е да се подпомогне основаното на данни създаване на политики за справяне с предизвикателствата пред публичния и частния сектор, включително в контекста на извънредни ситуации за обществото.</w:t>
      </w:r>
    </w:p>
    <w:p w14:paraId="08999612" w14:textId="5C2555FF" w:rsidR="00A17CA8" w:rsidRPr="00A17CA8" w:rsidRDefault="00A17CA8" w:rsidP="00A17CA8">
      <w:pPr>
        <w:spacing w:before="120" w:after="120" w:line="240" w:lineRule="auto"/>
        <w:ind w:left="850"/>
        <w:jc w:val="both"/>
        <w:rPr>
          <w:rFonts w:ascii="Times New Roman" w:eastAsia="Calibri" w:hAnsi="Times New Roman" w:cs="Times New Roman"/>
          <w:noProof/>
          <w:sz w:val="24"/>
        </w:rPr>
      </w:pPr>
      <w:r>
        <w:rPr>
          <w:rFonts w:ascii="Times New Roman" w:hAnsi="Times New Roman"/>
          <w:noProof/>
          <w:sz w:val="24"/>
        </w:rPr>
        <w:t>Това ще бъде постигнато чрез:</w:t>
      </w:r>
    </w:p>
    <w:p w14:paraId="071ED3C2" w14:textId="478FD203" w:rsidR="00A17CA8" w:rsidRPr="00A17CA8" w:rsidRDefault="009F658A" w:rsidP="009F658A">
      <w:pPr>
        <w:pStyle w:val="ListParagraph"/>
        <w:numPr>
          <w:ilvl w:val="0"/>
          <w:numId w:val="41"/>
        </w:numPr>
        <w:spacing w:before="120" w:after="120" w:line="240" w:lineRule="auto"/>
        <w:jc w:val="both"/>
        <w:rPr>
          <w:rFonts w:ascii="Times New Roman" w:eastAsia="Calibri" w:hAnsi="Times New Roman" w:cs="Times New Roman"/>
          <w:noProof/>
          <w:sz w:val="24"/>
        </w:rPr>
      </w:pPr>
      <w:r>
        <w:rPr>
          <w:rFonts w:ascii="Times New Roman" w:hAnsi="Times New Roman"/>
          <w:noProof/>
          <w:sz w:val="24"/>
        </w:rPr>
        <w:t>модернизиране на хардуера на Центъра за авиокосмическо наблюдение към Министерството на вътрешните работи, позволяващо получаване на данни от повече спътници и сензори, както и от безпилотни летателни системи, заедно с експлоатацията на софтуер за обработка на получените данни;</w:t>
      </w:r>
    </w:p>
    <w:p w14:paraId="44AE7B30" w14:textId="3446F64A" w:rsidR="00A17CA8" w:rsidRPr="00A17CA8" w:rsidRDefault="009F658A" w:rsidP="00A17CA8">
      <w:pPr>
        <w:pStyle w:val="ListParagraph"/>
        <w:numPr>
          <w:ilvl w:val="0"/>
          <w:numId w:val="41"/>
        </w:numPr>
        <w:spacing w:before="120" w:after="120" w:line="240" w:lineRule="auto"/>
        <w:jc w:val="both"/>
        <w:rPr>
          <w:rFonts w:ascii="Times New Roman" w:eastAsia="Calibri" w:hAnsi="Times New Roman" w:cs="Times New Roman"/>
          <w:noProof/>
          <w:sz w:val="24"/>
        </w:rPr>
      </w:pPr>
      <w:r>
        <w:rPr>
          <w:rFonts w:ascii="Times New Roman" w:hAnsi="Times New Roman"/>
          <w:noProof/>
          <w:sz w:val="24"/>
        </w:rPr>
        <w:t>разширяване на капацитета на центровете за данни към Министерството на вътрешните работи.</w:t>
      </w:r>
    </w:p>
    <w:p w14:paraId="6F86D3AD" w14:textId="2163455C" w:rsidR="00A17CA8" w:rsidRPr="00A17CA8" w:rsidRDefault="00A17CA8" w:rsidP="00A17CA8">
      <w:pPr>
        <w:spacing w:before="120" w:after="120" w:line="240" w:lineRule="auto"/>
        <w:ind w:left="850"/>
        <w:jc w:val="both"/>
        <w:rPr>
          <w:rFonts w:ascii="Times New Roman" w:eastAsia="Calibri" w:hAnsi="Times New Roman" w:cs="Times New Roman"/>
          <w:noProof/>
          <w:sz w:val="24"/>
        </w:rPr>
      </w:pPr>
      <w:r>
        <w:rPr>
          <w:rFonts w:ascii="Times New Roman" w:hAnsi="Times New Roman"/>
          <w:noProof/>
          <w:sz w:val="24"/>
        </w:rPr>
        <w:t>Изпълнението на инвестицията ще приключи до 30 юни 2024 г.</w:t>
      </w:r>
    </w:p>
    <w:p w14:paraId="227382F8" w14:textId="62A10E77" w:rsidR="00A17CA8" w:rsidRPr="00A17CA8" w:rsidRDefault="00A17CA8" w:rsidP="6CF72A21">
      <w:pPr>
        <w:spacing w:before="120" w:after="120" w:line="240" w:lineRule="auto"/>
        <w:ind w:left="850"/>
        <w:jc w:val="both"/>
        <w:rPr>
          <w:rFonts w:ascii="Times New Roman" w:eastAsia="Calibri" w:hAnsi="Times New Roman" w:cs="Times New Roman"/>
          <w:noProof/>
          <w:sz w:val="24"/>
          <w:szCs w:val="24"/>
          <w:u w:val="single"/>
        </w:rPr>
      </w:pPr>
      <w:r>
        <w:rPr>
          <w:rFonts w:ascii="Times New Roman" w:hAnsi="Times New Roman"/>
          <w:noProof/>
          <w:sz w:val="24"/>
          <w:u w:val="single"/>
        </w:rPr>
        <w:t>Инвестиция 9 (К10.И9): Дигитализиране на информационни масиви в администрацията, съдържащи регистрови данни</w:t>
      </w:r>
    </w:p>
    <w:p w14:paraId="447425F5" w14:textId="77777777" w:rsidR="00A17CA8" w:rsidRPr="00A17CA8" w:rsidRDefault="00A17CA8" w:rsidP="00A17CA8">
      <w:pPr>
        <w:spacing w:before="120" w:after="120" w:line="240" w:lineRule="auto"/>
        <w:ind w:left="850"/>
        <w:jc w:val="both"/>
        <w:rPr>
          <w:rFonts w:ascii="Times New Roman" w:eastAsia="Calibri" w:hAnsi="Times New Roman" w:cs="Times New Roman"/>
          <w:noProof/>
          <w:sz w:val="24"/>
        </w:rPr>
      </w:pPr>
      <w:r>
        <w:rPr>
          <w:rFonts w:ascii="Times New Roman" w:hAnsi="Times New Roman"/>
          <w:noProof/>
          <w:sz w:val="24"/>
        </w:rPr>
        <w:t>Целта на тези инвестиции е да се подкрепи цифровизацията на публичната администрация.</w:t>
      </w:r>
    </w:p>
    <w:p w14:paraId="36E0F4E2" w14:textId="4C8ADAC6" w:rsidR="00A17CA8" w:rsidRPr="00A17CA8" w:rsidRDefault="00A17CA8" w:rsidP="00A17CA8">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 xml:space="preserve">Това се постига чрез цифровизация на регистрите на хартиен носител на Агенцията по вписванията и на Агенцията по геодезия, картография и кадастър, както и чрез цифровизация на актовете за гражданско състояние, съхранявани от общинските администрации. </w:t>
      </w:r>
    </w:p>
    <w:p w14:paraId="6F1F4383" w14:textId="3505F65E" w:rsidR="00A17CA8" w:rsidRPr="00A17CA8" w:rsidRDefault="00A17CA8" w:rsidP="00A17CA8">
      <w:pPr>
        <w:spacing w:before="120" w:after="120" w:line="240" w:lineRule="auto"/>
        <w:ind w:left="850"/>
        <w:jc w:val="both"/>
        <w:rPr>
          <w:rFonts w:ascii="Times New Roman" w:eastAsia="Calibri" w:hAnsi="Times New Roman" w:cs="Times New Roman"/>
          <w:noProof/>
          <w:sz w:val="24"/>
        </w:rPr>
      </w:pPr>
      <w:r>
        <w:rPr>
          <w:rFonts w:ascii="Times New Roman" w:hAnsi="Times New Roman"/>
          <w:noProof/>
          <w:sz w:val="24"/>
        </w:rPr>
        <w:t>Изпълнението на инвестицията ще приключи до 31 март 2026 г.</w:t>
      </w:r>
    </w:p>
    <w:p w14:paraId="1C78D1BE" w14:textId="5247984D" w:rsidR="00A17CA8" w:rsidRPr="00A17CA8" w:rsidRDefault="00A17CA8" w:rsidP="00A17CA8">
      <w:pPr>
        <w:spacing w:before="120" w:after="120" w:line="240" w:lineRule="auto"/>
        <w:ind w:left="850"/>
        <w:jc w:val="both"/>
        <w:rPr>
          <w:rFonts w:ascii="Times New Roman" w:eastAsia="Calibri" w:hAnsi="Times New Roman" w:cs="Times New Roman"/>
          <w:noProof/>
          <w:sz w:val="24"/>
          <w:u w:val="single"/>
        </w:rPr>
      </w:pPr>
      <w:r>
        <w:rPr>
          <w:rFonts w:ascii="Times New Roman" w:hAnsi="Times New Roman"/>
          <w:noProof/>
          <w:sz w:val="24"/>
          <w:u w:val="single"/>
        </w:rPr>
        <w:t>Инвестиция 10 (К10.И10): Модернизирана система за стратегическо планиране</w:t>
      </w:r>
    </w:p>
    <w:p w14:paraId="62132D34" w14:textId="77777777" w:rsidR="00A17CA8" w:rsidRPr="00A17CA8" w:rsidRDefault="00A17CA8" w:rsidP="00A17CA8">
      <w:pPr>
        <w:spacing w:before="120" w:after="120" w:line="240" w:lineRule="auto"/>
        <w:ind w:left="850"/>
        <w:jc w:val="both"/>
        <w:rPr>
          <w:rFonts w:ascii="Times New Roman" w:eastAsia="Calibri" w:hAnsi="Times New Roman" w:cs="Times New Roman"/>
          <w:noProof/>
          <w:sz w:val="24"/>
        </w:rPr>
      </w:pPr>
      <w:r>
        <w:rPr>
          <w:rFonts w:ascii="Times New Roman" w:hAnsi="Times New Roman"/>
          <w:noProof/>
          <w:sz w:val="24"/>
        </w:rPr>
        <w:t xml:space="preserve">Целта на тези инвестиции е да се подкрепи процесът на стратегическо планиране в рамките на централното правителство. </w:t>
      </w:r>
    </w:p>
    <w:p w14:paraId="14BA1329" w14:textId="77777777" w:rsidR="00A17CA8" w:rsidRPr="00A17CA8" w:rsidRDefault="00A17CA8" w:rsidP="00A17CA8">
      <w:pPr>
        <w:spacing w:before="120" w:after="120" w:line="240" w:lineRule="auto"/>
        <w:ind w:left="850"/>
        <w:jc w:val="both"/>
        <w:rPr>
          <w:rFonts w:ascii="Times New Roman" w:eastAsia="Calibri" w:hAnsi="Times New Roman" w:cs="Times New Roman"/>
          <w:noProof/>
          <w:sz w:val="24"/>
        </w:rPr>
      </w:pPr>
      <w:r>
        <w:rPr>
          <w:rFonts w:ascii="Times New Roman" w:hAnsi="Times New Roman"/>
          <w:noProof/>
          <w:sz w:val="24"/>
        </w:rPr>
        <w:t xml:space="preserve">Това се постига чрез модернизиране на мониторинговата информационна система на Националния статистически институт в инструмент за стратегическо планиране, следящ изпълнението на всички стратегически документи на централно държавно равнище. Освен че обхваща всички съществуващи стратегически документи, информационната система подкрепя и съгласуването на тези стратегии с целите на ООН за устойчиво развитие. </w:t>
      </w:r>
    </w:p>
    <w:p w14:paraId="417DDB9E" w14:textId="04D623DF" w:rsidR="00A17CA8" w:rsidRPr="00A17CA8" w:rsidRDefault="00A17CA8" w:rsidP="00A17CA8">
      <w:pPr>
        <w:spacing w:before="120" w:after="120" w:line="240" w:lineRule="auto"/>
        <w:ind w:left="850"/>
        <w:jc w:val="both"/>
        <w:rPr>
          <w:rFonts w:ascii="Times New Roman" w:eastAsia="Calibri" w:hAnsi="Times New Roman" w:cs="Times New Roman"/>
          <w:noProof/>
          <w:sz w:val="24"/>
        </w:rPr>
      </w:pPr>
      <w:r>
        <w:rPr>
          <w:rFonts w:ascii="Times New Roman" w:hAnsi="Times New Roman"/>
          <w:noProof/>
          <w:sz w:val="24"/>
        </w:rPr>
        <w:t>Изпълнението на инвестицията ще приключи до 31 декември 2025 г.</w:t>
      </w:r>
    </w:p>
    <w:p w14:paraId="145F206E" w14:textId="77777777" w:rsidR="00A17CA8" w:rsidRPr="008A0F8A" w:rsidRDefault="00A17CA8" w:rsidP="00A17CA8">
      <w:pPr>
        <w:spacing w:before="120" w:after="120" w:line="240" w:lineRule="auto"/>
        <w:ind w:left="850"/>
        <w:jc w:val="both"/>
        <w:rPr>
          <w:rFonts w:ascii="Times New Roman" w:eastAsia="Calibri" w:hAnsi="Times New Roman" w:cs="Times New Roman"/>
          <w:noProof/>
          <w:sz w:val="24"/>
          <w:lang w:val="ru-RU"/>
        </w:rPr>
      </w:pPr>
    </w:p>
    <w:p w14:paraId="206BE23F" w14:textId="639400F3" w:rsidR="00A17CA8" w:rsidRPr="00A17CA8" w:rsidRDefault="00A17CA8" w:rsidP="00A17CA8">
      <w:pPr>
        <w:spacing w:before="120" w:after="120" w:line="240" w:lineRule="auto"/>
        <w:ind w:left="850"/>
        <w:jc w:val="both"/>
        <w:rPr>
          <w:rFonts w:ascii="Times New Roman" w:eastAsia="Calibri" w:hAnsi="Times New Roman" w:cs="Times New Roman"/>
          <w:noProof/>
          <w:sz w:val="24"/>
          <w:u w:val="single"/>
        </w:rPr>
      </w:pPr>
      <w:r>
        <w:rPr>
          <w:rFonts w:ascii="Times New Roman" w:hAnsi="Times New Roman"/>
          <w:noProof/>
          <w:sz w:val="24"/>
          <w:u w:val="single"/>
        </w:rPr>
        <w:t>Инвестиция 11 (К10.И11): Осигуряване на адекватна информационна и административна среда за изпълнение на Плана за възстановяване и устойчивост</w:t>
      </w:r>
    </w:p>
    <w:p w14:paraId="65D34CE6" w14:textId="77777777" w:rsidR="00A17CA8" w:rsidRPr="00A17CA8" w:rsidRDefault="00A17CA8" w:rsidP="00A17CA8">
      <w:pPr>
        <w:spacing w:before="120" w:after="120" w:line="240" w:lineRule="auto"/>
        <w:ind w:left="850"/>
        <w:jc w:val="both"/>
        <w:rPr>
          <w:rFonts w:ascii="Times New Roman" w:eastAsia="Calibri" w:hAnsi="Times New Roman" w:cs="Times New Roman"/>
          <w:noProof/>
          <w:sz w:val="24"/>
        </w:rPr>
      </w:pPr>
      <w:r>
        <w:rPr>
          <w:rFonts w:ascii="Times New Roman" w:hAnsi="Times New Roman"/>
          <w:noProof/>
          <w:sz w:val="24"/>
        </w:rPr>
        <w:t>Целта на тази инвестиция е да се подобрят информацията и административният капацитет за изпълнението на ключови проекти в контекста на основаното на резултатите финансиране, с акцент върху плана за възстановяване и устойчивост на България.</w:t>
      </w:r>
    </w:p>
    <w:p w14:paraId="7639EE5D" w14:textId="77777777" w:rsidR="00A17CA8" w:rsidRPr="00A17CA8" w:rsidRDefault="00A17CA8" w:rsidP="00A17CA8">
      <w:pPr>
        <w:spacing w:before="120" w:after="120" w:line="240" w:lineRule="auto"/>
        <w:ind w:left="850"/>
        <w:jc w:val="both"/>
        <w:rPr>
          <w:rFonts w:ascii="Times New Roman" w:eastAsia="Calibri" w:hAnsi="Times New Roman" w:cs="Times New Roman"/>
          <w:noProof/>
          <w:sz w:val="24"/>
        </w:rPr>
      </w:pPr>
      <w:r>
        <w:rPr>
          <w:rFonts w:ascii="Times New Roman" w:hAnsi="Times New Roman"/>
          <w:noProof/>
          <w:sz w:val="24"/>
        </w:rPr>
        <w:t>Това се постига чрез по-нататъшна модернизация на Единната информационна система за управление, включваща подобрено предоставяне и анализ на данни от ARACHNE, и провеждане на обучения относно обществените поръчки за крайните получатели на средства, с акцент върху бенефициерите с установени слабости. Освен това се публикува административна карта, в която се анализира капацитетът на бенефициерите.</w:t>
      </w:r>
    </w:p>
    <w:p w14:paraId="277A6BAF" w14:textId="77777777" w:rsidR="00A17CA8" w:rsidRPr="00A17CA8" w:rsidRDefault="00A17CA8" w:rsidP="00A17CA8">
      <w:pPr>
        <w:spacing w:before="120" w:after="120" w:line="240" w:lineRule="auto"/>
        <w:ind w:left="850"/>
        <w:jc w:val="both"/>
        <w:rPr>
          <w:rFonts w:ascii="Times New Roman" w:eastAsia="Calibri" w:hAnsi="Times New Roman" w:cs="Times New Roman"/>
          <w:noProof/>
          <w:sz w:val="24"/>
        </w:rPr>
      </w:pPr>
      <w:r>
        <w:rPr>
          <w:rFonts w:ascii="Times New Roman" w:hAnsi="Times New Roman"/>
          <w:noProof/>
          <w:sz w:val="24"/>
        </w:rPr>
        <w:t>За да се създаде правна и институционална рамка за адекватното функциониране на системите за контрол и одит на плана за възстановяване и устойчивост на България, реформата включва:</w:t>
      </w:r>
    </w:p>
    <w:p w14:paraId="1E81E2D5" w14:textId="77777777" w:rsidR="00A17CA8" w:rsidRPr="00A17CA8" w:rsidRDefault="00A17CA8" w:rsidP="00A17CA8">
      <w:pPr>
        <w:pStyle w:val="ListParagraph"/>
        <w:numPr>
          <w:ilvl w:val="0"/>
          <w:numId w:val="40"/>
        </w:numPr>
        <w:spacing w:before="120" w:after="120" w:line="240" w:lineRule="auto"/>
        <w:jc w:val="both"/>
        <w:rPr>
          <w:rFonts w:ascii="Times New Roman" w:eastAsia="Calibri" w:hAnsi="Times New Roman" w:cs="Times New Roman"/>
          <w:noProof/>
          <w:sz w:val="24"/>
        </w:rPr>
      </w:pPr>
      <w:r>
        <w:rPr>
          <w:rFonts w:ascii="Times New Roman" w:hAnsi="Times New Roman"/>
          <w:noProof/>
          <w:sz w:val="24"/>
        </w:rPr>
        <w:t>създаване на система от регистри с всички функционалности, необходими за мониторинг на изпълнението на плана за възстановяване и устойчивост на България;</w:t>
      </w:r>
    </w:p>
    <w:p w14:paraId="77E7B914" w14:textId="77777777" w:rsidR="00A17CA8" w:rsidRPr="00A17CA8" w:rsidRDefault="00A17CA8" w:rsidP="00A17CA8">
      <w:pPr>
        <w:pStyle w:val="ListParagraph"/>
        <w:numPr>
          <w:ilvl w:val="0"/>
          <w:numId w:val="40"/>
        </w:numPr>
        <w:spacing w:before="120" w:after="120" w:line="240" w:lineRule="auto"/>
        <w:jc w:val="both"/>
        <w:rPr>
          <w:rFonts w:ascii="Times New Roman" w:eastAsia="Calibri" w:hAnsi="Times New Roman" w:cs="Times New Roman"/>
          <w:noProof/>
          <w:sz w:val="24"/>
        </w:rPr>
      </w:pPr>
      <w:r>
        <w:rPr>
          <w:rFonts w:ascii="Times New Roman" w:hAnsi="Times New Roman"/>
          <w:noProof/>
          <w:sz w:val="24"/>
        </w:rPr>
        <w:t>създаване на система за управление и контрол в рамките на плана за възстановяване и устойчивост на България;</w:t>
      </w:r>
    </w:p>
    <w:p w14:paraId="0FB41AD9" w14:textId="6534BC24" w:rsidR="00A17CA8" w:rsidRDefault="00A17CA8" w:rsidP="00BA0417">
      <w:pPr>
        <w:pStyle w:val="ListParagraph"/>
        <w:numPr>
          <w:ilvl w:val="0"/>
          <w:numId w:val="40"/>
        </w:numPr>
        <w:spacing w:before="120" w:after="120" w:line="240" w:lineRule="auto"/>
        <w:jc w:val="both"/>
        <w:rPr>
          <w:rFonts w:ascii="Times New Roman" w:eastAsia="Calibri" w:hAnsi="Times New Roman" w:cs="Times New Roman"/>
          <w:noProof/>
          <w:sz w:val="24"/>
        </w:rPr>
      </w:pPr>
      <w:r>
        <w:rPr>
          <w:rFonts w:ascii="Times New Roman" w:hAnsi="Times New Roman"/>
          <w:noProof/>
          <w:sz w:val="24"/>
        </w:rPr>
        <w:t>анализ на работното натоварване на дирекция „Национален фонд“ и дирекция „Централно координационно звено“, като се вземат предвид допълнителните изисквания по плана за възстановяване и устойчивост на България.</w:t>
      </w:r>
    </w:p>
    <w:p w14:paraId="4009D7EA" w14:textId="5FA94F69" w:rsidR="00BA0417" w:rsidRDefault="00BA0417" w:rsidP="00BA0417">
      <w:pPr>
        <w:pStyle w:val="ListParagraph"/>
        <w:numPr>
          <w:ilvl w:val="0"/>
          <w:numId w:val="40"/>
        </w:numPr>
        <w:spacing w:before="120" w:after="120" w:line="240" w:lineRule="auto"/>
        <w:jc w:val="both"/>
        <w:rPr>
          <w:rFonts w:ascii="Times New Roman" w:eastAsia="Calibri" w:hAnsi="Times New Roman" w:cs="Times New Roman"/>
          <w:noProof/>
          <w:sz w:val="24"/>
        </w:rPr>
      </w:pPr>
      <w:r>
        <w:rPr>
          <w:rFonts w:ascii="Times New Roman" w:hAnsi="Times New Roman"/>
          <w:noProof/>
          <w:sz w:val="24"/>
        </w:rPr>
        <w:t>промени на устройствения правилник на Изпълнителна агенция „Одит на средствата от ЕС“.</w:t>
      </w:r>
    </w:p>
    <w:p w14:paraId="0B769D93" w14:textId="262AD99C" w:rsidR="00A17CA8" w:rsidRPr="00A17CA8" w:rsidRDefault="00A17CA8" w:rsidP="00A17CA8">
      <w:pPr>
        <w:spacing w:before="120" w:after="120" w:line="240" w:lineRule="auto"/>
        <w:ind w:left="142" w:firstLine="708"/>
        <w:jc w:val="both"/>
        <w:rPr>
          <w:rFonts w:ascii="Times New Roman" w:eastAsia="Calibri" w:hAnsi="Times New Roman" w:cs="Times New Roman"/>
          <w:noProof/>
          <w:sz w:val="24"/>
        </w:rPr>
      </w:pPr>
      <w:r>
        <w:rPr>
          <w:rFonts w:ascii="Times New Roman" w:hAnsi="Times New Roman"/>
          <w:noProof/>
          <w:sz w:val="24"/>
        </w:rPr>
        <w:t>Изпълнението на инвестицията ще приключи до 31 декември 2025 г.</w:t>
      </w:r>
    </w:p>
    <w:p w14:paraId="6087C05B" w14:textId="77777777" w:rsidR="00A17CA8" w:rsidRPr="008A0F8A" w:rsidRDefault="00A17CA8" w:rsidP="00A17CA8">
      <w:pPr>
        <w:pStyle w:val="ListParagraph"/>
        <w:spacing w:before="120" w:after="120" w:line="240" w:lineRule="auto"/>
        <w:ind w:left="1570"/>
        <w:jc w:val="both"/>
        <w:rPr>
          <w:rFonts w:ascii="Times New Roman" w:eastAsia="Calibri" w:hAnsi="Times New Roman" w:cs="Times New Roman"/>
          <w:noProof/>
          <w:sz w:val="24"/>
          <w:lang w:val="ru-RU"/>
        </w:rPr>
      </w:pPr>
    </w:p>
    <w:p w14:paraId="52EB467D" w14:textId="77777777" w:rsidR="00A17CA8" w:rsidRPr="00A17CA8" w:rsidRDefault="00A17CA8" w:rsidP="00A17CA8">
      <w:pPr>
        <w:spacing w:before="120" w:after="120" w:line="240" w:lineRule="auto"/>
        <w:ind w:left="850"/>
        <w:jc w:val="both"/>
        <w:rPr>
          <w:rFonts w:ascii="Times New Roman" w:eastAsia="Calibri" w:hAnsi="Times New Roman" w:cs="Times New Roman"/>
          <w:b/>
          <w:noProof/>
          <w:sz w:val="24"/>
          <w:u w:val="single"/>
        </w:rPr>
      </w:pPr>
      <w:r>
        <w:rPr>
          <w:rFonts w:ascii="Times New Roman" w:hAnsi="Times New Roman"/>
          <w:b/>
          <w:noProof/>
          <w:sz w:val="24"/>
          <w:u w:val="single"/>
        </w:rPr>
        <w:t xml:space="preserve">Й.2. </w:t>
      </w:r>
      <w:r>
        <w:rPr>
          <w:rFonts w:ascii="Times New Roman" w:hAnsi="Times New Roman"/>
          <w:b/>
          <w:noProof/>
          <w:sz w:val="24"/>
          <w:u w:val="single"/>
        </w:rPr>
        <w:tab/>
        <w:t>Ключови етапи, цели, показатели и график за мониторинг и изпълнение на безвъзмездната финансова подкрепа</w:t>
      </w:r>
    </w:p>
    <w:p w14:paraId="26FC04AD" w14:textId="77777777" w:rsidR="00A17CA8" w:rsidRPr="008A0F8A" w:rsidRDefault="00A17CA8" w:rsidP="00A17CA8">
      <w:pPr>
        <w:spacing w:before="120" w:after="120" w:line="240" w:lineRule="auto"/>
        <w:jc w:val="both"/>
        <w:rPr>
          <w:rFonts w:ascii="Times New Roman" w:eastAsia="Calibri" w:hAnsi="Times New Roman" w:cs="Times New Roman"/>
          <w:noProof/>
          <w:sz w:val="24"/>
          <w:lang w:val="ru-RU"/>
        </w:rPr>
        <w:sectPr w:rsidR="00A17CA8" w:rsidRPr="008A0F8A" w:rsidSect="00B60432">
          <w:headerReference w:type="even" r:id="rId126"/>
          <w:headerReference w:type="default" r:id="rId127"/>
          <w:footerReference w:type="even" r:id="rId128"/>
          <w:footerReference w:type="default" r:id="rId129"/>
          <w:headerReference w:type="first" r:id="rId130"/>
          <w:footerReference w:type="first" r:id="rId131"/>
          <w:pgSz w:w="11907" w:h="16839"/>
          <w:pgMar w:top="1418" w:right="1418" w:bottom="1418" w:left="1418" w:header="709" w:footer="709" w:gutter="0"/>
          <w:cols w:space="720"/>
          <w:docGrid w:linePitch="360"/>
        </w:sectPr>
      </w:pPr>
    </w:p>
    <w:tbl>
      <w:tblPr>
        <w:tblW w:w="15446" w:type="dxa"/>
        <w:jc w:val="right"/>
        <w:tblLayout w:type="fixed"/>
        <w:tblLook w:val="04A0" w:firstRow="1" w:lastRow="0" w:firstColumn="1" w:lastColumn="0" w:noHBand="0" w:noVBand="1"/>
      </w:tblPr>
      <w:tblGrid>
        <w:gridCol w:w="710"/>
        <w:gridCol w:w="1286"/>
        <w:gridCol w:w="1085"/>
        <w:gridCol w:w="1734"/>
        <w:gridCol w:w="1417"/>
        <w:gridCol w:w="993"/>
        <w:gridCol w:w="1134"/>
        <w:gridCol w:w="1134"/>
        <w:gridCol w:w="850"/>
        <w:gridCol w:w="744"/>
        <w:gridCol w:w="4359"/>
      </w:tblGrid>
      <w:tr w:rsidR="00347AE9" w:rsidRPr="005241FC" w14:paraId="27E5FB34" w14:textId="77777777" w:rsidTr="00A80AF7">
        <w:trPr>
          <w:trHeight w:val="900"/>
          <w:tblHeader/>
          <w:jc w:val="right"/>
        </w:trPr>
        <w:tc>
          <w:tcPr>
            <w:tcW w:w="710"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5C13360C" w14:textId="0F1291E9" w:rsidR="00A17CA8" w:rsidRPr="0051384F" w:rsidRDefault="00A17CA8" w:rsidP="00576E40">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Пореден номер</w:t>
            </w:r>
          </w:p>
        </w:tc>
        <w:tc>
          <w:tcPr>
            <w:tcW w:w="1286"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680D3FB3" w14:textId="77777777" w:rsidR="00A17CA8" w:rsidRPr="00765189" w:rsidRDefault="00A17CA8" w:rsidP="00576E40">
            <w:pPr>
              <w:spacing w:after="0" w:line="240" w:lineRule="auto"/>
              <w:jc w:val="center"/>
              <w:rPr>
                <w:rFonts w:ascii="Times New Roman" w:eastAsia="Times New Roman" w:hAnsi="Times New Roman" w:cs="Times New Roman"/>
                <w:b/>
                <w:bCs/>
                <w:noProof/>
                <w:color w:val="000000"/>
                <w:sz w:val="18"/>
                <w:szCs w:val="18"/>
              </w:rPr>
            </w:pPr>
            <w:r>
              <w:rPr>
                <w:rFonts w:ascii="Times New Roman" w:hAnsi="Times New Roman"/>
                <w:b/>
                <w:noProof/>
                <w:color w:val="000000"/>
                <w:sz w:val="18"/>
              </w:rPr>
              <w:t>Свързана мярка (реформа или инвестиция)</w:t>
            </w:r>
          </w:p>
        </w:tc>
        <w:tc>
          <w:tcPr>
            <w:tcW w:w="1085"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5F51B1F5" w14:textId="77777777" w:rsidR="00A17CA8" w:rsidRPr="00765189" w:rsidRDefault="00A17CA8" w:rsidP="00576E40">
            <w:pPr>
              <w:spacing w:after="0" w:line="240" w:lineRule="auto"/>
              <w:jc w:val="center"/>
              <w:rPr>
                <w:rFonts w:ascii="Times New Roman" w:eastAsia="Times New Roman" w:hAnsi="Times New Roman" w:cs="Times New Roman"/>
                <w:b/>
                <w:bCs/>
                <w:noProof/>
                <w:color w:val="000000"/>
                <w:sz w:val="18"/>
                <w:szCs w:val="18"/>
              </w:rPr>
            </w:pPr>
            <w:r>
              <w:rPr>
                <w:rFonts w:ascii="Times New Roman" w:hAnsi="Times New Roman"/>
                <w:b/>
                <w:noProof/>
                <w:color w:val="000000"/>
                <w:sz w:val="18"/>
              </w:rPr>
              <w:t>Ключов етап /Цел</w:t>
            </w:r>
          </w:p>
        </w:tc>
        <w:tc>
          <w:tcPr>
            <w:tcW w:w="1734"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5C24EE7A" w14:textId="77777777" w:rsidR="00A17CA8" w:rsidRPr="00765189" w:rsidRDefault="00A17CA8" w:rsidP="00576E40">
            <w:pPr>
              <w:spacing w:after="0" w:line="240" w:lineRule="auto"/>
              <w:jc w:val="center"/>
              <w:rPr>
                <w:rFonts w:ascii="Times New Roman" w:eastAsia="Times New Roman" w:hAnsi="Times New Roman" w:cs="Times New Roman"/>
                <w:b/>
                <w:bCs/>
                <w:noProof/>
                <w:color w:val="000000"/>
                <w:sz w:val="18"/>
                <w:szCs w:val="18"/>
              </w:rPr>
            </w:pPr>
            <w:r>
              <w:rPr>
                <w:rFonts w:ascii="Times New Roman" w:hAnsi="Times New Roman"/>
                <w:b/>
                <w:noProof/>
                <w:color w:val="000000"/>
                <w:sz w:val="18"/>
              </w:rPr>
              <w:t>Наименование</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FDD9C6F" w14:textId="77777777" w:rsidR="00A17CA8" w:rsidRPr="00765189" w:rsidRDefault="00A17CA8" w:rsidP="00576E40">
            <w:pPr>
              <w:spacing w:after="0" w:line="240" w:lineRule="auto"/>
              <w:jc w:val="center"/>
              <w:rPr>
                <w:rFonts w:ascii="Times New Roman" w:eastAsia="Times New Roman" w:hAnsi="Times New Roman" w:cs="Times New Roman"/>
                <w:b/>
                <w:bCs/>
                <w:noProof/>
                <w:color w:val="000000"/>
                <w:sz w:val="18"/>
                <w:szCs w:val="18"/>
              </w:rPr>
            </w:pPr>
            <w:r>
              <w:rPr>
                <w:rFonts w:ascii="Times New Roman" w:hAnsi="Times New Roman"/>
                <w:b/>
                <w:noProof/>
                <w:color w:val="000000"/>
                <w:sz w:val="18"/>
              </w:rPr>
              <w:t xml:space="preserve">Качествени показатели </w:t>
            </w:r>
            <w:r>
              <w:rPr>
                <w:rFonts w:ascii="Times New Roman" w:hAnsi="Times New Roman"/>
                <w:b/>
                <w:noProof/>
                <w:color w:val="000000"/>
                <w:sz w:val="18"/>
              </w:rPr>
              <w:br/>
              <w:t>(за ключовите етапи)</w:t>
            </w:r>
          </w:p>
        </w:tc>
        <w:tc>
          <w:tcPr>
            <w:tcW w:w="3261" w:type="dxa"/>
            <w:gridSpan w:val="3"/>
            <w:tcBorders>
              <w:top w:val="single" w:sz="4" w:space="0" w:color="auto"/>
              <w:left w:val="single" w:sz="4" w:space="0" w:color="auto"/>
              <w:bottom w:val="single" w:sz="4" w:space="0" w:color="000000" w:themeColor="text1"/>
              <w:right w:val="single" w:sz="4" w:space="0" w:color="000000" w:themeColor="text1"/>
            </w:tcBorders>
            <w:shd w:val="clear" w:color="auto" w:fill="BDD6EE" w:themeFill="accent1" w:themeFillTint="66"/>
            <w:vAlign w:val="center"/>
            <w:hideMark/>
          </w:tcPr>
          <w:p w14:paraId="43C70732" w14:textId="77777777" w:rsidR="00A17CA8" w:rsidRPr="00765189" w:rsidRDefault="00A17CA8" w:rsidP="00576E40">
            <w:pPr>
              <w:spacing w:after="0" w:line="240" w:lineRule="auto"/>
              <w:jc w:val="center"/>
              <w:rPr>
                <w:rFonts w:ascii="Times New Roman" w:eastAsia="Times New Roman" w:hAnsi="Times New Roman" w:cs="Times New Roman"/>
                <w:b/>
                <w:bCs/>
                <w:noProof/>
                <w:color w:val="000000"/>
                <w:sz w:val="18"/>
                <w:szCs w:val="18"/>
              </w:rPr>
            </w:pPr>
            <w:r>
              <w:rPr>
                <w:rFonts w:ascii="Times New Roman" w:hAnsi="Times New Roman"/>
                <w:b/>
                <w:noProof/>
                <w:color w:val="000000"/>
                <w:sz w:val="18"/>
              </w:rPr>
              <w:t xml:space="preserve">Количествени показатели </w:t>
            </w:r>
            <w:r>
              <w:rPr>
                <w:rFonts w:ascii="Times New Roman" w:hAnsi="Times New Roman"/>
                <w:b/>
                <w:noProof/>
                <w:color w:val="000000"/>
                <w:sz w:val="18"/>
              </w:rPr>
              <w:br/>
              <w:t>(за целите)</w:t>
            </w:r>
          </w:p>
        </w:tc>
        <w:tc>
          <w:tcPr>
            <w:tcW w:w="1594" w:type="dxa"/>
            <w:gridSpan w:val="2"/>
            <w:tcBorders>
              <w:top w:val="single" w:sz="4" w:space="0" w:color="auto"/>
              <w:left w:val="nil"/>
              <w:bottom w:val="single" w:sz="4" w:space="0" w:color="000000" w:themeColor="text1"/>
              <w:right w:val="single" w:sz="4" w:space="0" w:color="auto"/>
            </w:tcBorders>
            <w:shd w:val="clear" w:color="auto" w:fill="BDD6EE" w:themeFill="accent1" w:themeFillTint="66"/>
            <w:vAlign w:val="center"/>
            <w:hideMark/>
          </w:tcPr>
          <w:p w14:paraId="456BDDD5" w14:textId="0439DB92" w:rsidR="00A17CA8" w:rsidRPr="00765189" w:rsidRDefault="00A17CA8" w:rsidP="00576E40">
            <w:pPr>
              <w:spacing w:after="0" w:line="240" w:lineRule="auto"/>
              <w:jc w:val="center"/>
              <w:rPr>
                <w:rFonts w:ascii="Times New Roman" w:eastAsia="Times New Roman" w:hAnsi="Times New Roman" w:cs="Times New Roman"/>
                <w:b/>
                <w:bCs/>
                <w:noProof/>
                <w:color w:val="000000"/>
                <w:sz w:val="18"/>
                <w:szCs w:val="18"/>
              </w:rPr>
            </w:pPr>
            <w:r>
              <w:rPr>
                <w:rFonts w:ascii="Times New Roman" w:hAnsi="Times New Roman"/>
                <w:b/>
                <w:noProof/>
                <w:color w:val="000000"/>
                <w:sz w:val="18"/>
              </w:rPr>
              <w:t xml:space="preserve">График за приключване </w:t>
            </w:r>
            <w:r>
              <w:rPr>
                <w:rFonts w:ascii="Times New Roman" w:hAnsi="Times New Roman"/>
                <w:b/>
                <w:noProof/>
                <w:color w:val="000000"/>
                <w:sz w:val="18"/>
              </w:rPr>
              <w:br/>
            </w:r>
          </w:p>
        </w:tc>
        <w:tc>
          <w:tcPr>
            <w:tcW w:w="4359"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562A17F5" w14:textId="77777777" w:rsidR="00A17CA8" w:rsidRPr="00765189" w:rsidRDefault="00A17CA8" w:rsidP="00576E40">
            <w:pPr>
              <w:spacing w:after="0" w:line="240" w:lineRule="auto"/>
              <w:jc w:val="center"/>
              <w:rPr>
                <w:rFonts w:ascii="Times New Roman" w:eastAsia="Times New Roman" w:hAnsi="Times New Roman" w:cs="Times New Roman"/>
                <w:b/>
                <w:bCs/>
                <w:noProof/>
                <w:color w:val="000000"/>
                <w:sz w:val="18"/>
                <w:szCs w:val="18"/>
              </w:rPr>
            </w:pPr>
            <w:r>
              <w:rPr>
                <w:rFonts w:ascii="Times New Roman" w:hAnsi="Times New Roman"/>
                <w:b/>
                <w:noProof/>
                <w:color w:val="000000"/>
                <w:sz w:val="18"/>
              </w:rPr>
              <w:t>Описание и ясно определяне на всеки ключов етап и цел</w:t>
            </w:r>
          </w:p>
        </w:tc>
      </w:tr>
      <w:tr w:rsidR="00347AE9" w:rsidRPr="0051384F" w14:paraId="092779A7" w14:textId="77777777" w:rsidTr="00A80AF7">
        <w:trPr>
          <w:trHeight w:val="399"/>
          <w:tblHeader/>
          <w:jc w:val="right"/>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CE2D4A1" w14:textId="77777777" w:rsidR="00A17CA8" w:rsidRPr="008A0F8A" w:rsidRDefault="00A17CA8" w:rsidP="00576E40">
            <w:pPr>
              <w:spacing w:after="0" w:line="240" w:lineRule="auto"/>
              <w:rPr>
                <w:rFonts w:ascii="Times New Roman" w:eastAsia="Times New Roman" w:hAnsi="Times New Roman" w:cs="Times New Roman"/>
                <w:b/>
                <w:bCs/>
                <w:noProof/>
                <w:color w:val="000000"/>
                <w:sz w:val="20"/>
                <w:szCs w:val="20"/>
                <w:lang w:val="ru-RU" w:eastAsia="en-GB"/>
              </w:rPr>
            </w:pPr>
          </w:p>
        </w:tc>
        <w:tc>
          <w:tcPr>
            <w:tcW w:w="1286" w:type="dxa"/>
            <w:vMerge/>
            <w:tcBorders>
              <w:top w:val="single" w:sz="4" w:space="0" w:color="auto"/>
              <w:left w:val="single" w:sz="4" w:space="0" w:color="auto"/>
              <w:bottom w:val="single" w:sz="4" w:space="0" w:color="auto"/>
              <w:right w:val="single" w:sz="4" w:space="0" w:color="auto"/>
            </w:tcBorders>
            <w:vAlign w:val="center"/>
            <w:hideMark/>
          </w:tcPr>
          <w:p w14:paraId="6503FD0D" w14:textId="77777777" w:rsidR="00A17CA8" w:rsidRPr="008A0F8A" w:rsidRDefault="00A17CA8" w:rsidP="00576E40">
            <w:pPr>
              <w:spacing w:after="0" w:line="240" w:lineRule="auto"/>
              <w:rPr>
                <w:rFonts w:ascii="Times New Roman" w:eastAsia="Times New Roman" w:hAnsi="Times New Roman" w:cs="Times New Roman"/>
                <w:b/>
                <w:bCs/>
                <w:noProof/>
                <w:color w:val="000000"/>
                <w:sz w:val="20"/>
                <w:szCs w:val="20"/>
                <w:lang w:val="ru-RU" w:eastAsia="en-GB"/>
              </w:rPr>
            </w:pPr>
          </w:p>
        </w:tc>
        <w:tc>
          <w:tcPr>
            <w:tcW w:w="1085" w:type="dxa"/>
            <w:vMerge/>
            <w:tcBorders>
              <w:top w:val="single" w:sz="4" w:space="0" w:color="auto"/>
              <w:left w:val="single" w:sz="4" w:space="0" w:color="auto"/>
              <w:bottom w:val="single" w:sz="4" w:space="0" w:color="auto"/>
              <w:right w:val="single" w:sz="4" w:space="0" w:color="auto"/>
            </w:tcBorders>
            <w:vAlign w:val="center"/>
            <w:hideMark/>
          </w:tcPr>
          <w:p w14:paraId="650FD062" w14:textId="77777777" w:rsidR="00A17CA8" w:rsidRPr="008A0F8A" w:rsidRDefault="00A17CA8" w:rsidP="00576E40">
            <w:pPr>
              <w:spacing w:after="0" w:line="240" w:lineRule="auto"/>
              <w:rPr>
                <w:rFonts w:ascii="Times New Roman" w:eastAsia="Times New Roman" w:hAnsi="Times New Roman" w:cs="Times New Roman"/>
                <w:b/>
                <w:bCs/>
                <w:noProof/>
                <w:color w:val="000000"/>
                <w:sz w:val="20"/>
                <w:szCs w:val="20"/>
                <w:lang w:val="ru-RU" w:eastAsia="en-GB"/>
              </w:rPr>
            </w:pPr>
          </w:p>
        </w:tc>
        <w:tc>
          <w:tcPr>
            <w:tcW w:w="1734" w:type="dxa"/>
            <w:vMerge/>
            <w:tcBorders>
              <w:top w:val="single" w:sz="4" w:space="0" w:color="auto"/>
              <w:left w:val="single" w:sz="4" w:space="0" w:color="auto"/>
              <w:bottom w:val="single" w:sz="4" w:space="0" w:color="auto"/>
              <w:right w:val="single" w:sz="4" w:space="0" w:color="auto"/>
            </w:tcBorders>
            <w:vAlign w:val="center"/>
            <w:hideMark/>
          </w:tcPr>
          <w:p w14:paraId="2ABA38B0" w14:textId="77777777" w:rsidR="00A17CA8" w:rsidRPr="008A0F8A" w:rsidRDefault="00A17CA8" w:rsidP="00576E40">
            <w:pPr>
              <w:spacing w:after="0" w:line="240" w:lineRule="auto"/>
              <w:rPr>
                <w:rFonts w:ascii="Times New Roman" w:eastAsia="Times New Roman" w:hAnsi="Times New Roman" w:cs="Times New Roman"/>
                <w:b/>
                <w:bCs/>
                <w:noProof/>
                <w:color w:val="000000"/>
                <w:sz w:val="20"/>
                <w:szCs w:val="20"/>
                <w:lang w:val="ru-RU" w:eastAsia="en-GB"/>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51D7FCB" w14:textId="77777777" w:rsidR="00A17CA8" w:rsidRPr="008A0F8A" w:rsidRDefault="00A17CA8" w:rsidP="00576E40">
            <w:pPr>
              <w:spacing w:after="0" w:line="240" w:lineRule="auto"/>
              <w:rPr>
                <w:rFonts w:ascii="Times New Roman" w:eastAsia="Times New Roman" w:hAnsi="Times New Roman" w:cs="Times New Roman"/>
                <w:b/>
                <w:bCs/>
                <w:noProof/>
                <w:color w:val="000000"/>
                <w:sz w:val="20"/>
                <w:szCs w:val="20"/>
                <w:lang w:val="ru-RU" w:eastAsia="en-GB"/>
              </w:rPr>
            </w:pPr>
          </w:p>
        </w:tc>
        <w:tc>
          <w:tcPr>
            <w:tcW w:w="993" w:type="dxa"/>
            <w:tcBorders>
              <w:top w:val="nil"/>
              <w:left w:val="single" w:sz="4" w:space="0" w:color="auto"/>
              <w:bottom w:val="single" w:sz="4" w:space="0" w:color="000000" w:themeColor="text1"/>
              <w:right w:val="single" w:sz="4" w:space="0" w:color="000000" w:themeColor="text1"/>
            </w:tcBorders>
            <w:shd w:val="clear" w:color="auto" w:fill="BDD6EE" w:themeFill="accent1" w:themeFillTint="66"/>
            <w:vAlign w:val="center"/>
            <w:hideMark/>
          </w:tcPr>
          <w:p w14:paraId="17BC7001" w14:textId="77777777" w:rsidR="00A17CA8" w:rsidRPr="00765189" w:rsidRDefault="00A17CA8" w:rsidP="00576E40">
            <w:pPr>
              <w:spacing w:after="0" w:line="240" w:lineRule="auto"/>
              <w:jc w:val="center"/>
              <w:rPr>
                <w:rFonts w:ascii="Times New Roman" w:eastAsia="Times New Roman" w:hAnsi="Times New Roman" w:cs="Times New Roman"/>
                <w:b/>
                <w:bCs/>
                <w:noProof/>
                <w:color w:val="000000"/>
                <w:sz w:val="18"/>
                <w:szCs w:val="18"/>
              </w:rPr>
            </w:pPr>
            <w:r>
              <w:rPr>
                <w:rFonts w:ascii="Times New Roman" w:hAnsi="Times New Roman"/>
                <w:b/>
                <w:noProof/>
                <w:color w:val="000000"/>
                <w:sz w:val="18"/>
              </w:rPr>
              <w:t>Мерна единица</w:t>
            </w:r>
          </w:p>
        </w:tc>
        <w:tc>
          <w:tcPr>
            <w:tcW w:w="1134" w:type="dxa"/>
            <w:tcBorders>
              <w:top w:val="nil"/>
              <w:left w:val="nil"/>
              <w:bottom w:val="single" w:sz="4" w:space="0" w:color="000000" w:themeColor="text1"/>
              <w:right w:val="single" w:sz="4" w:space="0" w:color="000000" w:themeColor="text1"/>
            </w:tcBorders>
            <w:shd w:val="clear" w:color="auto" w:fill="BDD6EE" w:themeFill="accent1" w:themeFillTint="66"/>
            <w:vAlign w:val="center"/>
            <w:hideMark/>
          </w:tcPr>
          <w:p w14:paraId="3321A75D" w14:textId="01D015C0" w:rsidR="00A17CA8" w:rsidRPr="00765189" w:rsidRDefault="00092AA4" w:rsidP="00576E40">
            <w:pPr>
              <w:spacing w:after="0" w:line="240" w:lineRule="auto"/>
              <w:jc w:val="center"/>
              <w:rPr>
                <w:rFonts w:ascii="Times New Roman" w:eastAsia="Times New Roman" w:hAnsi="Times New Roman" w:cs="Times New Roman"/>
                <w:b/>
                <w:bCs/>
                <w:noProof/>
                <w:color w:val="000000"/>
                <w:sz w:val="18"/>
                <w:szCs w:val="18"/>
              </w:rPr>
            </w:pPr>
            <w:r>
              <w:rPr>
                <w:rFonts w:ascii="Times New Roman" w:hAnsi="Times New Roman"/>
                <w:b/>
                <w:noProof/>
                <w:color w:val="000000"/>
                <w:sz w:val="18"/>
              </w:rPr>
              <w:t>Базова линия</w:t>
            </w:r>
          </w:p>
        </w:tc>
        <w:tc>
          <w:tcPr>
            <w:tcW w:w="1134" w:type="dxa"/>
            <w:tcBorders>
              <w:top w:val="nil"/>
              <w:left w:val="nil"/>
              <w:bottom w:val="single" w:sz="4" w:space="0" w:color="000000" w:themeColor="text1"/>
              <w:right w:val="single" w:sz="4" w:space="0" w:color="000000" w:themeColor="text1"/>
            </w:tcBorders>
            <w:shd w:val="clear" w:color="auto" w:fill="BDD6EE" w:themeFill="accent1" w:themeFillTint="66"/>
            <w:vAlign w:val="center"/>
            <w:hideMark/>
          </w:tcPr>
          <w:p w14:paraId="2D1E5BD3" w14:textId="77777777" w:rsidR="00A17CA8" w:rsidRPr="00765189" w:rsidRDefault="00A17CA8" w:rsidP="00576E40">
            <w:pPr>
              <w:spacing w:after="0" w:line="240" w:lineRule="auto"/>
              <w:jc w:val="center"/>
              <w:rPr>
                <w:rFonts w:ascii="Times New Roman" w:eastAsia="Times New Roman" w:hAnsi="Times New Roman" w:cs="Times New Roman"/>
                <w:b/>
                <w:bCs/>
                <w:noProof/>
                <w:color w:val="000000"/>
                <w:sz w:val="18"/>
                <w:szCs w:val="18"/>
              </w:rPr>
            </w:pPr>
            <w:r>
              <w:rPr>
                <w:rFonts w:ascii="Times New Roman" w:hAnsi="Times New Roman"/>
                <w:b/>
                <w:noProof/>
                <w:color w:val="000000"/>
                <w:sz w:val="18"/>
              </w:rPr>
              <w:t xml:space="preserve">Цел </w:t>
            </w:r>
          </w:p>
        </w:tc>
        <w:tc>
          <w:tcPr>
            <w:tcW w:w="850" w:type="dxa"/>
            <w:tcBorders>
              <w:top w:val="nil"/>
              <w:left w:val="nil"/>
              <w:bottom w:val="single" w:sz="4" w:space="0" w:color="000000" w:themeColor="text1"/>
              <w:right w:val="single" w:sz="4" w:space="0" w:color="000000" w:themeColor="text1"/>
            </w:tcBorders>
            <w:shd w:val="clear" w:color="auto" w:fill="BDD6EE" w:themeFill="accent1" w:themeFillTint="66"/>
            <w:vAlign w:val="center"/>
            <w:hideMark/>
          </w:tcPr>
          <w:p w14:paraId="00B57A9C" w14:textId="77777777" w:rsidR="00A17CA8" w:rsidRPr="00765189" w:rsidRDefault="00A17CA8" w:rsidP="00576E40">
            <w:pPr>
              <w:spacing w:after="0" w:line="240" w:lineRule="auto"/>
              <w:jc w:val="center"/>
              <w:rPr>
                <w:rFonts w:ascii="Times New Roman" w:eastAsia="Times New Roman" w:hAnsi="Times New Roman" w:cs="Times New Roman"/>
                <w:b/>
                <w:bCs/>
                <w:noProof/>
                <w:color w:val="000000"/>
                <w:sz w:val="18"/>
                <w:szCs w:val="18"/>
              </w:rPr>
            </w:pPr>
            <w:r>
              <w:rPr>
                <w:rFonts w:ascii="Times New Roman" w:hAnsi="Times New Roman"/>
                <w:b/>
                <w:noProof/>
                <w:color w:val="000000"/>
                <w:sz w:val="18"/>
              </w:rPr>
              <w:t>Тримесечие</w:t>
            </w:r>
          </w:p>
        </w:tc>
        <w:tc>
          <w:tcPr>
            <w:tcW w:w="744" w:type="dxa"/>
            <w:tcBorders>
              <w:top w:val="nil"/>
              <w:left w:val="nil"/>
              <w:bottom w:val="single" w:sz="4" w:space="0" w:color="000000" w:themeColor="text1"/>
              <w:right w:val="single" w:sz="4" w:space="0" w:color="auto"/>
            </w:tcBorders>
            <w:shd w:val="clear" w:color="auto" w:fill="BDD6EE" w:themeFill="accent1" w:themeFillTint="66"/>
            <w:vAlign w:val="center"/>
            <w:hideMark/>
          </w:tcPr>
          <w:p w14:paraId="4D2D54B0" w14:textId="77777777" w:rsidR="00A17CA8" w:rsidRPr="00765189" w:rsidRDefault="00A17CA8" w:rsidP="00576E40">
            <w:pPr>
              <w:spacing w:after="0" w:line="240" w:lineRule="auto"/>
              <w:jc w:val="center"/>
              <w:rPr>
                <w:rFonts w:ascii="Times New Roman" w:eastAsia="Times New Roman" w:hAnsi="Times New Roman" w:cs="Times New Roman"/>
                <w:b/>
                <w:bCs/>
                <w:noProof/>
                <w:color w:val="000000"/>
                <w:sz w:val="18"/>
                <w:szCs w:val="18"/>
              </w:rPr>
            </w:pPr>
            <w:r>
              <w:rPr>
                <w:rFonts w:ascii="Times New Roman" w:hAnsi="Times New Roman"/>
                <w:b/>
                <w:noProof/>
                <w:color w:val="000000"/>
                <w:sz w:val="18"/>
              </w:rPr>
              <w:t>Година</w:t>
            </w:r>
          </w:p>
        </w:tc>
        <w:tc>
          <w:tcPr>
            <w:tcW w:w="4359" w:type="dxa"/>
            <w:vMerge/>
            <w:tcBorders>
              <w:top w:val="single" w:sz="4" w:space="0" w:color="auto"/>
              <w:bottom w:val="single" w:sz="4" w:space="0" w:color="auto"/>
              <w:right w:val="single" w:sz="4" w:space="0" w:color="auto"/>
            </w:tcBorders>
            <w:vAlign w:val="center"/>
            <w:hideMark/>
          </w:tcPr>
          <w:p w14:paraId="5F16CF9C" w14:textId="77777777" w:rsidR="00A17CA8" w:rsidRPr="0051384F" w:rsidRDefault="00A17CA8" w:rsidP="00576E40">
            <w:pPr>
              <w:spacing w:after="0" w:line="240" w:lineRule="auto"/>
              <w:rPr>
                <w:rFonts w:ascii="Times New Roman" w:eastAsia="Times New Roman" w:hAnsi="Times New Roman" w:cs="Times New Roman"/>
                <w:b/>
                <w:bCs/>
                <w:noProof/>
                <w:color w:val="000000"/>
                <w:sz w:val="20"/>
                <w:szCs w:val="20"/>
                <w:lang w:eastAsia="en-GB"/>
              </w:rPr>
            </w:pPr>
          </w:p>
        </w:tc>
      </w:tr>
      <w:tr w:rsidR="007F2B35" w:rsidRPr="005241FC" w14:paraId="1241BB8E" w14:textId="77777777" w:rsidTr="00A80AF7">
        <w:trPr>
          <w:trHeight w:val="1755"/>
          <w:jc w:val="right"/>
        </w:trPr>
        <w:tc>
          <w:tcPr>
            <w:tcW w:w="710"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C6EFCE"/>
            <w:noWrap/>
          </w:tcPr>
          <w:p w14:paraId="4A72B750" w14:textId="5207836E" w:rsidR="00A17CA8" w:rsidRPr="0051384F" w:rsidRDefault="002B7436"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213</w:t>
            </w:r>
          </w:p>
        </w:tc>
        <w:tc>
          <w:tcPr>
            <w:tcW w:w="1286" w:type="dxa"/>
            <w:tcBorders>
              <w:top w:val="single" w:sz="4" w:space="0" w:color="auto"/>
              <w:left w:val="nil"/>
              <w:bottom w:val="single" w:sz="4" w:space="0" w:color="000000" w:themeColor="text1"/>
              <w:right w:val="single" w:sz="4" w:space="0" w:color="000000" w:themeColor="text1"/>
            </w:tcBorders>
            <w:shd w:val="clear" w:color="auto" w:fill="C6EFCE"/>
            <w:noWrap/>
          </w:tcPr>
          <w:p w14:paraId="2DEF4205" w14:textId="7FC32BCF" w:rsidR="00A17CA8" w:rsidRPr="0051384F" w:rsidRDefault="00C8071B"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К10.Р1: Достъпно, ефективно и предвидимо правосъдие</w:t>
            </w:r>
          </w:p>
        </w:tc>
        <w:tc>
          <w:tcPr>
            <w:tcW w:w="1085" w:type="dxa"/>
            <w:tcBorders>
              <w:top w:val="single" w:sz="4" w:space="0" w:color="auto"/>
              <w:left w:val="nil"/>
              <w:bottom w:val="single" w:sz="4" w:space="0" w:color="000000" w:themeColor="text1"/>
              <w:right w:val="single" w:sz="4" w:space="0" w:color="000000" w:themeColor="text1"/>
            </w:tcBorders>
            <w:shd w:val="clear" w:color="auto" w:fill="C6EFCE"/>
            <w:noWrap/>
          </w:tcPr>
          <w:p w14:paraId="4EC47802"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734" w:type="dxa"/>
            <w:tcBorders>
              <w:top w:val="single" w:sz="4" w:space="0" w:color="auto"/>
              <w:left w:val="nil"/>
              <w:bottom w:val="single" w:sz="4" w:space="0" w:color="000000" w:themeColor="text1"/>
              <w:right w:val="single" w:sz="4" w:space="0" w:color="000000" w:themeColor="text1"/>
            </w:tcBorders>
            <w:shd w:val="clear" w:color="auto" w:fill="C6EFCE"/>
            <w:noWrap/>
          </w:tcPr>
          <w:p w14:paraId="623CB56C"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Приемане от Министерския съвет на пътна карта за изпълнението на решенията на Европейския съд по правата на човека</w:t>
            </w:r>
          </w:p>
        </w:tc>
        <w:tc>
          <w:tcPr>
            <w:tcW w:w="1417" w:type="dxa"/>
            <w:tcBorders>
              <w:top w:val="single" w:sz="4" w:space="0" w:color="auto"/>
              <w:left w:val="nil"/>
              <w:bottom w:val="single" w:sz="4" w:space="0" w:color="000000" w:themeColor="text1"/>
              <w:right w:val="single" w:sz="4" w:space="0" w:color="000000" w:themeColor="text1"/>
            </w:tcBorders>
            <w:shd w:val="clear" w:color="auto" w:fill="C6EFCE"/>
            <w:noWrap/>
          </w:tcPr>
          <w:p w14:paraId="4E08E220"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Изготвена и приета пътна карта</w:t>
            </w:r>
          </w:p>
        </w:tc>
        <w:tc>
          <w:tcPr>
            <w:tcW w:w="993" w:type="dxa"/>
            <w:tcBorders>
              <w:top w:val="nil"/>
              <w:left w:val="nil"/>
              <w:bottom w:val="single" w:sz="4" w:space="0" w:color="000000" w:themeColor="text1"/>
              <w:right w:val="single" w:sz="4" w:space="0" w:color="000000" w:themeColor="text1"/>
            </w:tcBorders>
            <w:shd w:val="clear" w:color="auto" w:fill="C6EFCE"/>
            <w:noWrap/>
          </w:tcPr>
          <w:p w14:paraId="45D7C310"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lang w:eastAsia="en-GB"/>
              </w:rPr>
            </w:pPr>
          </w:p>
        </w:tc>
        <w:tc>
          <w:tcPr>
            <w:tcW w:w="1134" w:type="dxa"/>
            <w:tcBorders>
              <w:top w:val="nil"/>
              <w:left w:val="nil"/>
              <w:bottom w:val="single" w:sz="4" w:space="0" w:color="000000" w:themeColor="text1"/>
              <w:right w:val="single" w:sz="4" w:space="0" w:color="000000" w:themeColor="text1"/>
            </w:tcBorders>
            <w:shd w:val="clear" w:color="auto" w:fill="C6EFCE"/>
            <w:noWrap/>
          </w:tcPr>
          <w:p w14:paraId="016303B3"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lang w:eastAsia="en-GB"/>
              </w:rPr>
            </w:pPr>
          </w:p>
        </w:tc>
        <w:tc>
          <w:tcPr>
            <w:tcW w:w="1134" w:type="dxa"/>
            <w:tcBorders>
              <w:top w:val="nil"/>
              <w:left w:val="nil"/>
              <w:bottom w:val="single" w:sz="4" w:space="0" w:color="000000" w:themeColor="text1"/>
              <w:right w:val="single" w:sz="4" w:space="0" w:color="000000" w:themeColor="text1"/>
            </w:tcBorders>
            <w:shd w:val="clear" w:color="auto" w:fill="C6EFCE"/>
            <w:noWrap/>
          </w:tcPr>
          <w:p w14:paraId="4E91970F"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lang w:eastAsia="en-GB"/>
              </w:rPr>
            </w:pPr>
          </w:p>
        </w:tc>
        <w:tc>
          <w:tcPr>
            <w:tcW w:w="850" w:type="dxa"/>
            <w:tcBorders>
              <w:top w:val="nil"/>
              <w:left w:val="nil"/>
              <w:bottom w:val="single" w:sz="4" w:space="0" w:color="000000" w:themeColor="text1"/>
              <w:right w:val="single" w:sz="4" w:space="0" w:color="000000" w:themeColor="text1"/>
            </w:tcBorders>
            <w:shd w:val="clear" w:color="auto" w:fill="C6EFCE"/>
            <w:noWrap/>
          </w:tcPr>
          <w:p w14:paraId="425CFAA9"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T3</w:t>
            </w:r>
          </w:p>
        </w:tc>
        <w:tc>
          <w:tcPr>
            <w:tcW w:w="744" w:type="dxa"/>
            <w:tcBorders>
              <w:top w:val="nil"/>
              <w:left w:val="nil"/>
              <w:bottom w:val="single" w:sz="4" w:space="0" w:color="000000" w:themeColor="text1"/>
              <w:right w:val="single" w:sz="4" w:space="0" w:color="000000" w:themeColor="text1"/>
            </w:tcBorders>
            <w:shd w:val="clear" w:color="auto" w:fill="C6EFCE"/>
            <w:noWrap/>
          </w:tcPr>
          <w:p w14:paraId="0408ED08"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2021</w:t>
            </w:r>
          </w:p>
        </w:tc>
        <w:tc>
          <w:tcPr>
            <w:tcW w:w="4359" w:type="dxa"/>
            <w:tcBorders>
              <w:top w:val="single" w:sz="4" w:space="0" w:color="auto"/>
              <w:left w:val="nil"/>
              <w:bottom w:val="single" w:sz="4" w:space="0" w:color="000000" w:themeColor="text1"/>
              <w:right w:val="single" w:sz="4" w:space="0" w:color="000000" w:themeColor="text1"/>
            </w:tcBorders>
            <w:shd w:val="clear" w:color="auto" w:fill="C6EFCE"/>
          </w:tcPr>
          <w:p w14:paraId="6579F1E5" w14:textId="32F04C4A" w:rsidR="00A17CA8" w:rsidRPr="0051384F" w:rsidRDefault="00D17089"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Приемане на пътна карта за изпълнението на решенията на Европейския съд по правата на човека и планирането на конкретни мерки и срокове, както и на институциите, отговорни за тяхното прилагане. </w:t>
            </w:r>
          </w:p>
        </w:tc>
      </w:tr>
      <w:tr w:rsidR="007F2B35" w:rsidRPr="005241FC" w14:paraId="116ABED4" w14:textId="77777777" w:rsidTr="00A80AF7">
        <w:trPr>
          <w:trHeight w:val="1755"/>
          <w:jc w:val="right"/>
        </w:trPr>
        <w:tc>
          <w:tcPr>
            <w:tcW w:w="710" w:type="dxa"/>
            <w:tcBorders>
              <w:top w:val="nil"/>
              <w:left w:val="single" w:sz="4" w:space="0" w:color="000000" w:themeColor="text1"/>
              <w:bottom w:val="single" w:sz="4" w:space="0" w:color="000000" w:themeColor="text1"/>
              <w:right w:val="single" w:sz="4" w:space="0" w:color="000000" w:themeColor="text1"/>
            </w:tcBorders>
            <w:shd w:val="clear" w:color="auto" w:fill="C6EFCE"/>
            <w:noWrap/>
          </w:tcPr>
          <w:p w14:paraId="7EC4F67F" w14:textId="46AF70E5" w:rsidR="00A17CA8" w:rsidRPr="0051384F" w:rsidRDefault="002B7436"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214</w:t>
            </w:r>
          </w:p>
        </w:tc>
        <w:tc>
          <w:tcPr>
            <w:tcW w:w="1286" w:type="dxa"/>
            <w:tcBorders>
              <w:top w:val="nil"/>
              <w:left w:val="nil"/>
              <w:bottom w:val="single" w:sz="4" w:space="0" w:color="000000" w:themeColor="text1"/>
              <w:right w:val="single" w:sz="4" w:space="0" w:color="000000" w:themeColor="text1"/>
            </w:tcBorders>
            <w:shd w:val="clear" w:color="auto" w:fill="C6EFCE"/>
            <w:noWrap/>
          </w:tcPr>
          <w:p w14:paraId="65316404" w14:textId="0392F90C" w:rsidR="00A17CA8" w:rsidRPr="0051384F" w:rsidRDefault="00C8071B"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К10.Р1: Достъпно, ефективно и предвидимо правосъдие</w:t>
            </w:r>
          </w:p>
        </w:tc>
        <w:tc>
          <w:tcPr>
            <w:tcW w:w="1085" w:type="dxa"/>
            <w:tcBorders>
              <w:top w:val="nil"/>
              <w:left w:val="nil"/>
              <w:bottom w:val="single" w:sz="4" w:space="0" w:color="000000" w:themeColor="text1"/>
              <w:right w:val="single" w:sz="4" w:space="0" w:color="000000" w:themeColor="text1"/>
            </w:tcBorders>
            <w:shd w:val="clear" w:color="auto" w:fill="C6EFCE"/>
            <w:noWrap/>
          </w:tcPr>
          <w:p w14:paraId="32D6CD4A"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734" w:type="dxa"/>
            <w:tcBorders>
              <w:top w:val="nil"/>
              <w:left w:val="nil"/>
              <w:bottom w:val="single" w:sz="4" w:space="0" w:color="000000" w:themeColor="text1"/>
              <w:right w:val="single" w:sz="4" w:space="0" w:color="000000" w:themeColor="text1"/>
            </w:tcBorders>
            <w:shd w:val="clear" w:color="auto" w:fill="C6EFCE"/>
            <w:noWrap/>
          </w:tcPr>
          <w:p w14:paraId="758E4F92"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Влизане в сила на законодателните изменения на Закона за правната помощ</w:t>
            </w:r>
          </w:p>
        </w:tc>
        <w:tc>
          <w:tcPr>
            <w:tcW w:w="1417" w:type="dxa"/>
            <w:tcBorders>
              <w:top w:val="nil"/>
              <w:left w:val="nil"/>
              <w:bottom w:val="single" w:sz="4" w:space="0" w:color="000000" w:themeColor="text1"/>
              <w:right w:val="single" w:sz="4" w:space="0" w:color="000000" w:themeColor="text1"/>
            </w:tcBorders>
            <w:shd w:val="clear" w:color="auto" w:fill="C6EFCE"/>
            <w:noWrap/>
          </w:tcPr>
          <w:p w14:paraId="6F8F7D03" w14:textId="1D3099C6" w:rsidR="00A17CA8" w:rsidRPr="0051384F" w:rsidRDefault="00A17CA8" w:rsidP="003F7EDF">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Разпоредби в законодателството, указваща влизането в сила на законодателните изменения на Закона за правната помощ</w:t>
            </w:r>
          </w:p>
        </w:tc>
        <w:tc>
          <w:tcPr>
            <w:tcW w:w="993" w:type="dxa"/>
            <w:tcBorders>
              <w:top w:val="nil"/>
              <w:left w:val="nil"/>
              <w:bottom w:val="single" w:sz="4" w:space="0" w:color="000000" w:themeColor="text1"/>
              <w:right w:val="single" w:sz="4" w:space="0" w:color="000000" w:themeColor="text1"/>
            </w:tcBorders>
            <w:shd w:val="clear" w:color="auto" w:fill="C6EFCE"/>
            <w:noWrap/>
          </w:tcPr>
          <w:p w14:paraId="6EBBC85C"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1134" w:type="dxa"/>
            <w:tcBorders>
              <w:top w:val="nil"/>
              <w:left w:val="nil"/>
              <w:bottom w:val="single" w:sz="4" w:space="0" w:color="000000" w:themeColor="text1"/>
              <w:right w:val="single" w:sz="4" w:space="0" w:color="000000" w:themeColor="text1"/>
            </w:tcBorders>
            <w:shd w:val="clear" w:color="auto" w:fill="C6EFCE"/>
            <w:noWrap/>
          </w:tcPr>
          <w:p w14:paraId="35025D65"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1134" w:type="dxa"/>
            <w:tcBorders>
              <w:top w:val="nil"/>
              <w:left w:val="nil"/>
              <w:bottom w:val="single" w:sz="4" w:space="0" w:color="000000" w:themeColor="text1"/>
              <w:right w:val="single" w:sz="4" w:space="0" w:color="000000" w:themeColor="text1"/>
            </w:tcBorders>
            <w:shd w:val="clear" w:color="auto" w:fill="C6EFCE"/>
            <w:noWrap/>
          </w:tcPr>
          <w:p w14:paraId="36C5BBCA"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850" w:type="dxa"/>
            <w:tcBorders>
              <w:top w:val="nil"/>
              <w:left w:val="nil"/>
              <w:bottom w:val="single" w:sz="4" w:space="0" w:color="000000" w:themeColor="text1"/>
              <w:right w:val="single" w:sz="4" w:space="0" w:color="000000" w:themeColor="text1"/>
            </w:tcBorders>
            <w:shd w:val="clear" w:color="auto" w:fill="C6EFCE"/>
            <w:noWrap/>
          </w:tcPr>
          <w:p w14:paraId="5AC214E4"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T4</w:t>
            </w:r>
          </w:p>
        </w:tc>
        <w:tc>
          <w:tcPr>
            <w:tcW w:w="744" w:type="dxa"/>
            <w:tcBorders>
              <w:top w:val="nil"/>
              <w:left w:val="nil"/>
              <w:bottom w:val="single" w:sz="4" w:space="0" w:color="000000" w:themeColor="text1"/>
              <w:right w:val="single" w:sz="4" w:space="0" w:color="000000" w:themeColor="text1"/>
            </w:tcBorders>
            <w:shd w:val="clear" w:color="auto" w:fill="C6EFCE"/>
            <w:noWrap/>
          </w:tcPr>
          <w:p w14:paraId="62A846DE"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2022</w:t>
            </w:r>
          </w:p>
        </w:tc>
        <w:tc>
          <w:tcPr>
            <w:tcW w:w="4359" w:type="dxa"/>
            <w:tcBorders>
              <w:top w:val="nil"/>
              <w:left w:val="nil"/>
              <w:bottom w:val="single" w:sz="4" w:space="0" w:color="000000" w:themeColor="text1"/>
              <w:right w:val="single" w:sz="4" w:space="0" w:color="000000" w:themeColor="text1"/>
            </w:tcBorders>
            <w:shd w:val="clear" w:color="auto" w:fill="C6EFCE"/>
          </w:tcPr>
          <w:p w14:paraId="6CB39CE5"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Измененията се основават на анализ на разширяването на видовете безплатна правна помощ, причините за предоставяне на правна помощ и освобождаването от съдебни такси на лицата, на които е предоставена правна помощ. Те разширяват обхвата на правната помощ, за да включи представителството: </w:t>
            </w:r>
          </w:p>
          <w:p w14:paraId="4196ECC3"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 пред арбитражни съдилища; </w:t>
            </w:r>
          </w:p>
          <w:p w14:paraId="5605BA26"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пред специални административни органи, включително Агенцията за бежанците, Комисията за защита от дискриминация, Комисията за защита на потребителите;</w:t>
            </w:r>
          </w:p>
          <w:p w14:paraId="34C31E52"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 за извънсъдебно решаване на спорове и медиация. </w:t>
            </w:r>
          </w:p>
          <w:p w14:paraId="077E5D72"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Измененията също така разширяват кръга на лицата, за които се допуска правна помощ, така че да се включат:</w:t>
            </w:r>
          </w:p>
          <w:p w14:paraId="15D389A7"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лица с увреждания, получаващи месечни добавки по Закона за интеграция на хора с увреждания;</w:t>
            </w:r>
          </w:p>
          <w:p w14:paraId="4CD9CDA8" w14:textId="77777777" w:rsidR="004C2346"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както и </w:t>
            </w:r>
          </w:p>
          <w:p w14:paraId="6F5477B9" w14:textId="661978E6" w:rsidR="00A17CA8" w:rsidRPr="0051384F" w:rsidRDefault="004C2346"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лица, за които се иска поставянето им под запрещение.</w:t>
            </w:r>
          </w:p>
          <w:p w14:paraId="1681ECEB"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br/>
              <w:t>Измененията предвиждат освобождаване от съдебни такси за лицата, на които е предоставена правна помощ.</w:t>
            </w:r>
          </w:p>
        </w:tc>
      </w:tr>
      <w:tr w:rsidR="007F2B35" w:rsidRPr="005241FC" w14:paraId="7F7B868E" w14:textId="77777777" w:rsidTr="00A80AF7">
        <w:trPr>
          <w:trHeight w:val="1755"/>
          <w:jc w:val="right"/>
        </w:trPr>
        <w:tc>
          <w:tcPr>
            <w:tcW w:w="710" w:type="dxa"/>
            <w:tcBorders>
              <w:top w:val="nil"/>
              <w:left w:val="single" w:sz="4" w:space="0" w:color="000000" w:themeColor="text1"/>
              <w:bottom w:val="single" w:sz="4" w:space="0" w:color="000000" w:themeColor="text1"/>
              <w:right w:val="single" w:sz="4" w:space="0" w:color="000000" w:themeColor="text1"/>
            </w:tcBorders>
            <w:shd w:val="clear" w:color="auto" w:fill="C6EFCE"/>
            <w:noWrap/>
          </w:tcPr>
          <w:p w14:paraId="120448CD" w14:textId="1EF0387E" w:rsidR="009D7A96" w:rsidRPr="009D7A96" w:rsidRDefault="009D7A96" w:rsidP="009D7A96">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215</w:t>
            </w:r>
          </w:p>
        </w:tc>
        <w:tc>
          <w:tcPr>
            <w:tcW w:w="1286" w:type="dxa"/>
            <w:tcBorders>
              <w:top w:val="nil"/>
              <w:left w:val="nil"/>
              <w:bottom w:val="single" w:sz="4" w:space="0" w:color="000000" w:themeColor="text1"/>
              <w:right w:val="single" w:sz="4" w:space="0" w:color="000000" w:themeColor="text1"/>
            </w:tcBorders>
            <w:shd w:val="clear" w:color="auto" w:fill="C6EFCE"/>
            <w:noWrap/>
          </w:tcPr>
          <w:p w14:paraId="4969A003" w14:textId="77777777" w:rsidR="009D7A96" w:rsidRPr="009D7A96" w:rsidRDefault="009D7A96" w:rsidP="00382A9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К10.Р1: Достъпно, ефективно и предвидимо правосъдие</w:t>
            </w:r>
          </w:p>
        </w:tc>
        <w:tc>
          <w:tcPr>
            <w:tcW w:w="1085" w:type="dxa"/>
            <w:tcBorders>
              <w:top w:val="nil"/>
              <w:left w:val="nil"/>
              <w:bottom w:val="single" w:sz="4" w:space="0" w:color="000000" w:themeColor="text1"/>
              <w:right w:val="single" w:sz="4" w:space="0" w:color="000000" w:themeColor="text1"/>
            </w:tcBorders>
            <w:shd w:val="clear" w:color="auto" w:fill="C6EFCE"/>
            <w:noWrap/>
          </w:tcPr>
          <w:p w14:paraId="742C7C7E" w14:textId="77777777" w:rsidR="009D7A96" w:rsidRPr="009D7A96" w:rsidRDefault="009D7A96" w:rsidP="00382A9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734" w:type="dxa"/>
            <w:tcBorders>
              <w:top w:val="nil"/>
              <w:left w:val="nil"/>
              <w:bottom w:val="single" w:sz="4" w:space="0" w:color="000000" w:themeColor="text1"/>
              <w:right w:val="single" w:sz="4" w:space="0" w:color="000000" w:themeColor="text1"/>
            </w:tcBorders>
            <w:shd w:val="clear" w:color="auto" w:fill="C6EFCE"/>
            <w:noWrap/>
          </w:tcPr>
          <w:p w14:paraId="69B0E548" w14:textId="77777777" w:rsidR="009D7A96" w:rsidRPr="0051384F" w:rsidRDefault="009D7A96" w:rsidP="00382A9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Влизане в сила на законодателните изменения на Административнопроцесуалния кодекс, с които се определя правната рамка за електронно правосъдие по административни дела</w:t>
            </w:r>
          </w:p>
        </w:tc>
        <w:tc>
          <w:tcPr>
            <w:tcW w:w="1417" w:type="dxa"/>
            <w:tcBorders>
              <w:top w:val="nil"/>
              <w:left w:val="nil"/>
              <w:bottom w:val="single" w:sz="4" w:space="0" w:color="000000" w:themeColor="text1"/>
              <w:right w:val="single" w:sz="4" w:space="0" w:color="000000" w:themeColor="text1"/>
            </w:tcBorders>
            <w:shd w:val="clear" w:color="auto" w:fill="C6EFCE"/>
            <w:noWrap/>
          </w:tcPr>
          <w:p w14:paraId="4258F092" w14:textId="77777777" w:rsidR="009D7A96" w:rsidRPr="0051384F" w:rsidRDefault="009D7A96" w:rsidP="00382A9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Разпоредби в Административнопроцесуалния кодекс, указващи влизането в сила на законодателните изменения</w:t>
            </w:r>
          </w:p>
        </w:tc>
        <w:tc>
          <w:tcPr>
            <w:tcW w:w="993" w:type="dxa"/>
            <w:tcBorders>
              <w:top w:val="nil"/>
              <w:left w:val="nil"/>
              <w:bottom w:val="single" w:sz="4" w:space="0" w:color="000000" w:themeColor="text1"/>
              <w:right w:val="single" w:sz="4" w:space="0" w:color="000000" w:themeColor="text1"/>
            </w:tcBorders>
            <w:shd w:val="clear" w:color="auto" w:fill="C6EFCE"/>
            <w:noWrap/>
          </w:tcPr>
          <w:p w14:paraId="6911DCB7" w14:textId="77777777" w:rsidR="009D7A96" w:rsidRPr="008A0F8A" w:rsidRDefault="009D7A96" w:rsidP="00382A9B">
            <w:pPr>
              <w:spacing w:after="0" w:line="240" w:lineRule="auto"/>
              <w:rPr>
                <w:rFonts w:ascii="Times New Roman" w:eastAsia="Times New Roman" w:hAnsi="Times New Roman" w:cs="Times New Roman"/>
                <w:noProof/>
                <w:color w:val="006100"/>
                <w:sz w:val="20"/>
                <w:szCs w:val="20"/>
                <w:lang w:val="ru-RU" w:eastAsia="en-GB"/>
              </w:rPr>
            </w:pPr>
          </w:p>
        </w:tc>
        <w:tc>
          <w:tcPr>
            <w:tcW w:w="1134" w:type="dxa"/>
            <w:tcBorders>
              <w:top w:val="nil"/>
              <w:left w:val="nil"/>
              <w:bottom w:val="single" w:sz="4" w:space="0" w:color="000000" w:themeColor="text1"/>
              <w:right w:val="single" w:sz="4" w:space="0" w:color="000000" w:themeColor="text1"/>
            </w:tcBorders>
            <w:shd w:val="clear" w:color="auto" w:fill="C6EFCE"/>
            <w:noWrap/>
          </w:tcPr>
          <w:p w14:paraId="6D4D43DA" w14:textId="77777777" w:rsidR="009D7A96" w:rsidRPr="008A0F8A" w:rsidRDefault="009D7A96" w:rsidP="00382A9B">
            <w:pPr>
              <w:spacing w:after="0" w:line="240" w:lineRule="auto"/>
              <w:rPr>
                <w:rFonts w:ascii="Times New Roman" w:eastAsia="Times New Roman" w:hAnsi="Times New Roman" w:cs="Times New Roman"/>
                <w:noProof/>
                <w:color w:val="006100"/>
                <w:sz w:val="20"/>
                <w:szCs w:val="20"/>
                <w:lang w:val="ru-RU" w:eastAsia="en-GB"/>
              </w:rPr>
            </w:pPr>
          </w:p>
        </w:tc>
        <w:tc>
          <w:tcPr>
            <w:tcW w:w="1134" w:type="dxa"/>
            <w:tcBorders>
              <w:top w:val="nil"/>
              <w:left w:val="nil"/>
              <w:bottom w:val="single" w:sz="4" w:space="0" w:color="000000" w:themeColor="text1"/>
              <w:right w:val="single" w:sz="4" w:space="0" w:color="000000" w:themeColor="text1"/>
            </w:tcBorders>
            <w:shd w:val="clear" w:color="auto" w:fill="C6EFCE"/>
            <w:noWrap/>
          </w:tcPr>
          <w:p w14:paraId="4830E733" w14:textId="77777777" w:rsidR="009D7A96" w:rsidRPr="008A0F8A" w:rsidRDefault="009D7A96" w:rsidP="00382A9B">
            <w:pPr>
              <w:spacing w:after="0" w:line="240" w:lineRule="auto"/>
              <w:rPr>
                <w:rFonts w:ascii="Times New Roman" w:eastAsia="Times New Roman" w:hAnsi="Times New Roman" w:cs="Times New Roman"/>
                <w:noProof/>
                <w:color w:val="006100"/>
                <w:sz w:val="20"/>
                <w:szCs w:val="20"/>
                <w:lang w:val="ru-RU" w:eastAsia="en-GB"/>
              </w:rPr>
            </w:pPr>
          </w:p>
        </w:tc>
        <w:tc>
          <w:tcPr>
            <w:tcW w:w="850" w:type="dxa"/>
            <w:tcBorders>
              <w:top w:val="nil"/>
              <w:left w:val="nil"/>
              <w:bottom w:val="single" w:sz="4" w:space="0" w:color="000000" w:themeColor="text1"/>
              <w:right w:val="single" w:sz="4" w:space="0" w:color="000000" w:themeColor="text1"/>
            </w:tcBorders>
            <w:shd w:val="clear" w:color="auto" w:fill="C6EFCE"/>
            <w:noWrap/>
          </w:tcPr>
          <w:p w14:paraId="172263AD" w14:textId="77777777" w:rsidR="009D7A96" w:rsidRPr="0051384F" w:rsidRDefault="009D7A96" w:rsidP="00382A9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T4</w:t>
            </w:r>
          </w:p>
        </w:tc>
        <w:tc>
          <w:tcPr>
            <w:tcW w:w="744" w:type="dxa"/>
            <w:tcBorders>
              <w:top w:val="nil"/>
              <w:left w:val="nil"/>
              <w:bottom w:val="single" w:sz="4" w:space="0" w:color="000000" w:themeColor="text1"/>
              <w:right w:val="single" w:sz="4" w:space="0" w:color="000000" w:themeColor="text1"/>
            </w:tcBorders>
            <w:shd w:val="clear" w:color="auto" w:fill="C6EFCE"/>
            <w:noWrap/>
          </w:tcPr>
          <w:p w14:paraId="1D5696A7" w14:textId="77777777" w:rsidR="009D7A96" w:rsidRPr="0051384F" w:rsidRDefault="009D7A96" w:rsidP="00382A9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2024</w:t>
            </w:r>
          </w:p>
        </w:tc>
        <w:tc>
          <w:tcPr>
            <w:tcW w:w="4359" w:type="dxa"/>
            <w:tcBorders>
              <w:top w:val="nil"/>
              <w:left w:val="nil"/>
              <w:bottom w:val="single" w:sz="4" w:space="0" w:color="000000" w:themeColor="text1"/>
              <w:right w:val="single" w:sz="4" w:space="0" w:color="000000" w:themeColor="text1"/>
            </w:tcBorders>
            <w:shd w:val="clear" w:color="auto" w:fill="C6EFCE"/>
          </w:tcPr>
          <w:p w14:paraId="1DDE3DFE" w14:textId="77777777" w:rsidR="009D7A96" w:rsidRPr="0051384F" w:rsidRDefault="009D7A96" w:rsidP="00382A9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Законодателните изменения в Административнопроцесуалния кодекс осигуряват възможност за: </w:t>
            </w:r>
          </w:p>
          <w:p w14:paraId="71FCEB06" w14:textId="77777777" w:rsidR="009D7A96" w:rsidRPr="0051384F" w:rsidRDefault="009D7A96" w:rsidP="00382A9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 изготвяне на съдебни актове като електронни документи и подписването им с квалифициран електронен подпис; </w:t>
            </w:r>
          </w:p>
          <w:p w14:paraId="0ED13666" w14:textId="77777777" w:rsidR="009D7A96" w:rsidRPr="0051384F" w:rsidRDefault="009D7A96" w:rsidP="00382A9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 упражняване на процесуални права и извършване на процесуални действия в електронна форма от страните по съдебни производства чрез подаване на административни документи в електронна форма чрез защитена идентификация; </w:t>
            </w:r>
          </w:p>
          <w:p w14:paraId="0B20AC38" w14:textId="77777777" w:rsidR="009D7A96" w:rsidRPr="009D7A96" w:rsidRDefault="009D7A96" w:rsidP="00382A9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 провеждане на дистанционни открити съдебни заседания. </w:t>
            </w:r>
          </w:p>
        </w:tc>
      </w:tr>
      <w:tr w:rsidR="007F2B35" w:rsidRPr="005241FC" w14:paraId="5D482370" w14:textId="77777777" w:rsidTr="00A80AF7">
        <w:trPr>
          <w:trHeight w:val="1755"/>
          <w:jc w:val="right"/>
        </w:trPr>
        <w:tc>
          <w:tcPr>
            <w:tcW w:w="710" w:type="dxa"/>
            <w:tcBorders>
              <w:top w:val="nil"/>
              <w:left w:val="single" w:sz="4" w:space="0" w:color="000000" w:themeColor="text1"/>
              <w:bottom w:val="single" w:sz="4" w:space="0" w:color="000000" w:themeColor="text1"/>
              <w:right w:val="single" w:sz="4" w:space="0" w:color="000000" w:themeColor="text1"/>
            </w:tcBorders>
            <w:shd w:val="clear" w:color="auto" w:fill="C6EFCE"/>
            <w:noWrap/>
          </w:tcPr>
          <w:p w14:paraId="47277B1F" w14:textId="13E8FA58" w:rsidR="00A17CA8" w:rsidRPr="0051384F" w:rsidRDefault="006804A9"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216</w:t>
            </w:r>
          </w:p>
        </w:tc>
        <w:tc>
          <w:tcPr>
            <w:tcW w:w="1286" w:type="dxa"/>
            <w:tcBorders>
              <w:top w:val="nil"/>
              <w:left w:val="nil"/>
              <w:bottom w:val="single" w:sz="4" w:space="0" w:color="000000" w:themeColor="text1"/>
              <w:right w:val="single" w:sz="4" w:space="0" w:color="000000" w:themeColor="text1"/>
            </w:tcBorders>
            <w:shd w:val="clear" w:color="auto" w:fill="C6EFCE"/>
            <w:noWrap/>
          </w:tcPr>
          <w:p w14:paraId="50AB1F44" w14:textId="1DEDEC24" w:rsidR="00A17CA8" w:rsidRPr="0051384F" w:rsidRDefault="00C8071B"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К10.Р1: Достъпно, ефективно и предвидимо правосъдие</w:t>
            </w:r>
          </w:p>
        </w:tc>
        <w:tc>
          <w:tcPr>
            <w:tcW w:w="1085" w:type="dxa"/>
            <w:tcBorders>
              <w:top w:val="nil"/>
              <w:left w:val="nil"/>
              <w:bottom w:val="single" w:sz="4" w:space="0" w:color="000000" w:themeColor="text1"/>
              <w:right w:val="single" w:sz="4" w:space="0" w:color="000000" w:themeColor="text1"/>
            </w:tcBorders>
            <w:shd w:val="clear" w:color="auto" w:fill="C6EFCE"/>
            <w:noWrap/>
          </w:tcPr>
          <w:p w14:paraId="4FDB46B9"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Цел</w:t>
            </w:r>
          </w:p>
        </w:tc>
        <w:tc>
          <w:tcPr>
            <w:tcW w:w="1734" w:type="dxa"/>
            <w:tcBorders>
              <w:top w:val="nil"/>
              <w:left w:val="nil"/>
              <w:bottom w:val="single" w:sz="4" w:space="0" w:color="000000" w:themeColor="text1"/>
              <w:right w:val="single" w:sz="4" w:space="0" w:color="000000" w:themeColor="text1"/>
            </w:tcBorders>
            <w:shd w:val="clear" w:color="auto" w:fill="C6EFCE"/>
            <w:noWrap/>
          </w:tcPr>
          <w:p w14:paraId="2A350AF0" w14:textId="7F9D6011"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Публикуване на четири годишни анализа на прилагането на правилата за електронно правосъдие в Гражданския процесуален кодекс и Наказателно-процесуалния кодекс</w:t>
            </w:r>
          </w:p>
        </w:tc>
        <w:tc>
          <w:tcPr>
            <w:tcW w:w="1417" w:type="dxa"/>
            <w:tcBorders>
              <w:top w:val="nil"/>
              <w:left w:val="nil"/>
              <w:bottom w:val="single" w:sz="4" w:space="0" w:color="000000" w:themeColor="text1"/>
              <w:right w:val="single" w:sz="4" w:space="0" w:color="000000" w:themeColor="text1"/>
            </w:tcBorders>
            <w:shd w:val="clear" w:color="auto" w:fill="C6EFCE"/>
            <w:noWrap/>
          </w:tcPr>
          <w:p w14:paraId="4FF169F6"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993" w:type="dxa"/>
            <w:tcBorders>
              <w:top w:val="nil"/>
              <w:left w:val="nil"/>
              <w:bottom w:val="single" w:sz="4" w:space="0" w:color="000000" w:themeColor="text1"/>
              <w:right w:val="single" w:sz="4" w:space="0" w:color="000000" w:themeColor="text1"/>
            </w:tcBorders>
            <w:shd w:val="clear" w:color="auto" w:fill="C6EFCE"/>
            <w:noWrap/>
          </w:tcPr>
          <w:p w14:paraId="7B7AD4DC"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Брой</w:t>
            </w:r>
          </w:p>
        </w:tc>
        <w:tc>
          <w:tcPr>
            <w:tcW w:w="1134" w:type="dxa"/>
            <w:tcBorders>
              <w:top w:val="nil"/>
              <w:left w:val="nil"/>
              <w:bottom w:val="single" w:sz="4" w:space="0" w:color="000000" w:themeColor="text1"/>
              <w:right w:val="single" w:sz="4" w:space="0" w:color="000000" w:themeColor="text1"/>
            </w:tcBorders>
            <w:shd w:val="clear" w:color="auto" w:fill="C6EFCE"/>
            <w:noWrap/>
          </w:tcPr>
          <w:p w14:paraId="3244FB9A"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0</w:t>
            </w:r>
          </w:p>
        </w:tc>
        <w:tc>
          <w:tcPr>
            <w:tcW w:w="1134" w:type="dxa"/>
            <w:tcBorders>
              <w:top w:val="nil"/>
              <w:left w:val="nil"/>
              <w:bottom w:val="single" w:sz="4" w:space="0" w:color="000000" w:themeColor="text1"/>
              <w:right w:val="single" w:sz="4" w:space="0" w:color="000000" w:themeColor="text1"/>
            </w:tcBorders>
            <w:shd w:val="clear" w:color="auto" w:fill="C6EFCE"/>
            <w:noWrap/>
          </w:tcPr>
          <w:p w14:paraId="1B750A34"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4</w:t>
            </w:r>
          </w:p>
        </w:tc>
        <w:tc>
          <w:tcPr>
            <w:tcW w:w="850" w:type="dxa"/>
            <w:tcBorders>
              <w:top w:val="nil"/>
              <w:left w:val="nil"/>
              <w:bottom w:val="single" w:sz="4" w:space="0" w:color="000000" w:themeColor="text1"/>
              <w:right w:val="single" w:sz="4" w:space="0" w:color="000000" w:themeColor="text1"/>
            </w:tcBorders>
            <w:shd w:val="clear" w:color="auto" w:fill="C6EFCE"/>
            <w:noWrap/>
          </w:tcPr>
          <w:p w14:paraId="74153CC3"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T1</w:t>
            </w:r>
          </w:p>
        </w:tc>
        <w:tc>
          <w:tcPr>
            <w:tcW w:w="744" w:type="dxa"/>
            <w:tcBorders>
              <w:top w:val="nil"/>
              <w:left w:val="nil"/>
              <w:bottom w:val="single" w:sz="4" w:space="0" w:color="000000" w:themeColor="text1"/>
              <w:right w:val="single" w:sz="4" w:space="0" w:color="000000" w:themeColor="text1"/>
            </w:tcBorders>
            <w:shd w:val="clear" w:color="auto" w:fill="C6EFCE"/>
            <w:noWrap/>
          </w:tcPr>
          <w:p w14:paraId="6DC8F6CE"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2026</w:t>
            </w:r>
          </w:p>
        </w:tc>
        <w:tc>
          <w:tcPr>
            <w:tcW w:w="4359" w:type="dxa"/>
            <w:tcBorders>
              <w:top w:val="nil"/>
              <w:left w:val="nil"/>
              <w:bottom w:val="single" w:sz="4" w:space="0" w:color="000000" w:themeColor="text1"/>
              <w:right w:val="single" w:sz="4" w:space="0" w:color="000000" w:themeColor="text1"/>
            </w:tcBorders>
            <w:shd w:val="clear" w:color="auto" w:fill="C6EFCE"/>
          </w:tcPr>
          <w:p w14:paraId="51B12150"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Въз основа на редовен мониторинг Министерството на правосъдието и Висшият съдебен съвет изготвят и публикуват четири годишни анализа на прилагането на правилата за електронно правосъдие в Гражданския процесуален кодекс и Наказателно-процесуалния кодекс, включително правилата за:</w:t>
            </w:r>
          </w:p>
          <w:p w14:paraId="1357EA3C"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 връчване на съобщения и призовки на електронен адрес; </w:t>
            </w:r>
          </w:p>
          <w:p w14:paraId="2EC1B00D"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 възможността за заплащане на такси и други задължения към съда по електронен път; </w:t>
            </w:r>
          </w:p>
          <w:p w14:paraId="578BBBA9"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 изготвяне на съдебни актове като електронен документ в Единната информационна система на съдилищата и подписването им с квалифициран електронен подпис; </w:t>
            </w:r>
          </w:p>
          <w:p w14:paraId="26AB338A"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 упражняване на процесуални права и извършване на процесуални действия в електронна форма от страните по съдебни производства; </w:t>
            </w:r>
          </w:p>
          <w:p w14:paraId="10E4F340"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дистанционно провеждане на съдебни заседания.</w:t>
            </w:r>
          </w:p>
          <w:p w14:paraId="5CBD17D5" w14:textId="1D72CF4D" w:rsidR="00A17CA8" w:rsidRPr="00130EA5"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Анализът се публикува през първото тримесечие на последващата година, като се започне от първото тримесечие на 2023 г. за анализа за 2022 г.</w:t>
            </w:r>
          </w:p>
        </w:tc>
      </w:tr>
      <w:tr w:rsidR="007F2B35" w:rsidRPr="005241FC" w14:paraId="0ED50397" w14:textId="77777777" w:rsidTr="00A80AF7">
        <w:trPr>
          <w:trHeight w:val="1755"/>
          <w:jc w:val="right"/>
        </w:trPr>
        <w:tc>
          <w:tcPr>
            <w:tcW w:w="710" w:type="dxa"/>
            <w:tcBorders>
              <w:top w:val="nil"/>
              <w:left w:val="single" w:sz="4" w:space="0" w:color="000000" w:themeColor="text1"/>
              <w:bottom w:val="single" w:sz="4" w:space="0" w:color="000000" w:themeColor="text1"/>
              <w:right w:val="single" w:sz="4" w:space="0" w:color="000000" w:themeColor="text1"/>
            </w:tcBorders>
            <w:shd w:val="clear" w:color="auto" w:fill="C6EFCE"/>
            <w:noWrap/>
          </w:tcPr>
          <w:p w14:paraId="3B966B8E" w14:textId="7005484F" w:rsidR="00A17CA8" w:rsidRPr="0051384F" w:rsidRDefault="002B7436"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217</w:t>
            </w:r>
          </w:p>
        </w:tc>
        <w:tc>
          <w:tcPr>
            <w:tcW w:w="1286" w:type="dxa"/>
            <w:tcBorders>
              <w:top w:val="nil"/>
              <w:left w:val="nil"/>
              <w:bottom w:val="single" w:sz="4" w:space="0" w:color="000000" w:themeColor="text1"/>
              <w:right w:val="single" w:sz="4" w:space="0" w:color="000000" w:themeColor="text1"/>
            </w:tcBorders>
            <w:shd w:val="clear" w:color="auto" w:fill="C6EFCE"/>
            <w:noWrap/>
          </w:tcPr>
          <w:p w14:paraId="14A90885" w14:textId="3DA26212" w:rsidR="00A17CA8" w:rsidRPr="0051384F" w:rsidRDefault="00C8071B"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К10.Р2: Противодействие на корупцията</w:t>
            </w:r>
          </w:p>
        </w:tc>
        <w:tc>
          <w:tcPr>
            <w:tcW w:w="1085" w:type="dxa"/>
            <w:tcBorders>
              <w:top w:val="nil"/>
              <w:left w:val="nil"/>
              <w:bottom w:val="single" w:sz="4" w:space="0" w:color="000000" w:themeColor="text1"/>
              <w:right w:val="single" w:sz="4" w:space="0" w:color="000000" w:themeColor="text1"/>
            </w:tcBorders>
            <w:shd w:val="clear" w:color="auto" w:fill="C6EFCE"/>
            <w:noWrap/>
          </w:tcPr>
          <w:p w14:paraId="33B8994E"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734" w:type="dxa"/>
            <w:tcBorders>
              <w:top w:val="nil"/>
              <w:left w:val="nil"/>
              <w:bottom w:val="single" w:sz="4" w:space="0" w:color="000000" w:themeColor="text1"/>
              <w:right w:val="single" w:sz="4" w:space="0" w:color="000000" w:themeColor="text1"/>
            </w:tcBorders>
            <w:shd w:val="clear" w:color="auto" w:fill="C6EFCE"/>
            <w:noWrap/>
          </w:tcPr>
          <w:p w14:paraId="4BDE07A6"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Влизане в сила на изменения на нормативната уредба във връзка с подаването на сигнали за нередности</w:t>
            </w:r>
            <w:r>
              <w:rPr>
                <w:rFonts w:ascii="Times New Roman" w:hAnsi="Times New Roman"/>
                <w:noProof/>
                <w:sz w:val="20"/>
              </w:rPr>
              <w:t xml:space="preserve"> </w:t>
            </w:r>
          </w:p>
        </w:tc>
        <w:tc>
          <w:tcPr>
            <w:tcW w:w="1417" w:type="dxa"/>
            <w:tcBorders>
              <w:top w:val="nil"/>
              <w:left w:val="nil"/>
              <w:bottom w:val="single" w:sz="4" w:space="0" w:color="000000" w:themeColor="text1"/>
              <w:right w:val="single" w:sz="4" w:space="0" w:color="000000" w:themeColor="text1"/>
            </w:tcBorders>
            <w:shd w:val="clear" w:color="auto" w:fill="C6EFCE"/>
            <w:noWrap/>
          </w:tcPr>
          <w:p w14:paraId="1FD83BA1" w14:textId="745CB5F5" w:rsidR="00A17CA8" w:rsidRPr="0051384F" w:rsidRDefault="00A17CA8" w:rsidP="00614D26">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Разпоредби в законодателството, указващи влизането в сила на съответните законодателни изменения</w:t>
            </w:r>
          </w:p>
        </w:tc>
        <w:tc>
          <w:tcPr>
            <w:tcW w:w="993" w:type="dxa"/>
            <w:tcBorders>
              <w:top w:val="nil"/>
              <w:left w:val="nil"/>
              <w:bottom w:val="single" w:sz="4" w:space="0" w:color="000000" w:themeColor="text1"/>
              <w:right w:val="single" w:sz="4" w:space="0" w:color="000000" w:themeColor="text1"/>
            </w:tcBorders>
            <w:shd w:val="clear" w:color="auto" w:fill="C6EFCE"/>
            <w:noWrap/>
          </w:tcPr>
          <w:p w14:paraId="45745E8A"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1134" w:type="dxa"/>
            <w:tcBorders>
              <w:top w:val="nil"/>
              <w:left w:val="nil"/>
              <w:bottom w:val="single" w:sz="4" w:space="0" w:color="000000" w:themeColor="text1"/>
              <w:right w:val="single" w:sz="4" w:space="0" w:color="000000" w:themeColor="text1"/>
            </w:tcBorders>
            <w:shd w:val="clear" w:color="auto" w:fill="C6EFCE"/>
            <w:noWrap/>
          </w:tcPr>
          <w:p w14:paraId="1C5B9FD0"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1134" w:type="dxa"/>
            <w:tcBorders>
              <w:top w:val="nil"/>
              <w:left w:val="nil"/>
              <w:bottom w:val="single" w:sz="4" w:space="0" w:color="000000" w:themeColor="text1"/>
              <w:right w:val="single" w:sz="4" w:space="0" w:color="000000" w:themeColor="text1"/>
            </w:tcBorders>
            <w:shd w:val="clear" w:color="auto" w:fill="C6EFCE"/>
            <w:noWrap/>
          </w:tcPr>
          <w:p w14:paraId="020EB393"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850" w:type="dxa"/>
            <w:tcBorders>
              <w:top w:val="nil"/>
              <w:left w:val="nil"/>
              <w:bottom w:val="single" w:sz="4" w:space="0" w:color="000000" w:themeColor="text1"/>
              <w:right w:val="single" w:sz="4" w:space="0" w:color="000000" w:themeColor="text1"/>
            </w:tcBorders>
            <w:shd w:val="clear" w:color="auto" w:fill="C6EFCE"/>
            <w:noWrap/>
          </w:tcPr>
          <w:p w14:paraId="090BCD0C"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T3</w:t>
            </w:r>
          </w:p>
        </w:tc>
        <w:tc>
          <w:tcPr>
            <w:tcW w:w="744" w:type="dxa"/>
            <w:tcBorders>
              <w:top w:val="nil"/>
              <w:left w:val="nil"/>
              <w:bottom w:val="single" w:sz="4" w:space="0" w:color="000000" w:themeColor="text1"/>
              <w:right w:val="single" w:sz="4" w:space="0" w:color="000000" w:themeColor="text1"/>
            </w:tcBorders>
            <w:shd w:val="clear" w:color="auto" w:fill="C6EFCE"/>
            <w:noWrap/>
          </w:tcPr>
          <w:p w14:paraId="24C5F325"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2022</w:t>
            </w:r>
          </w:p>
        </w:tc>
        <w:tc>
          <w:tcPr>
            <w:tcW w:w="4359" w:type="dxa"/>
            <w:tcBorders>
              <w:top w:val="nil"/>
              <w:left w:val="nil"/>
              <w:bottom w:val="single" w:sz="4" w:space="0" w:color="000000" w:themeColor="text1"/>
              <w:right w:val="single" w:sz="4" w:space="0" w:color="000000" w:themeColor="text1"/>
            </w:tcBorders>
            <w:shd w:val="clear" w:color="auto" w:fill="C6EFCE"/>
          </w:tcPr>
          <w:p w14:paraId="590D9C3C"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Измененията на съответната нормативна уредба включват:</w:t>
            </w:r>
          </w:p>
          <w:p w14:paraId="7A2F9787" w14:textId="3039A6A2"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въвеждането на изискванията на Директива (ЕС) 2019/1937, а именно: изграждането на</w:t>
            </w:r>
            <w:r>
              <w:rPr>
                <w:rFonts w:ascii="Times New Roman" w:hAnsi="Times New Roman"/>
                <w:noProof/>
                <w:color w:val="006100"/>
                <w:sz w:val="20"/>
              </w:rPr>
              <w:br/>
              <w:t>поверителни вътрешни и външни канали за подаване на сигнали за нередности и корупция; изграждане на механизми за проверка на подадените сигнали; осигуряване на мерки за защита и мерки за подкрепа на лицата, които подават сигнали за нарушения; осигуряване на обратна информация и публичност за резултатите от извършените проверки по сигнали;</w:t>
            </w:r>
            <w:r>
              <w:rPr>
                <w:rFonts w:ascii="Times New Roman" w:hAnsi="Times New Roman"/>
                <w:noProof/>
                <w:color w:val="006100"/>
                <w:sz w:val="20"/>
              </w:rPr>
              <w:br/>
              <w:t>- изискване за публично оповестяване на резултатите от дейността на етични комисии, които разглеждат сигнали за неетично поведение, конфликт на интереси и други сигнали за корупционно поведение на общински съветници;</w:t>
            </w:r>
            <w:r>
              <w:rPr>
                <w:rFonts w:ascii="Times New Roman" w:hAnsi="Times New Roman"/>
                <w:noProof/>
                <w:color w:val="006100"/>
                <w:sz w:val="20"/>
              </w:rPr>
              <w:br/>
              <w:t xml:space="preserve">- промени в правната регламентация на престъпленията обида и клевета в Наказателния кодекс, които да осигурят съответствие с Конвенцията за защита правата на човека и основните свободи на Съвета на Европа и с решенията на Европейския съд по правата на човека. Така се ограничават възможностите за търсене на наказателна отговорност по частен ред във връзка с публикации на журналисти и доклади от лица, сигнализиращи за нарушения. </w:t>
            </w:r>
          </w:p>
        </w:tc>
      </w:tr>
      <w:tr w:rsidR="007F2B35" w:rsidRPr="005241FC" w14:paraId="09E24F07" w14:textId="77777777" w:rsidTr="00A80AF7">
        <w:trPr>
          <w:trHeight w:val="1755"/>
          <w:jc w:val="right"/>
        </w:trPr>
        <w:tc>
          <w:tcPr>
            <w:tcW w:w="710" w:type="dxa"/>
            <w:tcBorders>
              <w:top w:val="nil"/>
              <w:left w:val="single" w:sz="4" w:space="0" w:color="000000" w:themeColor="text1"/>
              <w:bottom w:val="single" w:sz="4" w:space="0" w:color="000000" w:themeColor="text1"/>
              <w:right w:val="single" w:sz="4" w:space="0" w:color="000000" w:themeColor="text1"/>
            </w:tcBorders>
            <w:shd w:val="clear" w:color="auto" w:fill="C6EFCE"/>
            <w:noWrap/>
          </w:tcPr>
          <w:p w14:paraId="1CF780EA" w14:textId="4D67C3A1" w:rsidR="00A17CA8" w:rsidRPr="0051384F" w:rsidRDefault="002B7436"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218</w:t>
            </w:r>
          </w:p>
        </w:tc>
        <w:tc>
          <w:tcPr>
            <w:tcW w:w="1286" w:type="dxa"/>
            <w:tcBorders>
              <w:top w:val="nil"/>
              <w:left w:val="nil"/>
              <w:bottom w:val="single" w:sz="4" w:space="0" w:color="000000" w:themeColor="text1"/>
              <w:right w:val="single" w:sz="4" w:space="0" w:color="000000" w:themeColor="text1"/>
            </w:tcBorders>
            <w:shd w:val="clear" w:color="auto" w:fill="C6EFCE"/>
            <w:noWrap/>
          </w:tcPr>
          <w:p w14:paraId="5E19484E" w14:textId="396ABB34" w:rsidR="00A17CA8" w:rsidRPr="0051384F" w:rsidRDefault="00C8071B"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К10.Р2: Противодействие на корупцията</w:t>
            </w:r>
          </w:p>
        </w:tc>
        <w:tc>
          <w:tcPr>
            <w:tcW w:w="1085" w:type="dxa"/>
            <w:tcBorders>
              <w:top w:val="nil"/>
              <w:left w:val="nil"/>
              <w:bottom w:val="single" w:sz="4" w:space="0" w:color="000000" w:themeColor="text1"/>
              <w:right w:val="single" w:sz="4" w:space="0" w:color="000000" w:themeColor="text1"/>
            </w:tcBorders>
            <w:shd w:val="clear" w:color="auto" w:fill="C6EFCE"/>
            <w:noWrap/>
          </w:tcPr>
          <w:p w14:paraId="0AF7B420"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734" w:type="dxa"/>
            <w:tcBorders>
              <w:top w:val="nil"/>
              <w:left w:val="nil"/>
              <w:bottom w:val="single" w:sz="4" w:space="0" w:color="000000" w:themeColor="text1"/>
              <w:right w:val="single" w:sz="4" w:space="0" w:color="000000" w:themeColor="text1"/>
            </w:tcBorders>
            <w:shd w:val="clear" w:color="auto" w:fill="C6EFCE"/>
            <w:noWrap/>
          </w:tcPr>
          <w:p w14:paraId="5BC5F6A8"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Влизане в сила на законодателните изменения за реформа на Комисия за противодействие на корупцията и за отнемане на незаконно придобитото имущество</w:t>
            </w:r>
          </w:p>
        </w:tc>
        <w:tc>
          <w:tcPr>
            <w:tcW w:w="1417" w:type="dxa"/>
            <w:tcBorders>
              <w:top w:val="nil"/>
              <w:left w:val="nil"/>
              <w:bottom w:val="single" w:sz="4" w:space="0" w:color="000000" w:themeColor="text1"/>
              <w:right w:val="single" w:sz="4" w:space="0" w:color="000000" w:themeColor="text1"/>
            </w:tcBorders>
            <w:shd w:val="clear" w:color="auto" w:fill="C6EFCE"/>
            <w:noWrap/>
          </w:tcPr>
          <w:p w14:paraId="54946C5D"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Законова разпоредба, указваща влизането в сила</w:t>
            </w:r>
          </w:p>
        </w:tc>
        <w:tc>
          <w:tcPr>
            <w:tcW w:w="993" w:type="dxa"/>
            <w:tcBorders>
              <w:top w:val="nil"/>
              <w:left w:val="nil"/>
              <w:bottom w:val="single" w:sz="4" w:space="0" w:color="000000" w:themeColor="text1"/>
              <w:right w:val="single" w:sz="4" w:space="0" w:color="000000" w:themeColor="text1"/>
            </w:tcBorders>
            <w:shd w:val="clear" w:color="auto" w:fill="C6EFCE"/>
            <w:noWrap/>
          </w:tcPr>
          <w:p w14:paraId="5D0E03C0"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1134" w:type="dxa"/>
            <w:tcBorders>
              <w:top w:val="nil"/>
              <w:left w:val="nil"/>
              <w:bottom w:val="single" w:sz="4" w:space="0" w:color="000000" w:themeColor="text1"/>
              <w:right w:val="single" w:sz="4" w:space="0" w:color="000000" w:themeColor="text1"/>
            </w:tcBorders>
            <w:shd w:val="clear" w:color="auto" w:fill="C6EFCE"/>
            <w:noWrap/>
          </w:tcPr>
          <w:p w14:paraId="7DB2C007"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1134" w:type="dxa"/>
            <w:tcBorders>
              <w:top w:val="nil"/>
              <w:left w:val="nil"/>
              <w:bottom w:val="single" w:sz="4" w:space="0" w:color="000000" w:themeColor="text1"/>
              <w:right w:val="single" w:sz="4" w:space="0" w:color="000000" w:themeColor="text1"/>
            </w:tcBorders>
            <w:shd w:val="clear" w:color="auto" w:fill="C6EFCE"/>
            <w:noWrap/>
          </w:tcPr>
          <w:p w14:paraId="4D7DC03B"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850" w:type="dxa"/>
            <w:tcBorders>
              <w:top w:val="nil"/>
              <w:left w:val="nil"/>
              <w:bottom w:val="single" w:sz="4" w:space="0" w:color="000000" w:themeColor="text1"/>
              <w:right w:val="single" w:sz="4" w:space="0" w:color="000000" w:themeColor="text1"/>
            </w:tcBorders>
            <w:shd w:val="clear" w:color="auto" w:fill="C6EFCE"/>
            <w:noWrap/>
          </w:tcPr>
          <w:p w14:paraId="6C4482A7"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T3</w:t>
            </w:r>
          </w:p>
        </w:tc>
        <w:tc>
          <w:tcPr>
            <w:tcW w:w="744" w:type="dxa"/>
            <w:tcBorders>
              <w:top w:val="nil"/>
              <w:left w:val="nil"/>
              <w:bottom w:val="single" w:sz="4" w:space="0" w:color="000000" w:themeColor="text1"/>
              <w:right w:val="single" w:sz="4" w:space="0" w:color="000000" w:themeColor="text1"/>
            </w:tcBorders>
            <w:shd w:val="clear" w:color="auto" w:fill="C6EFCE"/>
            <w:noWrap/>
          </w:tcPr>
          <w:p w14:paraId="1B553E1A"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2022</w:t>
            </w:r>
          </w:p>
        </w:tc>
        <w:tc>
          <w:tcPr>
            <w:tcW w:w="4359" w:type="dxa"/>
            <w:tcBorders>
              <w:top w:val="nil"/>
              <w:left w:val="nil"/>
              <w:bottom w:val="single" w:sz="4" w:space="0" w:color="000000" w:themeColor="text1"/>
              <w:right w:val="single" w:sz="4" w:space="0" w:color="000000" w:themeColor="text1"/>
            </w:tcBorders>
            <w:shd w:val="clear" w:color="auto" w:fill="C6EFCE"/>
          </w:tcPr>
          <w:p w14:paraId="303C219F" w14:textId="0606FD9F" w:rsidR="00A17CA8" w:rsidRPr="0051384F" w:rsidRDefault="00A17CA8" w:rsidP="00576E40">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Със законодателните изменения се реформира съществуващата Комисия за противодействие на корупцията и за отнемане на незаконно придобитото имущество, като се предвижда създаването на политически и финансово независим антикорупционен орган. </w:t>
            </w:r>
          </w:p>
          <w:p w14:paraId="0DE290C1" w14:textId="77777777" w:rsidR="00A17CA8" w:rsidRPr="0051384F" w:rsidRDefault="00A17CA8" w:rsidP="00576E40">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Измененията предвиждат, че органът за борба с корупцията:</w:t>
            </w:r>
          </w:p>
          <w:p w14:paraId="47D7F43C" w14:textId="77777777" w:rsidR="00A17CA8" w:rsidRPr="0051384F" w:rsidRDefault="00A17CA8" w:rsidP="00576E40">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 и конкретно неговото ръководство се назначава чрез прозрачен процес, който гарантира политическа независимост;</w:t>
            </w:r>
          </w:p>
          <w:p w14:paraId="42C17D82" w14:textId="2EBA724A" w:rsidR="00A17CA8" w:rsidRPr="0051384F" w:rsidRDefault="00A17CA8" w:rsidP="00576E40">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 има правомощия да разследва и използва доказателствата, които събира в наказателното производство, при спазване на подходящи правни гаранции за правата и свободите на физическите лица и предприятията; </w:t>
            </w:r>
          </w:p>
          <w:p w14:paraId="13F8CAA8" w14:textId="77777777" w:rsidR="00A17CA8" w:rsidRPr="0051384F" w:rsidRDefault="00A17CA8" w:rsidP="00576E40">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 отнася случаите на значителни разминавания в разминавания или конфликт на интереси към органа за отнемане на незаконно придобитото имущество; </w:t>
            </w:r>
          </w:p>
          <w:p w14:paraId="4A834E1F" w14:textId="77777777" w:rsidR="00A17CA8" w:rsidRPr="0051384F" w:rsidRDefault="00A17CA8" w:rsidP="00576E40">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 участва също така в извършването на проверки на почтеността; </w:t>
            </w:r>
          </w:p>
          <w:p w14:paraId="2A58D2DB" w14:textId="77777777" w:rsidR="00A17CA8" w:rsidRPr="0051384F" w:rsidRDefault="00A17CA8" w:rsidP="00576E40">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 си сътрудничи тясно с Европейската прокуратура.</w:t>
            </w:r>
          </w:p>
          <w:p w14:paraId="2C9DDC00" w14:textId="77777777" w:rsidR="00A17CA8" w:rsidRPr="0051384F" w:rsidRDefault="00A17CA8" w:rsidP="00576E40">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Преди влизането в сила на законодателният проект се извършват консултации по него с Групата държави срещу корупцията към Съвета на Европа (GRECO). </w:t>
            </w:r>
          </w:p>
          <w:p w14:paraId="3F0DA792" w14:textId="77777777" w:rsidR="00A17CA8" w:rsidRPr="008A0F8A" w:rsidRDefault="00A17CA8" w:rsidP="00576E40">
            <w:pPr>
              <w:pStyle w:val="ListParagraph"/>
              <w:spacing w:after="0" w:line="240" w:lineRule="auto"/>
              <w:ind w:left="555"/>
              <w:jc w:val="both"/>
              <w:rPr>
                <w:rFonts w:ascii="Times New Roman" w:eastAsia="Times New Roman" w:hAnsi="Times New Roman" w:cs="Times New Roman"/>
                <w:noProof/>
                <w:color w:val="006100"/>
                <w:sz w:val="20"/>
                <w:szCs w:val="20"/>
                <w:lang w:val="ru-RU" w:eastAsia="en-GB"/>
              </w:rPr>
            </w:pPr>
          </w:p>
        </w:tc>
      </w:tr>
      <w:tr w:rsidR="007F2B35" w:rsidRPr="005241FC" w14:paraId="6CD83AEA" w14:textId="77777777" w:rsidTr="00A80AF7">
        <w:trPr>
          <w:trHeight w:val="1755"/>
          <w:jc w:val="right"/>
        </w:trPr>
        <w:tc>
          <w:tcPr>
            <w:tcW w:w="710" w:type="dxa"/>
            <w:tcBorders>
              <w:top w:val="nil"/>
              <w:left w:val="single" w:sz="4" w:space="0" w:color="000000" w:themeColor="text1"/>
              <w:bottom w:val="single" w:sz="4" w:space="0" w:color="000000" w:themeColor="text1"/>
              <w:right w:val="single" w:sz="4" w:space="0" w:color="000000" w:themeColor="text1"/>
            </w:tcBorders>
            <w:shd w:val="clear" w:color="auto" w:fill="C6EFCE"/>
            <w:noWrap/>
          </w:tcPr>
          <w:p w14:paraId="49FE81DB" w14:textId="1FECFBDD" w:rsidR="00A17CA8" w:rsidRPr="0051384F" w:rsidRDefault="002B7436"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219</w:t>
            </w:r>
          </w:p>
        </w:tc>
        <w:tc>
          <w:tcPr>
            <w:tcW w:w="1286" w:type="dxa"/>
            <w:tcBorders>
              <w:top w:val="nil"/>
              <w:left w:val="nil"/>
              <w:bottom w:val="single" w:sz="4" w:space="0" w:color="000000" w:themeColor="text1"/>
              <w:right w:val="single" w:sz="4" w:space="0" w:color="000000" w:themeColor="text1"/>
            </w:tcBorders>
            <w:shd w:val="clear" w:color="auto" w:fill="C6EFCE"/>
            <w:noWrap/>
          </w:tcPr>
          <w:p w14:paraId="43C87EE2" w14:textId="01BF38D2" w:rsidR="00A17CA8" w:rsidRPr="0051384F" w:rsidRDefault="00C8071B"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К10.Р2: Противодействие на корупцията</w:t>
            </w:r>
          </w:p>
        </w:tc>
        <w:tc>
          <w:tcPr>
            <w:tcW w:w="1085" w:type="dxa"/>
            <w:tcBorders>
              <w:top w:val="nil"/>
              <w:left w:val="nil"/>
              <w:bottom w:val="single" w:sz="4" w:space="0" w:color="000000" w:themeColor="text1"/>
              <w:right w:val="single" w:sz="4" w:space="0" w:color="000000" w:themeColor="text1"/>
            </w:tcBorders>
            <w:shd w:val="clear" w:color="auto" w:fill="C6EFCE"/>
            <w:noWrap/>
          </w:tcPr>
          <w:p w14:paraId="7DB87326"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734" w:type="dxa"/>
            <w:tcBorders>
              <w:top w:val="nil"/>
              <w:left w:val="nil"/>
              <w:bottom w:val="single" w:sz="4" w:space="0" w:color="000000" w:themeColor="text1"/>
              <w:right w:val="single" w:sz="4" w:space="0" w:color="000000" w:themeColor="text1"/>
            </w:tcBorders>
            <w:shd w:val="clear" w:color="auto" w:fill="C6EFCE"/>
            <w:noWrap/>
          </w:tcPr>
          <w:p w14:paraId="28266AD9"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Укрепване на капацитета на Инспектората към Висшия съдебен съвет за превенция и противодействие на корупцията в съдебната власт</w:t>
            </w:r>
          </w:p>
        </w:tc>
        <w:tc>
          <w:tcPr>
            <w:tcW w:w="1417" w:type="dxa"/>
            <w:tcBorders>
              <w:top w:val="nil"/>
              <w:left w:val="nil"/>
              <w:bottom w:val="single" w:sz="4" w:space="0" w:color="000000" w:themeColor="text1"/>
              <w:right w:val="single" w:sz="4" w:space="0" w:color="000000" w:themeColor="text1"/>
            </w:tcBorders>
            <w:shd w:val="clear" w:color="auto" w:fill="C6EFCE"/>
            <w:noWrap/>
          </w:tcPr>
          <w:p w14:paraId="64DDCBFD"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Разпространение на усъвършенствани етични насоки за поведението на магистратите и обобщение на добрите и лошите практики относно спазването на етичните правила; организирани обучения с антикорупционна насоченост;</w:t>
            </w:r>
          </w:p>
          <w:p w14:paraId="2BE79BDA"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въведени образци и процедури за редовно докладване и публикуване на резултатите от приключилите дела </w:t>
            </w:r>
          </w:p>
        </w:tc>
        <w:tc>
          <w:tcPr>
            <w:tcW w:w="993" w:type="dxa"/>
            <w:tcBorders>
              <w:top w:val="nil"/>
              <w:left w:val="nil"/>
              <w:bottom w:val="single" w:sz="4" w:space="0" w:color="000000" w:themeColor="text1"/>
              <w:right w:val="single" w:sz="4" w:space="0" w:color="000000" w:themeColor="text1"/>
            </w:tcBorders>
            <w:shd w:val="clear" w:color="auto" w:fill="C6EFCE"/>
            <w:noWrap/>
          </w:tcPr>
          <w:p w14:paraId="6F52C618"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1134" w:type="dxa"/>
            <w:tcBorders>
              <w:top w:val="nil"/>
              <w:left w:val="nil"/>
              <w:bottom w:val="single" w:sz="4" w:space="0" w:color="000000" w:themeColor="text1"/>
              <w:right w:val="single" w:sz="4" w:space="0" w:color="000000" w:themeColor="text1"/>
            </w:tcBorders>
            <w:shd w:val="clear" w:color="auto" w:fill="C6EFCE"/>
            <w:noWrap/>
          </w:tcPr>
          <w:p w14:paraId="558686FF"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1134" w:type="dxa"/>
            <w:tcBorders>
              <w:top w:val="nil"/>
              <w:left w:val="nil"/>
              <w:bottom w:val="single" w:sz="4" w:space="0" w:color="000000" w:themeColor="text1"/>
              <w:right w:val="single" w:sz="4" w:space="0" w:color="000000" w:themeColor="text1"/>
            </w:tcBorders>
            <w:shd w:val="clear" w:color="auto" w:fill="C6EFCE"/>
            <w:noWrap/>
          </w:tcPr>
          <w:p w14:paraId="24F5BD47"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850" w:type="dxa"/>
            <w:tcBorders>
              <w:top w:val="nil"/>
              <w:left w:val="nil"/>
              <w:bottom w:val="single" w:sz="4" w:space="0" w:color="000000" w:themeColor="text1"/>
              <w:right w:val="single" w:sz="4" w:space="0" w:color="000000" w:themeColor="text1"/>
            </w:tcBorders>
            <w:shd w:val="clear" w:color="auto" w:fill="C6EFCE"/>
            <w:noWrap/>
          </w:tcPr>
          <w:p w14:paraId="026B2211"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T4</w:t>
            </w:r>
          </w:p>
        </w:tc>
        <w:tc>
          <w:tcPr>
            <w:tcW w:w="744" w:type="dxa"/>
            <w:tcBorders>
              <w:top w:val="nil"/>
              <w:left w:val="nil"/>
              <w:bottom w:val="single" w:sz="4" w:space="0" w:color="000000" w:themeColor="text1"/>
              <w:right w:val="single" w:sz="4" w:space="0" w:color="000000" w:themeColor="text1"/>
            </w:tcBorders>
            <w:shd w:val="clear" w:color="auto" w:fill="C6EFCE"/>
            <w:noWrap/>
          </w:tcPr>
          <w:p w14:paraId="63068E69"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2022</w:t>
            </w:r>
          </w:p>
        </w:tc>
        <w:tc>
          <w:tcPr>
            <w:tcW w:w="4359" w:type="dxa"/>
            <w:tcBorders>
              <w:top w:val="nil"/>
              <w:left w:val="nil"/>
              <w:bottom w:val="single" w:sz="4" w:space="0" w:color="000000" w:themeColor="text1"/>
              <w:right w:val="single" w:sz="4" w:space="0" w:color="000000" w:themeColor="text1"/>
            </w:tcBorders>
            <w:shd w:val="clear" w:color="auto" w:fill="C6EFCE"/>
          </w:tcPr>
          <w:p w14:paraId="0D9240BF"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Инспекторатът към Висшия съдебен съвет:</w:t>
            </w:r>
          </w:p>
          <w:p w14:paraId="3ECA8766" w14:textId="77777777" w:rsidR="00A17CA8" w:rsidRPr="0051384F" w:rsidRDefault="00A17CA8" w:rsidP="00576E40">
            <w:pPr>
              <w:pStyle w:val="ListParagraph"/>
              <w:numPr>
                <w:ilvl w:val="0"/>
                <w:numId w:val="75"/>
              </w:numPr>
              <w:spacing w:after="0" w:line="240" w:lineRule="auto"/>
              <w:ind w:left="318"/>
              <w:rPr>
                <w:rFonts w:ascii="Times New Roman" w:eastAsia="Times New Roman" w:hAnsi="Times New Roman" w:cs="Times New Roman"/>
                <w:noProof/>
                <w:color w:val="006100"/>
                <w:sz w:val="20"/>
                <w:szCs w:val="20"/>
              </w:rPr>
            </w:pPr>
            <w:r>
              <w:rPr>
                <w:rFonts w:ascii="Times New Roman" w:hAnsi="Times New Roman"/>
                <w:noProof/>
                <w:color w:val="006100"/>
                <w:sz w:val="20"/>
              </w:rPr>
              <w:t>преразглежда етичните насоки за поведение на магистратите в сътрудничество с Висшия съдебен съвет и обобщава добрите и лошите практики по отношение на спазването на етичните правила в съответствие със съответните европейски и международни стандарти;</w:t>
            </w:r>
          </w:p>
          <w:p w14:paraId="7AB92DBE" w14:textId="77777777" w:rsidR="00A17CA8" w:rsidRPr="0051384F" w:rsidRDefault="00A17CA8" w:rsidP="00576E40">
            <w:pPr>
              <w:pStyle w:val="ListParagraph"/>
              <w:numPr>
                <w:ilvl w:val="0"/>
                <w:numId w:val="75"/>
              </w:numPr>
              <w:spacing w:after="0" w:line="240" w:lineRule="auto"/>
              <w:ind w:left="318"/>
              <w:rPr>
                <w:rFonts w:ascii="Times New Roman" w:eastAsia="Times New Roman" w:hAnsi="Times New Roman" w:cs="Times New Roman"/>
                <w:noProof/>
                <w:color w:val="006100"/>
                <w:sz w:val="20"/>
                <w:szCs w:val="20"/>
              </w:rPr>
            </w:pPr>
            <w:r>
              <w:rPr>
                <w:rFonts w:ascii="Times New Roman" w:hAnsi="Times New Roman"/>
                <w:noProof/>
                <w:color w:val="006100"/>
                <w:sz w:val="20"/>
              </w:rPr>
              <w:t>организира и провежда обучения с антикорупционна насоченост, както и обучения относно почтеността и конфликтите на интереси;</w:t>
            </w:r>
          </w:p>
          <w:p w14:paraId="2D1CBC20" w14:textId="77777777" w:rsidR="00A17CA8" w:rsidRPr="0051384F" w:rsidRDefault="00A17CA8" w:rsidP="00576E40">
            <w:pPr>
              <w:pStyle w:val="ListParagraph"/>
              <w:numPr>
                <w:ilvl w:val="0"/>
                <w:numId w:val="75"/>
              </w:numPr>
              <w:spacing w:after="0" w:line="240" w:lineRule="auto"/>
              <w:ind w:left="318"/>
              <w:rPr>
                <w:rFonts w:ascii="Times New Roman" w:eastAsia="Times New Roman" w:hAnsi="Times New Roman" w:cs="Times New Roman"/>
                <w:noProof/>
                <w:color w:val="006100"/>
                <w:sz w:val="20"/>
                <w:szCs w:val="20"/>
              </w:rPr>
            </w:pPr>
            <w:r>
              <w:rPr>
                <w:rFonts w:ascii="Times New Roman" w:hAnsi="Times New Roman"/>
                <w:noProof/>
                <w:color w:val="006100"/>
                <w:sz w:val="20"/>
              </w:rPr>
              <w:t>въвежда образец за докладване по приключването на делата в рамките на законово определените срокове; както и</w:t>
            </w:r>
          </w:p>
          <w:p w14:paraId="4269D2E5" w14:textId="77777777" w:rsidR="00A17CA8" w:rsidRPr="0051384F" w:rsidRDefault="00A17CA8" w:rsidP="00576E40">
            <w:pPr>
              <w:pStyle w:val="ListParagraph"/>
              <w:numPr>
                <w:ilvl w:val="0"/>
                <w:numId w:val="75"/>
              </w:numPr>
              <w:spacing w:after="0" w:line="240" w:lineRule="auto"/>
              <w:ind w:left="318"/>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 въвежда образци и процедури за редовно докладване и публикуване на резултатите от приключилите дела. </w:t>
            </w:r>
          </w:p>
          <w:p w14:paraId="70CC68AA" w14:textId="77777777" w:rsidR="00A17CA8" w:rsidRPr="0051384F" w:rsidRDefault="00A17CA8" w:rsidP="00576E40">
            <w:pPr>
              <w:spacing w:after="0" w:line="240" w:lineRule="auto"/>
              <w:ind w:left="-42"/>
              <w:rPr>
                <w:rFonts w:ascii="Times New Roman" w:eastAsia="Times New Roman" w:hAnsi="Times New Roman" w:cs="Times New Roman"/>
                <w:noProof/>
                <w:color w:val="006100"/>
                <w:sz w:val="20"/>
                <w:szCs w:val="20"/>
              </w:rPr>
            </w:pPr>
            <w:r>
              <w:rPr>
                <w:rFonts w:ascii="Times New Roman" w:hAnsi="Times New Roman"/>
                <w:noProof/>
                <w:color w:val="006100"/>
                <w:sz w:val="20"/>
              </w:rPr>
              <w:t>Предложените мерки не водят до увеличаване на дисциплинарните правомощия на Инспектората и преди да бъдат приложени са обект на консултации с Венецианската комисия на Съвета на Европа.</w:t>
            </w:r>
          </w:p>
        </w:tc>
      </w:tr>
      <w:tr w:rsidR="007F2B35" w:rsidRPr="005241FC" w14:paraId="3E2904D7" w14:textId="77777777" w:rsidTr="00A80AF7">
        <w:trPr>
          <w:trHeight w:val="1755"/>
          <w:jc w:val="right"/>
        </w:trPr>
        <w:tc>
          <w:tcPr>
            <w:tcW w:w="710" w:type="dxa"/>
            <w:tcBorders>
              <w:top w:val="nil"/>
              <w:left w:val="single" w:sz="4" w:space="0" w:color="000000" w:themeColor="text1"/>
              <w:bottom w:val="single" w:sz="4" w:space="0" w:color="000000" w:themeColor="text1"/>
              <w:right w:val="single" w:sz="4" w:space="0" w:color="000000" w:themeColor="text1"/>
            </w:tcBorders>
            <w:shd w:val="clear" w:color="auto" w:fill="C6EFCE"/>
            <w:noWrap/>
          </w:tcPr>
          <w:p w14:paraId="3E591845" w14:textId="6202E40D" w:rsidR="00A17CA8" w:rsidRPr="0051384F" w:rsidRDefault="002B7436"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220</w:t>
            </w:r>
          </w:p>
        </w:tc>
        <w:tc>
          <w:tcPr>
            <w:tcW w:w="1286" w:type="dxa"/>
            <w:tcBorders>
              <w:top w:val="nil"/>
              <w:left w:val="nil"/>
              <w:bottom w:val="single" w:sz="4" w:space="0" w:color="000000" w:themeColor="text1"/>
              <w:right w:val="single" w:sz="4" w:space="0" w:color="000000" w:themeColor="text1"/>
            </w:tcBorders>
            <w:shd w:val="clear" w:color="auto" w:fill="C6EFCE"/>
            <w:noWrap/>
          </w:tcPr>
          <w:p w14:paraId="7B04F33E" w14:textId="20C1A480" w:rsidR="00A17CA8" w:rsidRPr="0051384F" w:rsidRDefault="00C8071B"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К10.Р2: Противодействие на корупцията</w:t>
            </w:r>
          </w:p>
        </w:tc>
        <w:tc>
          <w:tcPr>
            <w:tcW w:w="1085" w:type="dxa"/>
            <w:tcBorders>
              <w:top w:val="nil"/>
              <w:left w:val="nil"/>
              <w:bottom w:val="single" w:sz="4" w:space="0" w:color="000000" w:themeColor="text1"/>
              <w:right w:val="single" w:sz="4" w:space="0" w:color="000000" w:themeColor="text1"/>
            </w:tcBorders>
            <w:shd w:val="clear" w:color="auto" w:fill="C6EFCE"/>
            <w:noWrap/>
          </w:tcPr>
          <w:p w14:paraId="07F48C1C"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734" w:type="dxa"/>
            <w:tcBorders>
              <w:top w:val="nil"/>
              <w:left w:val="nil"/>
              <w:bottom w:val="single" w:sz="4" w:space="0" w:color="000000" w:themeColor="text1"/>
              <w:right w:val="single" w:sz="4" w:space="0" w:color="000000" w:themeColor="text1"/>
            </w:tcBorders>
            <w:shd w:val="clear" w:color="auto" w:fill="C6EFCE"/>
            <w:noWrap/>
          </w:tcPr>
          <w:p w14:paraId="4BAFC7F1" w14:textId="1322B8DD"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Създаване и започване на дейността на орган за борба с корупцията</w:t>
            </w:r>
          </w:p>
        </w:tc>
        <w:tc>
          <w:tcPr>
            <w:tcW w:w="1417" w:type="dxa"/>
            <w:tcBorders>
              <w:top w:val="nil"/>
              <w:left w:val="nil"/>
              <w:bottom w:val="single" w:sz="4" w:space="0" w:color="000000" w:themeColor="text1"/>
              <w:right w:val="single" w:sz="4" w:space="0" w:color="000000" w:themeColor="text1"/>
            </w:tcBorders>
            <w:shd w:val="clear" w:color="auto" w:fill="C6EFCE"/>
            <w:noWrap/>
          </w:tcPr>
          <w:p w14:paraId="3196441D"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Напълно функциониращ орган за борба с корупцията </w:t>
            </w:r>
          </w:p>
        </w:tc>
        <w:tc>
          <w:tcPr>
            <w:tcW w:w="993" w:type="dxa"/>
            <w:tcBorders>
              <w:top w:val="nil"/>
              <w:left w:val="nil"/>
              <w:bottom w:val="single" w:sz="4" w:space="0" w:color="000000" w:themeColor="text1"/>
              <w:right w:val="single" w:sz="4" w:space="0" w:color="000000" w:themeColor="text1"/>
            </w:tcBorders>
            <w:shd w:val="clear" w:color="auto" w:fill="C6EFCE"/>
            <w:noWrap/>
          </w:tcPr>
          <w:p w14:paraId="6CBFE506"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1134" w:type="dxa"/>
            <w:tcBorders>
              <w:top w:val="nil"/>
              <w:left w:val="nil"/>
              <w:bottom w:val="single" w:sz="4" w:space="0" w:color="000000" w:themeColor="text1"/>
              <w:right w:val="single" w:sz="4" w:space="0" w:color="000000" w:themeColor="text1"/>
            </w:tcBorders>
            <w:shd w:val="clear" w:color="auto" w:fill="C6EFCE"/>
            <w:noWrap/>
          </w:tcPr>
          <w:p w14:paraId="18C204E1"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1134" w:type="dxa"/>
            <w:tcBorders>
              <w:top w:val="nil"/>
              <w:left w:val="nil"/>
              <w:bottom w:val="single" w:sz="4" w:space="0" w:color="000000" w:themeColor="text1"/>
              <w:right w:val="single" w:sz="4" w:space="0" w:color="000000" w:themeColor="text1"/>
            </w:tcBorders>
            <w:shd w:val="clear" w:color="auto" w:fill="C6EFCE"/>
            <w:noWrap/>
          </w:tcPr>
          <w:p w14:paraId="6641DC37"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850" w:type="dxa"/>
            <w:tcBorders>
              <w:top w:val="nil"/>
              <w:left w:val="nil"/>
              <w:bottom w:val="single" w:sz="4" w:space="0" w:color="000000" w:themeColor="text1"/>
              <w:right w:val="single" w:sz="4" w:space="0" w:color="000000" w:themeColor="text1"/>
            </w:tcBorders>
            <w:shd w:val="clear" w:color="auto" w:fill="C6EFCE"/>
            <w:noWrap/>
          </w:tcPr>
          <w:p w14:paraId="07AA17D4"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T1</w:t>
            </w:r>
          </w:p>
        </w:tc>
        <w:tc>
          <w:tcPr>
            <w:tcW w:w="744" w:type="dxa"/>
            <w:tcBorders>
              <w:top w:val="nil"/>
              <w:left w:val="nil"/>
              <w:bottom w:val="single" w:sz="4" w:space="0" w:color="000000" w:themeColor="text1"/>
              <w:right w:val="single" w:sz="4" w:space="0" w:color="000000" w:themeColor="text1"/>
            </w:tcBorders>
            <w:shd w:val="clear" w:color="auto" w:fill="C6EFCE"/>
            <w:noWrap/>
          </w:tcPr>
          <w:p w14:paraId="2360DE6F"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2023</w:t>
            </w:r>
          </w:p>
        </w:tc>
        <w:tc>
          <w:tcPr>
            <w:tcW w:w="4359" w:type="dxa"/>
            <w:tcBorders>
              <w:top w:val="nil"/>
              <w:left w:val="nil"/>
              <w:bottom w:val="single" w:sz="4" w:space="0" w:color="000000" w:themeColor="text1"/>
              <w:right w:val="single" w:sz="4" w:space="0" w:color="000000" w:themeColor="text1"/>
            </w:tcBorders>
            <w:shd w:val="clear" w:color="auto" w:fill="C6EFCE"/>
          </w:tcPr>
          <w:p w14:paraId="56420790" w14:textId="77777777" w:rsidR="00A17CA8" w:rsidRPr="0051384F" w:rsidRDefault="00A17CA8" w:rsidP="00576E40">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Изпълнение на приетото законодателство за постигане на пълна оперативност на органа за борба с корупцията. Изпълнението обхваща всички необходими елементи, в т.ч. назначаването на ръководството и подбора, разпределението и действителното внедряване на подходящите човешки, финансови и технически ресурси.</w:t>
            </w:r>
          </w:p>
        </w:tc>
      </w:tr>
      <w:tr w:rsidR="007F2B35" w:rsidRPr="005241FC" w14:paraId="341E6AE1" w14:textId="77777777" w:rsidTr="00A80AF7">
        <w:trPr>
          <w:trHeight w:val="1755"/>
          <w:jc w:val="right"/>
        </w:trPr>
        <w:tc>
          <w:tcPr>
            <w:tcW w:w="710" w:type="dxa"/>
            <w:tcBorders>
              <w:top w:val="nil"/>
              <w:left w:val="single" w:sz="4" w:space="0" w:color="000000" w:themeColor="text1"/>
              <w:bottom w:val="single" w:sz="4" w:space="0" w:color="000000" w:themeColor="text1"/>
              <w:right w:val="single" w:sz="4" w:space="0" w:color="000000" w:themeColor="text1"/>
            </w:tcBorders>
            <w:shd w:val="clear" w:color="auto" w:fill="C6EFCE"/>
            <w:noWrap/>
          </w:tcPr>
          <w:p w14:paraId="46AB8AAA" w14:textId="5191AEB5" w:rsidR="00A17CA8" w:rsidRPr="0051384F" w:rsidRDefault="002B7436"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221</w:t>
            </w:r>
          </w:p>
        </w:tc>
        <w:tc>
          <w:tcPr>
            <w:tcW w:w="1286" w:type="dxa"/>
            <w:tcBorders>
              <w:top w:val="nil"/>
              <w:left w:val="nil"/>
              <w:bottom w:val="single" w:sz="4" w:space="0" w:color="000000" w:themeColor="text1"/>
              <w:right w:val="single" w:sz="4" w:space="0" w:color="000000" w:themeColor="text1"/>
            </w:tcBorders>
            <w:shd w:val="clear" w:color="auto" w:fill="C6EFCE"/>
            <w:noWrap/>
          </w:tcPr>
          <w:p w14:paraId="3DF37E70" w14:textId="126C5355" w:rsidR="00A17CA8" w:rsidRPr="0051384F" w:rsidRDefault="00C8071B"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К10.Р2: Противодействие на корупцията</w:t>
            </w:r>
          </w:p>
        </w:tc>
        <w:tc>
          <w:tcPr>
            <w:tcW w:w="1085" w:type="dxa"/>
            <w:tcBorders>
              <w:top w:val="nil"/>
              <w:left w:val="nil"/>
              <w:bottom w:val="single" w:sz="4" w:space="0" w:color="000000" w:themeColor="text1"/>
              <w:right w:val="single" w:sz="4" w:space="0" w:color="000000" w:themeColor="text1"/>
            </w:tcBorders>
            <w:shd w:val="clear" w:color="auto" w:fill="C6EFCE"/>
            <w:noWrap/>
          </w:tcPr>
          <w:p w14:paraId="414670FE"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734" w:type="dxa"/>
            <w:tcBorders>
              <w:top w:val="nil"/>
              <w:left w:val="nil"/>
              <w:bottom w:val="single" w:sz="4" w:space="0" w:color="000000" w:themeColor="text1"/>
              <w:right w:val="single" w:sz="4" w:space="0" w:color="000000" w:themeColor="text1"/>
            </w:tcBorders>
            <w:shd w:val="clear" w:color="auto" w:fill="C6EFCE"/>
            <w:noWrap/>
          </w:tcPr>
          <w:p w14:paraId="4669A61A"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Влизане в сила на законодателни изменения във връзка с електронната платформа и за укрепване на органите и звената за противодействие на корупцията </w:t>
            </w:r>
          </w:p>
        </w:tc>
        <w:tc>
          <w:tcPr>
            <w:tcW w:w="1417" w:type="dxa"/>
            <w:tcBorders>
              <w:top w:val="nil"/>
              <w:left w:val="nil"/>
              <w:bottom w:val="single" w:sz="4" w:space="0" w:color="000000" w:themeColor="text1"/>
              <w:right w:val="single" w:sz="4" w:space="0" w:color="000000" w:themeColor="text1"/>
            </w:tcBorders>
            <w:shd w:val="clear" w:color="auto" w:fill="C6EFCE"/>
            <w:noWrap/>
          </w:tcPr>
          <w:p w14:paraId="5E160783" w14:textId="41BF47C4"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Пускане в експлоатация на електронната платформа и законова разпоредба, указваща влизането в сила на съответните законодателни изменения </w:t>
            </w:r>
          </w:p>
        </w:tc>
        <w:tc>
          <w:tcPr>
            <w:tcW w:w="993" w:type="dxa"/>
            <w:tcBorders>
              <w:top w:val="nil"/>
              <w:left w:val="nil"/>
              <w:bottom w:val="single" w:sz="4" w:space="0" w:color="000000" w:themeColor="text1"/>
              <w:right w:val="single" w:sz="4" w:space="0" w:color="000000" w:themeColor="text1"/>
            </w:tcBorders>
            <w:shd w:val="clear" w:color="auto" w:fill="C6EFCE"/>
            <w:noWrap/>
          </w:tcPr>
          <w:p w14:paraId="0E2B2527"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1134" w:type="dxa"/>
            <w:tcBorders>
              <w:top w:val="nil"/>
              <w:left w:val="nil"/>
              <w:bottom w:val="single" w:sz="4" w:space="0" w:color="000000" w:themeColor="text1"/>
              <w:right w:val="single" w:sz="4" w:space="0" w:color="000000" w:themeColor="text1"/>
            </w:tcBorders>
            <w:shd w:val="clear" w:color="auto" w:fill="C6EFCE"/>
            <w:noWrap/>
          </w:tcPr>
          <w:p w14:paraId="283D069C"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1134" w:type="dxa"/>
            <w:tcBorders>
              <w:top w:val="nil"/>
              <w:left w:val="nil"/>
              <w:bottom w:val="single" w:sz="4" w:space="0" w:color="000000" w:themeColor="text1"/>
              <w:right w:val="single" w:sz="4" w:space="0" w:color="000000" w:themeColor="text1"/>
            </w:tcBorders>
            <w:shd w:val="clear" w:color="auto" w:fill="C6EFCE"/>
            <w:noWrap/>
          </w:tcPr>
          <w:p w14:paraId="4833666A"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850" w:type="dxa"/>
            <w:tcBorders>
              <w:top w:val="nil"/>
              <w:left w:val="nil"/>
              <w:bottom w:val="single" w:sz="4" w:space="0" w:color="000000" w:themeColor="text1"/>
              <w:right w:val="single" w:sz="4" w:space="0" w:color="000000" w:themeColor="text1"/>
            </w:tcBorders>
            <w:shd w:val="clear" w:color="auto" w:fill="C6EFCE"/>
            <w:noWrap/>
          </w:tcPr>
          <w:p w14:paraId="76ECBEE1" w14:textId="77777777" w:rsidR="00A17CA8" w:rsidRPr="00230FE4"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T2</w:t>
            </w:r>
          </w:p>
        </w:tc>
        <w:tc>
          <w:tcPr>
            <w:tcW w:w="744" w:type="dxa"/>
            <w:tcBorders>
              <w:top w:val="nil"/>
              <w:left w:val="nil"/>
              <w:bottom w:val="single" w:sz="4" w:space="0" w:color="000000" w:themeColor="text1"/>
              <w:right w:val="single" w:sz="4" w:space="0" w:color="000000" w:themeColor="text1"/>
            </w:tcBorders>
            <w:shd w:val="clear" w:color="auto" w:fill="C6EFCE"/>
            <w:noWrap/>
          </w:tcPr>
          <w:p w14:paraId="7363BDCA"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2023</w:t>
            </w:r>
          </w:p>
        </w:tc>
        <w:tc>
          <w:tcPr>
            <w:tcW w:w="4359" w:type="dxa"/>
            <w:tcBorders>
              <w:top w:val="nil"/>
              <w:left w:val="nil"/>
              <w:bottom w:val="single" w:sz="4" w:space="0" w:color="000000" w:themeColor="text1"/>
              <w:right w:val="single" w:sz="4" w:space="0" w:color="000000" w:themeColor="text1"/>
            </w:tcBorders>
            <w:shd w:val="clear" w:color="auto" w:fill="C6EFCE"/>
          </w:tcPr>
          <w:p w14:paraId="5474D88E" w14:textId="118D45C7" w:rsidR="00A17CA8" w:rsidRPr="0051384F" w:rsidRDefault="00A17CA8" w:rsidP="00576E40">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Електронната платформа събира и обобщава статистическа информация от органите за подбор и назначаване във връзка с проверката на декларациите за имущество и интереси и установяването на конфликти на интереси.</w:t>
            </w:r>
          </w:p>
          <w:p w14:paraId="21A4A843" w14:textId="77777777" w:rsidR="00A17CA8" w:rsidRPr="008A0F8A" w:rsidRDefault="00A17CA8" w:rsidP="00576E40">
            <w:pPr>
              <w:spacing w:after="0" w:line="240" w:lineRule="auto"/>
              <w:jc w:val="both"/>
              <w:rPr>
                <w:rFonts w:ascii="Times New Roman" w:eastAsia="Times New Roman" w:hAnsi="Times New Roman" w:cs="Times New Roman"/>
                <w:noProof/>
                <w:color w:val="006100"/>
                <w:sz w:val="20"/>
                <w:szCs w:val="20"/>
                <w:lang w:val="ru-RU" w:eastAsia="en-GB"/>
              </w:rPr>
            </w:pPr>
          </w:p>
          <w:p w14:paraId="44D7E2AA" w14:textId="77777777" w:rsidR="00A17CA8" w:rsidRPr="0051384F" w:rsidRDefault="00A17CA8" w:rsidP="00576E40">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С измененията на законодателството се въвежда задължение за органите за подбор и назначаване да подават информация към електронната платформа за проверката на декларациите за имущество и интереси на лицата по параграф 2 от Допълнителните разпоредби на Закона за противодействие на корупцията и отнемане на незаконно придобито имущество.</w:t>
            </w:r>
          </w:p>
          <w:p w14:paraId="291F62CF" w14:textId="77777777" w:rsidR="00A17CA8" w:rsidRPr="0051384F" w:rsidRDefault="00A17CA8" w:rsidP="00576E40">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br/>
              <w:t>Преди изпълнението на предложените мерки се извършват консултации по тях с Групата държави срещу корупцията към Съвета на Европа (GRECO).</w:t>
            </w:r>
          </w:p>
        </w:tc>
      </w:tr>
      <w:tr w:rsidR="007F2B35" w:rsidRPr="005241FC" w14:paraId="2204D614" w14:textId="77777777" w:rsidTr="00A80AF7">
        <w:trPr>
          <w:trHeight w:val="1755"/>
          <w:jc w:val="right"/>
        </w:trPr>
        <w:tc>
          <w:tcPr>
            <w:tcW w:w="710" w:type="dxa"/>
            <w:tcBorders>
              <w:top w:val="nil"/>
              <w:left w:val="single" w:sz="4" w:space="0" w:color="000000" w:themeColor="text1"/>
              <w:bottom w:val="single" w:sz="4" w:space="0" w:color="000000" w:themeColor="text1"/>
              <w:right w:val="single" w:sz="4" w:space="0" w:color="000000" w:themeColor="text1"/>
            </w:tcBorders>
            <w:shd w:val="clear" w:color="auto" w:fill="C6EFCE"/>
            <w:noWrap/>
          </w:tcPr>
          <w:p w14:paraId="0DF6FEC0" w14:textId="3529C68D" w:rsidR="00A17CA8" w:rsidRPr="0051384F" w:rsidRDefault="002B7436"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222</w:t>
            </w:r>
          </w:p>
        </w:tc>
        <w:tc>
          <w:tcPr>
            <w:tcW w:w="1286" w:type="dxa"/>
            <w:tcBorders>
              <w:top w:val="nil"/>
              <w:left w:val="nil"/>
              <w:bottom w:val="single" w:sz="4" w:space="0" w:color="000000" w:themeColor="text1"/>
              <w:right w:val="single" w:sz="4" w:space="0" w:color="000000" w:themeColor="text1"/>
            </w:tcBorders>
            <w:shd w:val="clear" w:color="auto" w:fill="C6EFCE"/>
            <w:noWrap/>
          </w:tcPr>
          <w:p w14:paraId="5797CA64" w14:textId="432A7743" w:rsidR="00A17CA8" w:rsidRPr="0051384F" w:rsidRDefault="00C8071B"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К10.Р2: Противодействие на корупцията</w:t>
            </w:r>
          </w:p>
        </w:tc>
        <w:tc>
          <w:tcPr>
            <w:tcW w:w="1085" w:type="dxa"/>
            <w:tcBorders>
              <w:top w:val="nil"/>
              <w:left w:val="nil"/>
              <w:bottom w:val="single" w:sz="4" w:space="0" w:color="000000" w:themeColor="text1"/>
              <w:right w:val="single" w:sz="4" w:space="0" w:color="000000" w:themeColor="text1"/>
            </w:tcBorders>
            <w:shd w:val="clear" w:color="auto" w:fill="C6EFCE"/>
            <w:noWrap/>
          </w:tcPr>
          <w:p w14:paraId="753C3278"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734" w:type="dxa"/>
            <w:tcBorders>
              <w:top w:val="nil"/>
              <w:left w:val="nil"/>
              <w:bottom w:val="single" w:sz="4" w:space="0" w:color="000000" w:themeColor="text1"/>
              <w:right w:val="single" w:sz="4" w:space="0" w:color="000000" w:themeColor="text1"/>
            </w:tcBorders>
            <w:shd w:val="clear" w:color="auto" w:fill="C6EFCE"/>
            <w:noWrap/>
          </w:tcPr>
          <w:p w14:paraId="21692520" w14:textId="6230FD99"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Влизане в сила на законодателните изменения за гарантиране на ефективността на наказателното производство и </w:t>
            </w:r>
            <w:r>
              <w:rPr>
                <w:rFonts w:ascii="Times New Roman" w:hAnsi="Times New Roman"/>
                <w:noProof/>
                <w:color w:val="006100"/>
                <w:sz w:val="20"/>
              </w:rPr>
              <w:br/>
              <w:t>подобряване на отчетността и наказателната отговорност на главния прокурор</w:t>
            </w:r>
          </w:p>
        </w:tc>
        <w:tc>
          <w:tcPr>
            <w:tcW w:w="1417" w:type="dxa"/>
            <w:tcBorders>
              <w:top w:val="nil"/>
              <w:left w:val="nil"/>
              <w:bottom w:val="single" w:sz="4" w:space="0" w:color="000000" w:themeColor="text1"/>
              <w:right w:val="single" w:sz="4" w:space="0" w:color="000000" w:themeColor="text1"/>
            </w:tcBorders>
            <w:shd w:val="clear" w:color="auto" w:fill="C6EFCE"/>
            <w:noWrap/>
          </w:tcPr>
          <w:p w14:paraId="59C1F618"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Законови разпоредби, указващи влизането в сила на законодателните изменения</w:t>
            </w:r>
          </w:p>
        </w:tc>
        <w:tc>
          <w:tcPr>
            <w:tcW w:w="993" w:type="dxa"/>
            <w:tcBorders>
              <w:top w:val="nil"/>
              <w:left w:val="nil"/>
              <w:bottom w:val="single" w:sz="4" w:space="0" w:color="000000" w:themeColor="text1"/>
              <w:right w:val="single" w:sz="4" w:space="0" w:color="000000" w:themeColor="text1"/>
            </w:tcBorders>
            <w:shd w:val="clear" w:color="auto" w:fill="C6EFCE"/>
            <w:noWrap/>
          </w:tcPr>
          <w:p w14:paraId="010ADCC6"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1134" w:type="dxa"/>
            <w:tcBorders>
              <w:top w:val="nil"/>
              <w:left w:val="nil"/>
              <w:bottom w:val="single" w:sz="4" w:space="0" w:color="000000" w:themeColor="text1"/>
              <w:right w:val="single" w:sz="4" w:space="0" w:color="000000" w:themeColor="text1"/>
            </w:tcBorders>
            <w:shd w:val="clear" w:color="auto" w:fill="C6EFCE"/>
            <w:noWrap/>
          </w:tcPr>
          <w:p w14:paraId="18C45A8B"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1134" w:type="dxa"/>
            <w:tcBorders>
              <w:top w:val="nil"/>
              <w:left w:val="nil"/>
              <w:bottom w:val="single" w:sz="4" w:space="0" w:color="000000" w:themeColor="text1"/>
              <w:right w:val="single" w:sz="4" w:space="0" w:color="000000" w:themeColor="text1"/>
            </w:tcBorders>
            <w:shd w:val="clear" w:color="auto" w:fill="C6EFCE"/>
            <w:noWrap/>
          </w:tcPr>
          <w:p w14:paraId="3FD24C55"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850" w:type="dxa"/>
            <w:tcBorders>
              <w:top w:val="nil"/>
              <w:left w:val="nil"/>
              <w:bottom w:val="single" w:sz="4" w:space="0" w:color="000000" w:themeColor="text1"/>
              <w:right w:val="single" w:sz="4" w:space="0" w:color="000000" w:themeColor="text1"/>
            </w:tcBorders>
            <w:shd w:val="clear" w:color="auto" w:fill="C6EFCE"/>
            <w:noWrap/>
          </w:tcPr>
          <w:p w14:paraId="01C722F3"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T2</w:t>
            </w:r>
          </w:p>
        </w:tc>
        <w:tc>
          <w:tcPr>
            <w:tcW w:w="744" w:type="dxa"/>
            <w:tcBorders>
              <w:top w:val="nil"/>
              <w:left w:val="nil"/>
              <w:bottom w:val="single" w:sz="4" w:space="0" w:color="000000" w:themeColor="text1"/>
              <w:right w:val="single" w:sz="4" w:space="0" w:color="000000" w:themeColor="text1"/>
            </w:tcBorders>
            <w:shd w:val="clear" w:color="auto" w:fill="C6EFCE"/>
            <w:noWrap/>
          </w:tcPr>
          <w:p w14:paraId="4F9479C7"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2023</w:t>
            </w:r>
          </w:p>
        </w:tc>
        <w:tc>
          <w:tcPr>
            <w:tcW w:w="4359" w:type="dxa"/>
            <w:tcBorders>
              <w:top w:val="nil"/>
              <w:left w:val="nil"/>
              <w:bottom w:val="single" w:sz="4" w:space="0" w:color="000000" w:themeColor="text1"/>
              <w:right w:val="single" w:sz="4" w:space="0" w:color="000000" w:themeColor="text1"/>
            </w:tcBorders>
            <w:shd w:val="clear" w:color="auto" w:fill="C6EFCE"/>
            <w:vAlign w:val="bottom"/>
          </w:tcPr>
          <w:p w14:paraId="3F3F1396" w14:textId="77777777" w:rsidR="005110B6" w:rsidRPr="0051384F" w:rsidRDefault="00A17CA8" w:rsidP="00576E40">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1. Мерките за осигуряване на ефективно наказателно производство включват: </w:t>
            </w:r>
            <w:r>
              <w:rPr>
                <w:rFonts w:ascii="Times New Roman" w:hAnsi="Times New Roman"/>
                <w:noProof/>
                <w:color w:val="006100"/>
                <w:sz w:val="20"/>
              </w:rPr>
              <w:br/>
              <w:t>1.1. Въвеждане на съдебен контрол върху постановлението на прокурора за отказ да образува наказателно производство, определяне на обхвата и условията, при които такъв съдебен контрол следва да се осъществява и разпоредби за избягване на прекомерно натоварване на съдиите и прокурорите;</w:t>
            </w:r>
          </w:p>
          <w:p w14:paraId="1EAC9160" w14:textId="6DDF6A68" w:rsidR="005110B6" w:rsidRPr="0051384F" w:rsidRDefault="00A17CA8" w:rsidP="00576E40">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1.2 Мерки за повишаване на ефективността на наказателния процес, включително създаване на възможност за разделяне на делата срещу няколко обвиняеми в съдебната фаза и подобряване на практиките на прокурорите във връзка с повдигането на обвинения;</w:t>
            </w:r>
            <w:r>
              <w:rPr>
                <w:rFonts w:ascii="Times New Roman" w:hAnsi="Times New Roman"/>
                <w:noProof/>
                <w:color w:val="006100"/>
                <w:sz w:val="20"/>
              </w:rPr>
              <w:br/>
              <w:t>1.3 Въвеждане на право на пострадалия (евентуално на подателя на сигнала) да иска ускоряване на наказателното производство и преди повдигане на обвинение;</w:t>
            </w:r>
          </w:p>
          <w:p w14:paraId="0E10954D" w14:textId="6C62A04D" w:rsidR="00A17CA8" w:rsidRPr="0051384F" w:rsidRDefault="00A17CA8" w:rsidP="00576E40">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1.4 Въвеждане на ясни основания и допустими положения за възобновяване на наказателното производство, включително в случаите по член 243, параграф 10 от Наказателно-процесуалния кодекс, по искане на главния прокурор чрез въвеждане на засилен съдебен контрол.</w:t>
            </w:r>
          </w:p>
          <w:p w14:paraId="2D3C5276" w14:textId="0652344A" w:rsidR="00A17CA8" w:rsidRPr="0051384F" w:rsidRDefault="00A17CA8" w:rsidP="00576E40">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2. Мерките за подобряване на отчетността на главния прокурор и неговите заместници включват:</w:t>
            </w:r>
          </w:p>
          <w:p w14:paraId="4806A875" w14:textId="77777777" w:rsidR="005110B6" w:rsidRPr="0051384F" w:rsidRDefault="00A17CA8" w:rsidP="00576E40">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2.1 Въвеждане на процедура за изслушване на главния прокурор по въпросите, повдигнати в доклада относно дейността на прокуратурата по правоприлагане, предотвратяване на престъпленията и прилагане на наказателноправна политика, както и по въпроси, повдигнати по време на публичното обсъждане на доклада, при пълно спазване на член 6, параграф 2 от ЕКПЧ, член 4, параграф 3 от Директива (ЕС) 2016/343, Конституцията на Република България и Наказателно-процесуалния кодекс относно презумпцията за невинност;</w:t>
            </w:r>
          </w:p>
          <w:p w14:paraId="43F7E033" w14:textId="77777777" w:rsidR="005110B6" w:rsidRPr="0051384F" w:rsidRDefault="00A17CA8" w:rsidP="00576E40">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2.2 Въвеждане на годишна отчетност (започваща от 2023 г. с първи доклад за 2022 г.) относно разследванията и осъдителните присъди по дела за корупция, предоставяща ключови показатели, включително броя на образуваните дела за корупция, броя на приключилите дела, подробно описание на основанията за приключване, както на фаза разследване, така и в съдебна фаза, броя на осъдителните и оправдателните присъди, основни показатели при случаите на корупция по високите етажи на властта (т.е. позицията на лицето в йерархията на държавните органи, степента на засегнатия интерес, степента на обществена значимост и отразяването на делото в публичното пространство). Годишният доклад ще включва и анализи на резултатите, особено във връзка със сроковете за провеждане на разследванията, качеството на повдигнатите обвинения и причините за конкретния резултат по делото.</w:t>
            </w:r>
          </w:p>
          <w:p w14:paraId="7E344823" w14:textId="7CD53D0F" w:rsidR="00A17CA8" w:rsidRPr="0051384F" w:rsidRDefault="00A17CA8" w:rsidP="00576E40">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2.3 Ограничаване на правомощията на главния прокурор във връзка с надзора на законосъобразността на дейностите на прокурорите чрез въвеждане на съдебен контрол на прокурорските актове в съответствие с конституционната рамка и съответните препоръки на Венецианската комисия и Комитета на министрите на Съвета на Европа.</w:t>
            </w:r>
            <w:r>
              <w:rPr>
                <w:noProof/>
                <w:sz w:val="20"/>
              </w:rPr>
              <w:br/>
            </w:r>
            <w:r>
              <w:rPr>
                <w:rFonts w:ascii="Times New Roman" w:hAnsi="Times New Roman"/>
                <w:noProof/>
                <w:color w:val="006100"/>
                <w:sz w:val="20"/>
              </w:rPr>
              <w:t>3. Въвеждане на ефективен механизъм за отчетност и наказателна отговорност на главния прокурор и неговите заместници чрез създаване на гаранции за практическа, институционална и йерархическа независимост на разследването срещу тях, включително въвеждането, в рамките на българската конституция, на следните мерки:</w:t>
            </w:r>
          </w:p>
          <w:p w14:paraId="36C06DA9" w14:textId="0888F9F1" w:rsidR="00A17CA8" w:rsidRPr="0051384F" w:rsidRDefault="00A17CA8" w:rsidP="00576E40">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3.1. Регламентация на временно отстраняване от длъжност на главния прокурор и неговите заместници в случай на образувано наказателно производство срещу тях с мнозинство от 13 от общо 25 члена на пленума на Висшия съдебен съвет (ВСС);</w:t>
            </w:r>
          </w:p>
          <w:p w14:paraId="0F3BCB7B" w14:textId="56ABBB25" w:rsidR="00A17CA8" w:rsidRPr="0051384F" w:rsidRDefault="00A17CA8" w:rsidP="00576E40">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3.2 Ограничаване на фактическата власт на главния прокурор във ВСС чрез изключване на представителите на прокуратурата и разследването от квотата на Народното събрание.</w:t>
            </w:r>
          </w:p>
          <w:p w14:paraId="03F9F46B" w14:textId="1A7C1CED" w:rsidR="00A17CA8" w:rsidRPr="0051384F" w:rsidRDefault="00A17CA8" w:rsidP="00576E40">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3.3 Гарантиране на независим подбор и назначаване от ВСС на съдия с изискваната минимална професионална квалификация във Върховния касационен съд и опит в областта на наказателното правосъдие, назначен най-малко на длъжност съдия в районния съд, подбран на случаен принцип. Избраният съдия се назначава на длъжност прокурор във Върховната касационна прокуратура по време на наказателното производство срещу главния прокурор или неговите заместници. След като бъде сезиран от лице или орган, ВСС започва процедура за подбор при наличието на информация за престъпление, извършено от главния прокурор или от неговите заместници. Очаква се процедурата да бъде подобна на прилаганата при разпределянето на делата, като се използва електронна система за разпределяне на случаен принцип. ВСС ще трябва само да обявява резултата, без да може да го променя.</w:t>
            </w:r>
          </w:p>
          <w:p w14:paraId="27227255" w14:textId="19B971F9" w:rsidR="00A17CA8" w:rsidRPr="0051384F" w:rsidRDefault="00A17CA8" w:rsidP="00576E40">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Електронната система подлежи на периодични независими одити. За да се гарантира независимото провеждане на следствените действия, те се извършват от изпълнителните органи под надзора на назначения като прокурор съдия, посочени от ВСС.</w:t>
            </w:r>
          </w:p>
          <w:p w14:paraId="160AC083" w14:textId="5DAB4818" w:rsidR="005110B6" w:rsidRPr="0051384F" w:rsidRDefault="00A17CA8" w:rsidP="00576E40">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3.4. Създаване на гаранции за кариерна стабилност и независимост, която гарантира нормално кариерно развитие на прокурора, който е открил и водил разследване срещу главния прокурор или неговите заместници. Това включва възможността да бъде назначен като съдия със същия ранг след края на процеса в съответствие с решенията на Комитета на министрите на Съвета на Европа и становищата на Венецианската комисия. Като допълнителна гаранция мярката за подобряване на отчетността на главния прокурор и неговите заместници има за цел също така да въведе възможността за предоставяне на имунитет срещу наказателно преследване на това лице по време на мандата на главния прокурор;</w:t>
            </w:r>
          </w:p>
          <w:p w14:paraId="71C556D4" w14:textId="77777777" w:rsidR="005110B6" w:rsidRPr="0051384F" w:rsidRDefault="00A17CA8" w:rsidP="00576E40">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3,5. Ограничаване на контрола на прокуратурата върху прокурорските действия по разследване на главния прокурор или на неговите заместници;</w:t>
            </w:r>
          </w:p>
          <w:p w14:paraId="6F88E8F7" w14:textId="5BC6B973" w:rsidR="00A17CA8" w:rsidRPr="0051384F" w:rsidRDefault="00A17CA8" w:rsidP="00576E40">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3,6. Надзорът за законност и методическото ръководство не се отнасят до прокурорските актове по разследване на главния прокурор или на неговите заместници;</w:t>
            </w:r>
          </w:p>
          <w:p w14:paraId="64605530" w14:textId="77777777" w:rsidR="005110B6" w:rsidRPr="0051384F" w:rsidRDefault="00A17CA8" w:rsidP="00576E40">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3,7. Ефективна защита и гаранции за членовете на разследващия екип от всякакво потенциално неправомерно влияние от страна на главния прокурор, произтичащо от длъжността му в прокуратурата и ВСС, включително дисциплинарни производства, атестации и командироване, за да се гарантира ефективността на механизма.</w:t>
            </w:r>
          </w:p>
          <w:p w14:paraId="725E2D82" w14:textId="7735C1FF" w:rsidR="00A17CA8" w:rsidRPr="0051384F" w:rsidRDefault="00A17CA8" w:rsidP="00576E40">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4. Сътрудничество с дирекция „Права на човека“ на Съвета на Европа при изготвянето на измененията по точка 3. Преди внасянето им в Народното събрание проектоизмененията по точка 3 са обект на консултация с Венецианската комисия на Съвета на Европа.</w:t>
            </w:r>
          </w:p>
        </w:tc>
      </w:tr>
      <w:tr w:rsidR="007F2B35" w:rsidRPr="005241FC" w14:paraId="7140738D" w14:textId="77777777" w:rsidTr="00A80AF7">
        <w:trPr>
          <w:trHeight w:val="1755"/>
          <w:jc w:val="right"/>
        </w:trPr>
        <w:tc>
          <w:tcPr>
            <w:tcW w:w="710" w:type="dxa"/>
            <w:tcBorders>
              <w:top w:val="nil"/>
              <w:left w:val="single" w:sz="4" w:space="0" w:color="000000" w:themeColor="text1"/>
              <w:bottom w:val="single" w:sz="4" w:space="0" w:color="000000" w:themeColor="text1"/>
              <w:right w:val="single" w:sz="4" w:space="0" w:color="000000" w:themeColor="text1"/>
            </w:tcBorders>
            <w:shd w:val="clear" w:color="auto" w:fill="C6EFCE"/>
            <w:noWrap/>
          </w:tcPr>
          <w:p w14:paraId="2E958EDD" w14:textId="1C1DDD59" w:rsidR="00A17CA8" w:rsidRPr="0051384F" w:rsidRDefault="002B7436"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223</w:t>
            </w:r>
          </w:p>
        </w:tc>
        <w:tc>
          <w:tcPr>
            <w:tcW w:w="1286" w:type="dxa"/>
            <w:tcBorders>
              <w:top w:val="nil"/>
              <w:left w:val="nil"/>
              <w:bottom w:val="single" w:sz="4" w:space="0" w:color="000000" w:themeColor="text1"/>
              <w:right w:val="single" w:sz="4" w:space="0" w:color="000000" w:themeColor="text1"/>
            </w:tcBorders>
            <w:shd w:val="clear" w:color="auto" w:fill="C6EFCE"/>
            <w:noWrap/>
          </w:tcPr>
          <w:p w14:paraId="3A9686B5" w14:textId="219FA7F8" w:rsidR="00A17CA8" w:rsidRPr="0051384F" w:rsidRDefault="00C8071B"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К10.Р2: Противодействие на корупцията</w:t>
            </w:r>
          </w:p>
        </w:tc>
        <w:tc>
          <w:tcPr>
            <w:tcW w:w="1085" w:type="dxa"/>
            <w:tcBorders>
              <w:top w:val="nil"/>
              <w:left w:val="nil"/>
              <w:bottom w:val="single" w:sz="4" w:space="0" w:color="000000" w:themeColor="text1"/>
              <w:right w:val="single" w:sz="4" w:space="0" w:color="000000" w:themeColor="text1"/>
            </w:tcBorders>
            <w:shd w:val="clear" w:color="auto" w:fill="C6EFCE"/>
            <w:noWrap/>
          </w:tcPr>
          <w:p w14:paraId="3BBAA01A"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734" w:type="dxa"/>
            <w:tcBorders>
              <w:top w:val="nil"/>
              <w:left w:val="nil"/>
              <w:bottom w:val="single" w:sz="4" w:space="0" w:color="000000" w:themeColor="text1"/>
              <w:right w:val="single" w:sz="4" w:space="0" w:color="000000" w:themeColor="text1"/>
            </w:tcBorders>
            <w:shd w:val="clear" w:color="auto" w:fill="C6EFCE"/>
            <w:noWrap/>
          </w:tcPr>
          <w:p w14:paraId="019CD0D4" w14:textId="49B8F660"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Влизане в сила на законодателни мерки за уреждане на лобистките дейности</w:t>
            </w:r>
          </w:p>
        </w:tc>
        <w:tc>
          <w:tcPr>
            <w:tcW w:w="1417" w:type="dxa"/>
            <w:tcBorders>
              <w:top w:val="nil"/>
              <w:left w:val="nil"/>
              <w:bottom w:val="single" w:sz="4" w:space="0" w:color="000000" w:themeColor="text1"/>
              <w:right w:val="single" w:sz="4" w:space="0" w:color="000000" w:themeColor="text1"/>
            </w:tcBorders>
            <w:shd w:val="clear" w:color="auto" w:fill="C6EFCE"/>
            <w:noWrap/>
          </w:tcPr>
          <w:p w14:paraId="7803FE26"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Законова разпоредба, указваща влизането в сила на законодателните мерки за уреждане на лобистките дейности</w:t>
            </w:r>
          </w:p>
        </w:tc>
        <w:tc>
          <w:tcPr>
            <w:tcW w:w="993" w:type="dxa"/>
            <w:tcBorders>
              <w:top w:val="nil"/>
              <w:left w:val="nil"/>
              <w:bottom w:val="single" w:sz="4" w:space="0" w:color="000000" w:themeColor="text1"/>
              <w:right w:val="single" w:sz="4" w:space="0" w:color="000000" w:themeColor="text1"/>
            </w:tcBorders>
            <w:shd w:val="clear" w:color="auto" w:fill="C6EFCE"/>
            <w:noWrap/>
          </w:tcPr>
          <w:p w14:paraId="4C39ED4B"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1134" w:type="dxa"/>
            <w:tcBorders>
              <w:top w:val="nil"/>
              <w:left w:val="nil"/>
              <w:bottom w:val="single" w:sz="4" w:space="0" w:color="000000" w:themeColor="text1"/>
              <w:right w:val="single" w:sz="4" w:space="0" w:color="000000" w:themeColor="text1"/>
            </w:tcBorders>
            <w:shd w:val="clear" w:color="auto" w:fill="C6EFCE"/>
            <w:noWrap/>
          </w:tcPr>
          <w:p w14:paraId="6551346E"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1134" w:type="dxa"/>
            <w:tcBorders>
              <w:top w:val="nil"/>
              <w:left w:val="nil"/>
              <w:bottom w:val="single" w:sz="4" w:space="0" w:color="000000" w:themeColor="text1"/>
              <w:right w:val="single" w:sz="4" w:space="0" w:color="000000" w:themeColor="text1"/>
            </w:tcBorders>
            <w:shd w:val="clear" w:color="auto" w:fill="C6EFCE"/>
            <w:noWrap/>
          </w:tcPr>
          <w:p w14:paraId="77554629"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850" w:type="dxa"/>
            <w:tcBorders>
              <w:top w:val="nil"/>
              <w:left w:val="nil"/>
              <w:bottom w:val="single" w:sz="4" w:space="0" w:color="000000" w:themeColor="text1"/>
              <w:right w:val="single" w:sz="4" w:space="0" w:color="000000" w:themeColor="text1"/>
            </w:tcBorders>
            <w:shd w:val="clear" w:color="auto" w:fill="C6EFCE"/>
            <w:noWrap/>
          </w:tcPr>
          <w:p w14:paraId="1D7189CF"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T4</w:t>
            </w:r>
          </w:p>
        </w:tc>
        <w:tc>
          <w:tcPr>
            <w:tcW w:w="744" w:type="dxa"/>
            <w:tcBorders>
              <w:top w:val="nil"/>
              <w:left w:val="nil"/>
              <w:bottom w:val="single" w:sz="4" w:space="0" w:color="000000" w:themeColor="text1"/>
              <w:right w:val="single" w:sz="4" w:space="0" w:color="000000" w:themeColor="text1"/>
            </w:tcBorders>
            <w:shd w:val="clear" w:color="auto" w:fill="C6EFCE"/>
            <w:noWrap/>
          </w:tcPr>
          <w:p w14:paraId="27C087DE"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2023</w:t>
            </w:r>
          </w:p>
        </w:tc>
        <w:tc>
          <w:tcPr>
            <w:tcW w:w="4359" w:type="dxa"/>
            <w:tcBorders>
              <w:top w:val="nil"/>
              <w:left w:val="nil"/>
              <w:bottom w:val="single" w:sz="4" w:space="0" w:color="000000" w:themeColor="text1"/>
              <w:right w:val="single" w:sz="4" w:space="0" w:color="000000" w:themeColor="text1"/>
            </w:tcBorders>
            <w:shd w:val="clear" w:color="auto" w:fill="C6EFCE"/>
          </w:tcPr>
          <w:p w14:paraId="202915EF" w14:textId="18B59C32"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Изготвя се концептуална бележка относно уреждането на лобистките дейности въз основа на добрите практики на други държави членки. </w:t>
            </w:r>
          </w:p>
          <w:p w14:paraId="633B33D6"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Приемат се законодателни мерки за уреждане на лобистките дейности в Република България в контекста на общественото вземане на решения.</w:t>
            </w:r>
          </w:p>
        </w:tc>
      </w:tr>
      <w:tr w:rsidR="007F2B35" w:rsidRPr="005241FC" w14:paraId="5E38BA9D" w14:textId="77777777" w:rsidTr="00A80AF7">
        <w:trPr>
          <w:trHeight w:val="1755"/>
          <w:jc w:val="right"/>
        </w:trPr>
        <w:tc>
          <w:tcPr>
            <w:tcW w:w="710" w:type="dxa"/>
            <w:tcBorders>
              <w:top w:val="nil"/>
              <w:left w:val="single" w:sz="4" w:space="0" w:color="000000" w:themeColor="text1"/>
              <w:bottom w:val="single" w:sz="4" w:space="0" w:color="000000" w:themeColor="text1"/>
              <w:right w:val="single" w:sz="4" w:space="0" w:color="000000" w:themeColor="text1"/>
            </w:tcBorders>
            <w:shd w:val="clear" w:color="auto" w:fill="C6EFCE"/>
            <w:noWrap/>
          </w:tcPr>
          <w:p w14:paraId="509DEE1E" w14:textId="2FF17E38" w:rsidR="00A17CA8" w:rsidRPr="0051384F" w:rsidRDefault="002B7436"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224</w:t>
            </w:r>
          </w:p>
        </w:tc>
        <w:tc>
          <w:tcPr>
            <w:tcW w:w="1286" w:type="dxa"/>
            <w:tcBorders>
              <w:top w:val="nil"/>
              <w:left w:val="nil"/>
              <w:bottom w:val="single" w:sz="4" w:space="0" w:color="000000" w:themeColor="text1"/>
              <w:right w:val="single" w:sz="4" w:space="0" w:color="000000" w:themeColor="text1"/>
            </w:tcBorders>
            <w:shd w:val="clear" w:color="auto" w:fill="C6EFCE"/>
            <w:noWrap/>
          </w:tcPr>
          <w:p w14:paraId="55C4E584" w14:textId="723A9EB4" w:rsidR="00A17CA8" w:rsidRPr="0051384F" w:rsidRDefault="00C8071B"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К10.Р2: Противодействие на корупцията</w:t>
            </w:r>
          </w:p>
        </w:tc>
        <w:tc>
          <w:tcPr>
            <w:tcW w:w="1085" w:type="dxa"/>
            <w:tcBorders>
              <w:top w:val="nil"/>
              <w:left w:val="nil"/>
              <w:bottom w:val="single" w:sz="4" w:space="0" w:color="000000" w:themeColor="text1"/>
              <w:right w:val="single" w:sz="4" w:space="0" w:color="000000" w:themeColor="text1"/>
            </w:tcBorders>
            <w:shd w:val="clear" w:color="auto" w:fill="C6EFCE"/>
            <w:noWrap/>
          </w:tcPr>
          <w:p w14:paraId="7DA5D303"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734" w:type="dxa"/>
            <w:tcBorders>
              <w:top w:val="nil"/>
              <w:left w:val="nil"/>
              <w:bottom w:val="single" w:sz="4" w:space="0" w:color="000000" w:themeColor="text1"/>
              <w:right w:val="single" w:sz="4" w:space="0" w:color="000000" w:themeColor="text1"/>
            </w:tcBorders>
            <w:shd w:val="clear" w:color="auto" w:fill="C6EFCE"/>
            <w:noWrap/>
          </w:tcPr>
          <w:p w14:paraId="5D9D2707"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Въвеждане на </w:t>
            </w:r>
            <w:r>
              <w:rPr>
                <w:rFonts w:ascii="Times New Roman" w:hAnsi="Times New Roman"/>
                <w:noProof/>
                <w:color w:val="006100"/>
                <w:sz w:val="20"/>
              </w:rPr>
              <w:br/>
              <w:t xml:space="preserve">инструменти за </w:t>
            </w:r>
            <w:r>
              <w:rPr>
                <w:rFonts w:ascii="Times New Roman" w:hAnsi="Times New Roman"/>
                <w:noProof/>
                <w:color w:val="006100"/>
                <w:sz w:val="20"/>
              </w:rPr>
              <w:br/>
              <w:t xml:space="preserve">противодействие на </w:t>
            </w:r>
            <w:r>
              <w:rPr>
                <w:rFonts w:ascii="Times New Roman" w:hAnsi="Times New Roman"/>
                <w:noProof/>
                <w:color w:val="006100"/>
                <w:sz w:val="20"/>
              </w:rPr>
              <w:br/>
              <w:t xml:space="preserve">корупцията и </w:t>
            </w:r>
            <w:r>
              <w:rPr>
                <w:rFonts w:ascii="Times New Roman" w:hAnsi="Times New Roman"/>
                <w:noProof/>
                <w:color w:val="006100"/>
                <w:sz w:val="20"/>
              </w:rPr>
              <w:br/>
              <w:t xml:space="preserve">насърчаване на </w:t>
            </w:r>
            <w:r>
              <w:rPr>
                <w:rFonts w:ascii="Times New Roman" w:hAnsi="Times New Roman"/>
                <w:noProof/>
                <w:color w:val="006100"/>
                <w:sz w:val="20"/>
              </w:rPr>
              <w:br/>
              <w:t xml:space="preserve">почтеността в </w:t>
            </w:r>
            <w:r>
              <w:rPr>
                <w:rFonts w:ascii="Times New Roman" w:hAnsi="Times New Roman"/>
                <w:noProof/>
                <w:color w:val="006100"/>
                <w:sz w:val="20"/>
              </w:rPr>
              <w:br/>
              <w:t>дейността на държавните</w:t>
            </w:r>
            <w:r>
              <w:rPr>
                <w:rFonts w:ascii="Times New Roman" w:hAnsi="Times New Roman"/>
                <w:noProof/>
                <w:color w:val="006100"/>
                <w:sz w:val="20"/>
              </w:rPr>
              <w:br/>
              <w:t xml:space="preserve">предприятия </w:t>
            </w:r>
          </w:p>
        </w:tc>
        <w:tc>
          <w:tcPr>
            <w:tcW w:w="1417" w:type="dxa"/>
            <w:tcBorders>
              <w:top w:val="nil"/>
              <w:left w:val="nil"/>
              <w:bottom w:val="single" w:sz="4" w:space="0" w:color="000000" w:themeColor="text1"/>
              <w:right w:val="single" w:sz="4" w:space="0" w:color="000000" w:themeColor="text1"/>
            </w:tcBorders>
            <w:shd w:val="clear" w:color="auto" w:fill="C6EFCE"/>
            <w:noWrap/>
          </w:tcPr>
          <w:p w14:paraId="70EF2B01"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Приет Кодекс за етично поведение, разпространен сред служителите на държавните предприятия; функциониращи системи за управление на риска от корупция; въведени мерки за</w:t>
            </w:r>
            <w:r>
              <w:rPr>
                <w:rFonts w:ascii="Times New Roman" w:hAnsi="Times New Roman"/>
                <w:noProof/>
                <w:color w:val="006100"/>
                <w:sz w:val="20"/>
              </w:rPr>
              <w:br/>
              <w:t xml:space="preserve">повишаване </w:t>
            </w:r>
            <w:r>
              <w:rPr>
                <w:rFonts w:ascii="Times New Roman" w:hAnsi="Times New Roman"/>
                <w:noProof/>
                <w:color w:val="006100"/>
                <w:sz w:val="20"/>
              </w:rPr>
              <w:br/>
              <w:t xml:space="preserve">на прозрачността в </w:t>
            </w:r>
            <w:r>
              <w:rPr>
                <w:rFonts w:ascii="Times New Roman" w:hAnsi="Times New Roman"/>
                <w:noProof/>
                <w:color w:val="006100"/>
                <w:sz w:val="20"/>
              </w:rPr>
              <w:br/>
              <w:t xml:space="preserve">дейността на </w:t>
            </w:r>
            <w:r>
              <w:rPr>
                <w:rFonts w:ascii="Times New Roman" w:hAnsi="Times New Roman"/>
                <w:noProof/>
                <w:color w:val="006100"/>
                <w:sz w:val="20"/>
              </w:rPr>
              <w:br/>
              <w:t>държавните</w:t>
            </w:r>
            <w:r>
              <w:rPr>
                <w:rFonts w:ascii="Times New Roman" w:hAnsi="Times New Roman"/>
                <w:noProof/>
                <w:color w:val="006100"/>
                <w:sz w:val="20"/>
              </w:rPr>
              <w:br/>
              <w:t>предприятия.</w:t>
            </w:r>
          </w:p>
        </w:tc>
        <w:tc>
          <w:tcPr>
            <w:tcW w:w="993" w:type="dxa"/>
            <w:tcBorders>
              <w:top w:val="nil"/>
              <w:left w:val="nil"/>
              <w:bottom w:val="single" w:sz="4" w:space="0" w:color="000000" w:themeColor="text1"/>
              <w:right w:val="single" w:sz="4" w:space="0" w:color="000000" w:themeColor="text1"/>
            </w:tcBorders>
            <w:shd w:val="clear" w:color="auto" w:fill="C6EFCE"/>
            <w:noWrap/>
          </w:tcPr>
          <w:p w14:paraId="2251C20C"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1134" w:type="dxa"/>
            <w:tcBorders>
              <w:top w:val="nil"/>
              <w:left w:val="nil"/>
              <w:bottom w:val="single" w:sz="4" w:space="0" w:color="000000" w:themeColor="text1"/>
              <w:right w:val="single" w:sz="4" w:space="0" w:color="000000" w:themeColor="text1"/>
            </w:tcBorders>
            <w:shd w:val="clear" w:color="auto" w:fill="C6EFCE"/>
            <w:noWrap/>
          </w:tcPr>
          <w:p w14:paraId="358E036D"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1134" w:type="dxa"/>
            <w:tcBorders>
              <w:top w:val="nil"/>
              <w:left w:val="nil"/>
              <w:bottom w:val="single" w:sz="4" w:space="0" w:color="000000" w:themeColor="text1"/>
              <w:right w:val="single" w:sz="4" w:space="0" w:color="000000" w:themeColor="text1"/>
            </w:tcBorders>
            <w:shd w:val="clear" w:color="auto" w:fill="C6EFCE"/>
            <w:noWrap/>
          </w:tcPr>
          <w:p w14:paraId="242647DD"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850" w:type="dxa"/>
            <w:tcBorders>
              <w:top w:val="nil"/>
              <w:left w:val="nil"/>
              <w:bottom w:val="single" w:sz="4" w:space="0" w:color="000000" w:themeColor="text1"/>
              <w:right w:val="single" w:sz="4" w:space="0" w:color="000000" w:themeColor="text1"/>
            </w:tcBorders>
            <w:shd w:val="clear" w:color="auto" w:fill="C6EFCE"/>
            <w:noWrap/>
          </w:tcPr>
          <w:p w14:paraId="6B9FA5E6"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T1</w:t>
            </w:r>
          </w:p>
        </w:tc>
        <w:tc>
          <w:tcPr>
            <w:tcW w:w="744" w:type="dxa"/>
            <w:tcBorders>
              <w:top w:val="nil"/>
              <w:left w:val="nil"/>
              <w:bottom w:val="single" w:sz="4" w:space="0" w:color="000000" w:themeColor="text1"/>
              <w:right w:val="single" w:sz="4" w:space="0" w:color="000000" w:themeColor="text1"/>
            </w:tcBorders>
            <w:shd w:val="clear" w:color="auto" w:fill="C6EFCE"/>
            <w:noWrap/>
          </w:tcPr>
          <w:p w14:paraId="66AC66BB"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2024</w:t>
            </w:r>
          </w:p>
        </w:tc>
        <w:tc>
          <w:tcPr>
            <w:tcW w:w="4359" w:type="dxa"/>
            <w:tcBorders>
              <w:top w:val="nil"/>
              <w:left w:val="nil"/>
              <w:bottom w:val="single" w:sz="4" w:space="0" w:color="000000" w:themeColor="text1"/>
              <w:right w:val="single" w:sz="4" w:space="0" w:color="000000" w:themeColor="text1"/>
            </w:tcBorders>
            <w:shd w:val="clear" w:color="auto" w:fill="C6EFCE"/>
          </w:tcPr>
          <w:p w14:paraId="7EEE0FA3"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Инструментите за противодействие на корупцията и за повишаване на почтеността в дейността на държавните предприятия включват:</w:t>
            </w:r>
          </w:p>
          <w:p w14:paraId="0DDADC26"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1.</w:t>
            </w:r>
            <w:r>
              <w:rPr>
                <w:rFonts w:ascii="Times New Roman" w:hAnsi="Times New Roman"/>
                <w:noProof/>
                <w:sz w:val="20"/>
              </w:rPr>
              <w:t xml:space="preserve"> </w:t>
            </w:r>
            <w:r>
              <w:rPr>
                <w:rFonts w:ascii="Times New Roman" w:hAnsi="Times New Roman"/>
                <w:noProof/>
                <w:color w:val="006100"/>
                <w:sz w:val="20"/>
              </w:rPr>
              <w:t xml:space="preserve">Приемане на Кодекс за етично поведение за лицата, заети в държавните предприятия; Кодексът постановява, че служителите на държавните предприятия изпълняват своите задължения в съответствие със закона, при спазване на политическа неутралност, добросъвестност, честност и безпристрастност, като не позволяват частен интерес да повлияе на изпълнението на техните задължения. </w:t>
            </w:r>
            <w:r>
              <w:rPr>
                <w:rFonts w:ascii="Times New Roman" w:hAnsi="Times New Roman"/>
                <w:noProof/>
                <w:color w:val="006100"/>
                <w:sz w:val="20"/>
              </w:rPr>
              <w:br/>
              <w:t xml:space="preserve">2. Въвеждане на функциониращи системи за управление на корупционния риск като част от общите системи за управление на качеството във всички държавни предприятия. </w:t>
            </w:r>
          </w:p>
          <w:p w14:paraId="203C6211"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По-специално, всяка система обхваща: подбора на висши длъжностни лица в публичните предприятия; механизми за отчетност за мерки за предотвратяване на корупцията и конфликтите на интереси; развитие на капацитета за оценка и контрол на корупционните рисковете и периодични независими финансови одити на годишна основа. </w:t>
            </w:r>
          </w:p>
          <w:p w14:paraId="478AEBDC"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Преди одобрението на предложените мерки се провеждат консултации по тях с Групата държави срещу корупцията (GRECO).</w:t>
            </w:r>
          </w:p>
          <w:p w14:paraId="37872DEA"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3. Въвеждане на мерки за повишаване на прозрачността на държавните предприятия. Мерките са насочени към:</w:t>
            </w:r>
          </w:p>
          <w:p w14:paraId="57F93F6D" w14:textId="530C59EB"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търговска дейност и изпълнение на обществени политики</w:t>
            </w:r>
          </w:p>
          <w:p w14:paraId="10031523" w14:textId="0A35E091"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 ангажираност на заинтересованите страни, в т.ч.: подизпълнители, консултанти, доставчици, дъщерни дружества; </w:t>
            </w:r>
          </w:p>
          <w:p w14:paraId="614E9FB4"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 държавна финансова подкрепа и изразходване на публични средства чрез обществени поръчки от публични предприятия; </w:t>
            </w:r>
          </w:p>
          <w:p w14:paraId="20519AE1"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насърчаване на подаването на сигнали за нередности от страна на служителите;</w:t>
            </w:r>
          </w:p>
          <w:p w14:paraId="183FAF67" w14:textId="6282739F" w:rsidR="00A17CA8" w:rsidRPr="0051384F" w:rsidRDefault="00A17CA8" w:rsidP="00336178">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обучение на длъжностни лица в областта на предотвратяването и противодействието на корупцията и конфликтите на интереси и въвеждане на служител по въпросите на почтеността.</w:t>
            </w:r>
          </w:p>
        </w:tc>
      </w:tr>
      <w:tr w:rsidR="007F2B35" w:rsidRPr="005241FC" w14:paraId="4C697240" w14:textId="77777777" w:rsidTr="00A80AF7">
        <w:trPr>
          <w:trHeight w:val="389"/>
          <w:jc w:val="right"/>
        </w:trPr>
        <w:tc>
          <w:tcPr>
            <w:tcW w:w="710" w:type="dxa"/>
            <w:tcBorders>
              <w:top w:val="nil"/>
              <w:left w:val="single" w:sz="4" w:space="0" w:color="000000" w:themeColor="text1"/>
              <w:bottom w:val="single" w:sz="4" w:space="0" w:color="000000" w:themeColor="text1"/>
              <w:right w:val="single" w:sz="4" w:space="0" w:color="000000" w:themeColor="text1"/>
            </w:tcBorders>
            <w:shd w:val="clear" w:color="auto" w:fill="C6EFCE"/>
            <w:noWrap/>
          </w:tcPr>
          <w:p w14:paraId="415BFBB7" w14:textId="7C71E8A3" w:rsidR="00A17CA8" w:rsidRPr="0051384F" w:rsidRDefault="002B7436"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225</w:t>
            </w:r>
          </w:p>
        </w:tc>
        <w:tc>
          <w:tcPr>
            <w:tcW w:w="1286" w:type="dxa"/>
            <w:tcBorders>
              <w:top w:val="nil"/>
              <w:left w:val="nil"/>
              <w:bottom w:val="single" w:sz="4" w:space="0" w:color="000000" w:themeColor="text1"/>
              <w:right w:val="single" w:sz="4" w:space="0" w:color="000000" w:themeColor="text1"/>
            </w:tcBorders>
            <w:shd w:val="clear" w:color="auto" w:fill="C6EFCE"/>
            <w:noWrap/>
          </w:tcPr>
          <w:p w14:paraId="00D47DCA" w14:textId="1B09308B" w:rsidR="00A17CA8" w:rsidRPr="0051384F" w:rsidRDefault="00C8071B"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К10.Р2: Противодействие на корупцията</w:t>
            </w:r>
          </w:p>
        </w:tc>
        <w:tc>
          <w:tcPr>
            <w:tcW w:w="1085" w:type="dxa"/>
            <w:tcBorders>
              <w:top w:val="nil"/>
              <w:left w:val="nil"/>
              <w:bottom w:val="single" w:sz="4" w:space="0" w:color="000000" w:themeColor="text1"/>
              <w:right w:val="single" w:sz="4" w:space="0" w:color="000000" w:themeColor="text1"/>
            </w:tcBorders>
            <w:shd w:val="clear" w:color="auto" w:fill="C6EFCE"/>
            <w:noWrap/>
          </w:tcPr>
          <w:p w14:paraId="72EA6DD8"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734" w:type="dxa"/>
            <w:tcBorders>
              <w:top w:val="nil"/>
              <w:left w:val="nil"/>
              <w:bottom w:val="single" w:sz="4" w:space="0" w:color="000000" w:themeColor="text1"/>
              <w:right w:val="single" w:sz="4" w:space="0" w:color="000000" w:themeColor="text1"/>
            </w:tcBorders>
            <w:shd w:val="clear" w:color="auto" w:fill="C6EFCE"/>
            <w:noWrap/>
          </w:tcPr>
          <w:p w14:paraId="2684F1E8"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Действащ механизъм за проверка с оглед повишаване на интегритета на държавните служители</w:t>
            </w:r>
          </w:p>
        </w:tc>
        <w:tc>
          <w:tcPr>
            <w:tcW w:w="1417" w:type="dxa"/>
            <w:tcBorders>
              <w:top w:val="nil"/>
              <w:left w:val="nil"/>
              <w:bottom w:val="single" w:sz="4" w:space="0" w:color="000000" w:themeColor="text1"/>
              <w:right w:val="single" w:sz="4" w:space="0" w:color="000000" w:themeColor="text1"/>
            </w:tcBorders>
            <w:shd w:val="clear" w:color="auto" w:fill="C6EFCE"/>
            <w:noWrap/>
          </w:tcPr>
          <w:p w14:paraId="554108A7" w14:textId="57D0AEF2"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Системата за проверка на интегритета на държавните служители е приета и функционира. </w:t>
            </w:r>
          </w:p>
        </w:tc>
        <w:tc>
          <w:tcPr>
            <w:tcW w:w="993" w:type="dxa"/>
            <w:tcBorders>
              <w:top w:val="nil"/>
              <w:left w:val="nil"/>
              <w:bottom w:val="single" w:sz="4" w:space="0" w:color="000000" w:themeColor="text1"/>
              <w:right w:val="single" w:sz="4" w:space="0" w:color="000000" w:themeColor="text1"/>
            </w:tcBorders>
            <w:shd w:val="clear" w:color="auto" w:fill="C6EFCE"/>
            <w:noWrap/>
          </w:tcPr>
          <w:p w14:paraId="3AF5D16D"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1134" w:type="dxa"/>
            <w:tcBorders>
              <w:top w:val="nil"/>
              <w:left w:val="nil"/>
              <w:bottom w:val="single" w:sz="4" w:space="0" w:color="000000" w:themeColor="text1"/>
              <w:right w:val="single" w:sz="4" w:space="0" w:color="000000" w:themeColor="text1"/>
            </w:tcBorders>
            <w:shd w:val="clear" w:color="auto" w:fill="C6EFCE"/>
            <w:noWrap/>
          </w:tcPr>
          <w:p w14:paraId="03700583"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1134" w:type="dxa"/>
            <w:tcBorders>
              <w:top w:val="nil"/>
              <w:left w:val="nil"/>
              <w:bottom w:val="single" w:sz="4" w:space="0" w:color="000000" w:themeColor="text1"/>
              <w:right w:val="single" w:sz="4" w:space="0" w:color="000000" w:themeColor="text1"/>
            </w:tcBorders>
            <w:shd w:val="clear" w:color="auto" w:fill="C6EFCE"/>
            <w:noWrap/>
          </w:tcPr>
          <w:p w14:paraId="7B902DEE"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850" w:type="dxa"/>
            <w:tcBorders>
              <w:top w:val="nil"/>
              <w:left w:val="nil"/>
              <w:bottom w:val="single" w:sz="4" w:space="0" w:color="000000" w:themeColor="text1"/>
              <w:right w:val="single" w:sz="4" w:space="0" w:color="000000" w:themeColor="text1"/>
            </w:tcBorders>
            <w:shd w:val="clear" w:color="auto" w:fill="C6EFCE"/>
            <w:noWrap/>
          </w:tcPr>
          <w:p w14:paraId="653EFE44"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T1</w:t>
            </w:r>
          </w:p>
        </w:tc>
        <w:tc>
          <w:tcPr>
            <w:tcW w:w="744" w:type="dxa"/>
            <w:tcBorders>
              <w:top w:val="nil"/>
              <w:left w:val="nil"/>
              <w:bottom w:val="single" w:sz="4" w:space="0" w:color="000000" w:themeColor="text1"/>
              <w:right w:val="single" w:sz="4" w:space="0" w:color="000000" w:themeColor="text1"/>
            </w:tcBorders>
            <w:shd w:val="clear" w:color="auto" w:fill="C6EFCE"/>
            <w:noWrap/>
          </w:tcPr>
          <w:p w14:paraId="3CAD6BD1"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2025</w:t>
            </w:r>
          </w:p>
        </w:tc>
        <w:tc>
          <w:tcPr>
            <w:tcW w:w="4359" w:type="dxa"/>
            <w:tcBorders>
              <w:top w:val="nil"/>
              <w:left w:val="nil"/>
              <w:bottom w:val="single" w:sz="4" w:space="0" w:color="000000" w:themeColor="text1"/>
              <w:right w:val="single" w:sz="4" w:space="0" w:color="000000" w:themeColor="text1"/>
            </w:tcBorders>
            <w:shd w:val="clear" w:color="auto" w:fill="C6EFCE"/>
          </w:tcPr>
          <w:p w14:paraId="640E0717"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Има приета и действаща ефективна система за проверка и подобряване на интегритета на държавните служители, заемащи длъжности с висок корупционен риск. За да се създаде системата за проверка, се предприемат следните стъпки:</w:t>
            </w:r>
          </w:p>
          <w:p w14:paraId="0932F937" w14:textId="77777777" w:rsidR="00A17CA8" w:rsidRPr="0051384F" w:rsidRDefault="00A17CA8" w:rsidP="00576E40">
            <w:pPr>
              <w:pStyle w:val="ListParagraph"/>
              <w:numPr>
                <w:ilvl w:val="0"/>
                <w:numId w:val="49"/>
              </w:numPr>
              <w:spacing w:after="0" w:line="240" w:lineRule="auto"/>
              <w:ind w:left="318" w:hanging="238"/>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Установяване на длъжностите, за които съществува висок корупционен риск и които биха изисквали проверки на интегритета;</w:t>
            </w:r>
          </w:p>
          <w:p w14:paraId="038F7020" w14:textId="77777777" w:rsidR="00A17CA8" w:rsidRPr="0051384F" w:rsidRDefault="00A17CA8" w:rsidP="00576E40">
            <w:pPr>
              <w:pStyle w:val="ListParagraph"/>
              <w:numPr>
                <w:ilvl w:val="0"/>
                <w:numId w:val="49"/>
              </w:numPr>
              <w:spacing w:after="0" w:line="240" w:lineRule="auto"/>
              <w:ind w:left="318" w:hanging="238"/>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Разработване, утвърждаване и прилагане на тестовете за почтеност и изграждане на институционален капацитет за извършването им;</w:t>
            </w:r>
          </w:p>
          <w:p w14:paraId="30CD377E" w14:textId="7BD44D3B" w:rsidR="00A17CA8" w:rsidRPr="0051384F" w:rsidRDefault="00A17CA8" w:rsidP="00576E40">
            <w:pPr>
              <w:pStyle w:val="ListParagraph"/>
              <w:numPr>
                <w:ilvl w:val="0"/>
                <w:numId w:val="49"/>
              </w:numPr>
              <w:spacing w:after="0" w:line="240" w:lineRule="auto"/>
              <w:ind w:left="318" w:hanging="238"/>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Изготвяне и внедряване на методологии за оценка на риска от корупционно поведение;</w:t>
            </w:r>
          </w:p>
          <w:p w14:paraId="4BD6BBA2" w14:textId="4FE4B2F1" w:rsidR="00A17CA8" w:rsidRPr="0051384F" w:rsidRDefault="00A17CA8" w:rsidP="00576E40">
            <w:pPr>
              <w:pStyle w:val="ListParagraph"/>
              <w:numPr>
                <w:ilvl w:val="0"/>
                <w:numId w:val="49"/>
              </w:numPr>
              <w:spacing w:after="0" w:line="240" w:lineRule="auto"/>
              <w:ind w:left="318" w:hanging="238"/>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Осигуряване на мерки за ротация на служителите, работещи на места, изложени на риск от корупция;</w:t>
            </w:r>
          </w:p>
          <w:p w14:paraId="07E90E0C" w14:textId="33BD2EC2" w:rsidR="00A17CA8" w:rsidRPr="0051384F" w:rsidRDefault="00A17CA8" w:rsidP="00576E40">
            <w:pPr>
              <w:pStyle w:val="ListParagraph"/>
              <w:numPr>
                <w:ilvl w:val="0"/>
                <w:numId w:val="49"/>
              </w:numPr>
              <w:spacing w:after="0" w:line="240" w:lineRule="auto"/>
              <w:ind w:left="318" w:hanging="238"/>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Анализ на съответното законодателство и привеждането му в съответствие с член 61 от Регламент (ЕС, Евратом) 2018/1046 за финансовите правила, приложими за общия бюджет на Съюза, както и с Известието на Комисията за предоставяне на Насоки относно избягването и управлението на конфликти на интереси съгласно Финансовия регламент (ОВ C 121/9.04.2021 г.);</w:t>
            </w:r>
          </w:p>
          <w:p w14:paraId="12CC8DD2" w14:textId="77777777" w:rsidR="00A17CA8" w:rsidRPr="0051384F" w:rsidRDefault="00A17CA8" w:rsidP="00576E40">
            <w:pPr>
              <w:pStyle w:val="ListParagraph"/>
              <w:numPr>
                <w:ilvl w:val="0"/>
                <w:numId w:val="49"/>
              </w:numPr>
              <w:spacing w:after="0" w:line="240" w:lineRule="auto"/>
              <w:ind w:left="318" w:hanging="238"/>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Консултация с Групата държави срещу корупцията (GRECO) относно действията по прилагането на мярката преди тяхното изпълнение.</w:t>
            </w:r>
          </w:p>
        </w:tc>
      </w:tr>
      <w:tr w:rsidR="007F2B35" w:rsidRPr="005241FC" w14:paraId="23D7D656" w14:textId="77777777" w:rsidTr="00A80AF7">
        <w:trPr>
          <w:trHeight w:val="1755"/>
          <w:jc w:val="right"/>
        </w:trPr>
        <w:tc>
          <w:tcPr>
            <w:tcW w:w="710" w:type="dxa"/>
            <w:tcBorders>
              <w:top w:val="nil"/>
              <w:left w:val="single" w:sz="4" w:space="0" w:color="000000" w:themeColor="text1"/>
              <w:bottom w:val="single" w:sz="4" w:space="0" w:color="000000" w:themeColor="text1"/>
              <w:right w:val="single" w:sz="4" w:space="0" w:color="000000" w:themeColor="text1"/>
            </w:tcBorders>
            <w:shd w:val="clear" w:color="auto" w:fill="C6EFCE"/>
            <w:noWrap/>
          </w:tcPr>
          <w:p w14:paraId="0450ED9A" w14:textId="1B87D395" w:rsidR="00A17CA8" w:rsidRPr="0051384F" w:rsidRDefault="002B7436"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226</w:t>
            </w:r>
          </w:p>
        </w:tc>
        <w:tc>
          <w:tcPr>
            <w:tcW w:w="1286" w:type="dxa"/>
            <w:tcBorders>
              <w:top w:val="nil"/>
              <w:left w:val="nil"/>
              <w:bottom w:val="single" w:sz="4" w:space="0" w:color="000000" w:themeColor="text1"/>
              <w:right w:val="single" w:sz="4" w:space="0" w:color="000000" w:themeColor="text1"/>
            </w:tcBorders>
            <w:shd w:val="clear" w:color="auto" w:fill="C6EFCE"/>
            <w:noWrap/>
          </w:tcPr>
          <w:p w14:paraId="2FB7D316" w14:textId="6DB53E9E" w:rsidR="00A17CA8" w:rsidRPr="0051384F" w:rsidRDefault="00C8071B"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К10.Р2: Противодействие на корупцията</w:t>
            </w:r>
          </w:p>
        </w:tc>
        <w:tc>
          <w:tcPr>
            <w:tcW w:w="1085" w:type="dxa"/>
            <w:tcBorders>
              <w:top w:val="nil"/>
              <w:left w:val="nil"/>
              <w:bottom w:val="single" w:sz="4" w:space="0" w:color="000000" w:themeColor="text1"/>
              <w:right w:val="single" w:sz="4" w:space="0" w:color="000000" w:themeColor="text1"/>
            </w:tcBorders>
            <w:shd w:val="clear" w:color="auto" w:fill="C6EFCE"/>
            <w:noWrap/>
          </w:tcPr>
          <w:p w14:paraId="3A29B7ED"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734" w:type="dxa"/>
            <w:tcBorders>
              <w:top w:val="nil"/>
              <w:left w:val="nil"/>
              <w:bottom w:val="single" w:sz="4" w:space="0" w:color="000000" w:themeColor="text1"/>
              <w:right w:val="single" w:sz="4" w:space="0" w:color="000000" w:themeColor="text1"/>
            </w:tcBorders>
            <w:shd w:val="clear" w:color="auto" w:fill="C6EFCE"/>
            <w:noWrap/>
          </w:tcPr>
          <w:p w14:paraId="6D81DD21" w14:textId="5375DC13"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Годишни анализи на изпълнението на националната стратегия за превенция и противодействие на корупцията (2021—2027 г.) и свързаната с нея пътна карта и годишни доклади за напредъка по прилагането на европейския механизъм за върховенството на закона </w:t>
            </w:r>
          </w:p>
        </w:tc>
        <w:tc>
          <w:tcPr>
            <w:tcW w:w="1417" w:type="dxa"/>
            <w:tcBorders>
              <w:top w:val="nil"/>
              <w:left w:val="nil"/>
              <w:bottom w:val="single" w:sz="4" w:space="0" w:color="000000" w:themeColor="text1"/>
              <w:right w:val="single" w:sz="4" w:space="0" w:color="000000" w:themeColor="text1"/>
            </w:tcBorders>
            <w:shd w:val="clear" w:color="auto" w:fill="C6EFCE"/>
            <w:noWrap/>
          </w:tcPr>
          <w:p w14:paraId="2A0D399E" w14:textId="1818EAF3" w:rsidR="00A17CA8" w:rsidRPr="0051384F" w:rsidRDefault="00A17CA8" w:rsidP="006F0EED">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Разпоредба в закона, указваща влизането в сила на измененото Постановление за създаване на Национален съвет по антикорупционни политики; Годишни анализи на изпълнението на националната стратегия за превенция и противодействие на корупцията (2021—2027 г.) и свързаната с нея пътна карта, приети от Националния съвет по антикорупционни политики, и годишни доклади за напредъка по прилагането на европейския механизъм за върховенството на закона</w:t>
            </w:r>
          </w:p>
        </w:tc>
        <w:tc>
          <w:tcPr>
            <w:tcW w:w="993" w:type="dxa"/>
            <w:tcBorders>
              <w:top w:val="nil"/>
              <w:left w:val="nil"/>
              <w:bottom w:val="single" w:sz="4" w:space="0" w:color="000000" w:themeColor="text1"/>
              <w:right w:val="single" w:sz="4" w:space="0" w:color="000000" w:themeColor="text1"/>
            </w:tcBorders>
            <w:shd w:val="clear" w:color="auto" w:fill="C6EFCE"/>
            <w:noWrap/>
          </w:tcPr>
          <w:p w14:paraId="58683B56"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1134" w:type="dxa"/>
            <w:tcBorders>
              <w:top w:val="nil"/>
              <w:left w:val="nil"/>
              <w:bottom w:val="single" w:sz="4" w:space="0" w:color="000000" w:themeColor="text1"/>
              <w:right w:val="single" w:sz="4" w:space="0" w:color="000000" w:themeColor="text1"/>
            </w:tcBorders>
            <w:shd w:val="clear" w:color="auto" w:fill="C6EFCE"/>
            <w:noWrap/>
          </w:tcPr>
          <w:p w14:paraId="31B94363"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1134" w:type="dxa"/>
            <w:tcBorders>
              <w:top w:val="nil"/>
              <w:left w:val="nil"/>
              <w:bottom w:val="single" w:sz="4" w:space="0" w:color="000000" w:themeColor="text1"/>
              <w:right w:val="single" w:sz="4" w:space="0" w:color="000000" w:themeColor="text1"/>
            </w:tcBorders>
            <w:shd w:val="clear" w:color="auto" w:fill="C6EFCE"/>
            <w:noWrap/>
          </w:tcPr>
          <w:p w14:paraId="2B5AEB15"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850" w:type="dxa"/>
            <w:tcBorders>
              <w:top w:val="nil"/>
              <w:left w:val="nil"/>
              <w:bottom w:val="single" w:sz="4" w:space="0" w:color="000000" w:themeColor="text1"/>
              <w:right w:val="single" w:sz="4" w:space="0" w:color="000000" w:themeColor="text1"/>
            </w:tcBorders>
            <w:shd w:val="clear" w:color="auto" w:fill="C6EFCE"/>
            <w:noWrap/>
          </w:tcPr>
          <w:p w14:paraId="59F94E5B"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T1</w:t>
            </w:r>
          </w:p>
        </w:tc>
        <w:tc>
          <w:tcPr>
            <w:tcW w:w="744" w:type="dxa"/>
            <w:tcBorders>
              <w:top w:val="nil"/>
              <w:left w:val="nil"/>
              <w:bottom w:val="single" w:sz="4" w:space="0" w:color="000000" w:themeColor="text1"/>
              <w:right w:val="single" w:sz="4" w:space="0" w:color="000000" w:themeColor="text1"/>
            </w:tcBorders>
            <w:shd w:val="clear" w:color="auto" w:fill="C6EFCE"/>
            <w:noWrap/>
          </w:tcPr>
          <w:p w14:paraId="4C3FEF12"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2026</w:t>
            </w:r>
          </w:p>
        </w:tc>
        <w:tc>
          <w:tcPr>
            <w:tcW w:w="4359" w:type="dxa"/>
            <w:tcBorders>
              <w:top w:val="nil"/>
              <w:left w:val="nil"/>
              <w:bottom w:val="single" w:sz="4" w:space="0" w:color="000000" w:themeColor="text1"/>
              <w:right w:val="single" w:sz="4" w:space="0" w:color="000000" w:themeColor="text1"/>
            </w:tcBorders>
            <w:shd w:val="clear" w:color="auto" w:fill="C6EFCE"/>
          </w:tcPr>
          <w:p w14:paraId="4BC36299" w14:textId="0B7C0D0F" w:rsidR="00A17CA8" w:rsidRPr="0051384F" w:rsidRDefault="00A17CA8" w:rsidP="00576E40">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1. Членовете на Гражданския съвет на Националния съвет по антикорупционни политики приемат ежегодни доклади (считано от 2022 г.) за анализ и оценка на изпълнението на националната стратегия за превенция и противодействие на корупцията (2021—2027 г.) и свързаната с нея пътна карта и, ако е необходимо, правят предложения за включване на нови мерки. За целта ще бъдат предвидени изменения в Постановление № 136 на Министерския съвет от 2015 г. за създаване на Национален съвет по антикорупционни политики. </w:t>
            </w:r>
            <w:r>
              <w:rPr>
                <w:rFonts w:ascii="Times New Roman" w:hAnsi="Times New Roman"/>
                <w:noProof/>
                <w:color w:val="006100"/>
                <w:sz w:val="20"/>
              </w:rPr>
              <w:br/>
              <w:t>2. Годишно докладване за напредъка по прилагането на европейския механизъм за върховенството на закона.</w:t>
            </w:r>
          </w:p>
          <w:p w14:paraId="21AA785A" w14:textId="47543150" w:rsidR="00A17CA8" w:rsidRPr="008A0F8A" w:rsidRDefault="00A17CA8" w:rsidP="00576E40">
            <w:pPr>
              <w:spacing w:after="0" w:line="240" w:lineRule="auto"/>
              <w:jc w:val="both"/>
              <w:rPr>
                <w:rFonts w:ascii="Times New Roman" w:eastAsia="Times New Roman" w:hAnsi="Times New Roman" w:cs="Times New Roman"/>
                <w:noProof/>
                <w:color w:val="006100"/>
                <w:sz w:val="20"/>
                <w:szCs w:val="20"/>
                <w:lang w:val="ru-RU" w:eastAsia="en-GB"/>
              </w:rPr>
            </w:pPr>
          </w:p>
        </w:tc>
      </w:tr>
      <w:tr w:rsidR="007F2B35" w:rsidRPr="005241FC" w14:paraId="0DEC341F" w14:textId="77777777" w:rsidTr="00A80AF7">
        <w:trPr>
          <w:trHeight w:val="323"/>
          <w:jc w:val="right"/>
        </w:trPr>
        <w:tc>
          <w:tcPr>
            <w:tcW w:w="710" w:type="dxa"/>
            <w:tcBorders>
              <w:top w:val="nil"/>
              <w:left w:val="single" w:sz="4" w:space="0" w:color="000000" w:themeColor="text1"/>
              <w:bottom w:val="single" w:sz="4" w:space="0" w:color="000000" w:themeColor="text1"/>
              <w:right w:val="single" w:sz="4" w:space="0" w:color="000000" w:themeColor="text1"/>
            </w:tcBorders>
            <w:shd w:val="clear" w:color="auto" w:fill="C6EFCE"/>
            <w:noWrap/>
          </w:tcPr>
          <w:p w14:paraId="2A465937" w14:textId="5703C66C" w:rsidR="00A17CA8" w:rsidRPr="0051384F" w:rsidRDefault="002B7436"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227</w:t>
            </w:r>
          </w:p>
        </w:tc>
        <w:tc>
          <w:tcPr>
            <w:tcW w:w="1286" w:type="dxa"/>
            <w:tcBorders>
              <w:top w:val="nil"/>
              <w:left w:val="nil"/>
              <w:bottom w:val="single" w:sz="4" w:space="0" w:color="000000" w:themeColor="text1"/>
              <w:right w:val="single" w:sz="4" w:space="0" w:color="000000" w:themeColor="text1"/>
            </w:tcBorders>
            <w:shd w:val="clear" w:color="auto" w:fill="C6EFCE"/>
            <w:noWrap/>
          </w:tcPr>
          <w:p w14:paraId="67D960C1" w14:textId="4214E053" w:rsidR="00A17CA8" w:rsidRPr="0051384F" w:rsidRDefault="00772A3B" w:rsidP="00576E40">
            <w:pPr>
              <w:spacing w:after="0" w:line="240" w:lineRule="auto"/>
              <w:rPr>
                <w:rFonts w:ascii="Times New Roman" w:eastAsia="Times New Roman" w:hAnsi="Times New Roman" w:cs="Times New Roman"/>
                <w:noProof/>
                <w:color w:val="006100"/>
                <w:sz w:val="20"/>
                <w:szCs w:val="20"/>
                <w:highlight w:val="yellow"/>
              </w:rPr>
            </w:pPr>
            <w:r>
              <w:rPr>
                <w:rFonts w:ascii="Times New Roman" w:hAnsi="Times New Roman"/>
                <w:noProof/>
                <w:color w:val="006100"/>
                <w:sz w:val="20"/>
              </w:rPr>
              <w:t>К10.Р3: Въвеждане на задължителна съдебна медиация</w:t>
            </w:r>
          </w:p>
        </w:tc>
        <w:tc>
          <w:tcPr>
            <w:tcW w:w="1085" w:type="dxa"/>
            <w:tcBorders>
              <w:top w:val="nil"/>
              <w:left w:val="nil"/>
              <w:bottom w:val="single" w:sz="4" w:space="0" w:color="000000" w:themeColor="text1"/>
              <w:right w:val="single" w:sz="4" w:space="0" w:color="000000" w:themeColor="text1"/>
            </w:tcBorders>
            <w:shd w:val="clear" w:color="auto" w:fill="C6EFCE"/>
            <w:noWrap/>
          </w:tcPr>
          <w:p w14:paraId="1961BAC9"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734" w:type="dxa"/>
            <w:tcBorders>
              <w:top w:val="nil"/>
              <w:left w:val="nil"/>
              <w:bottom w:val="single" w:sz="4" w:space="0" w:color="000000" w:themeColor="text1"/>
              <w:right w:val="single" w:sz="4" w:space="0" w:color="000000" w:themeColor="text1"/>
            </w:tcBorders>
            <w:shd w:val="clear" w:color="auto" w:fill="C6EFCE"/>
            <w:noWrap/>
          </w:tcPr>
          <w:p w14:paraId="55476F5C"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Влизане в сила на законодателните изменения в съответните правни актове за въвеждането на задължителна съдебна медиация по някои граждански и търговски спорове </w:t>
            </w:r>
          </w:p>
        </w:tc>
        <w:tc>
          <w:tcPr>
            <w:tcW w:w="1417" w:type="dxa"/>
            <w:tcBorders>
              <w:top w:val="nil"/>
              <w:left w:val="nil"/>
              <w:bottom w:val="single" w:sz="4" w:space="0" w:color="000000" w:themeColor="text1"/>
              <w:right w:val="single" w:sz="4" w:space="0" w:color="000000" w:themeColor="text1"/>
            </w:tcBorders>
            <w:shd w:val="clear" w:color="auto" w:fill="C6EFCE"/>
            <w:noWrap/>
          </w:tcPr>
          <w:p w14:paraId="3087FB0F" w14:textId="0040D061" w:rsidR="00A17CA8" w:rsidRPr="0051384F" w:rsidRDefault="00A17CA8" w:rsidP="003F7EDF">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Законови разпоредби, указващи влизането в сила на измененията</w:t>
            </w:r>
          </w:p>
        </w:tc>
        <w:tc>
          <w:tcPr>
            <w:tcW w:w="993" w:type="dxa"/>
            <w:tcBorders>
              <w:top w:val="nil"/>
              <w:left w:val="nil"/>
              <w:bottom w:val="single" w:sz="4" w:space="0" w:color="000000" w:themeColor="text1"/>
              <w:right w:val="single" w:sz="4" w:space="0" w:color="000000" w:themeColor="text1"/>
            </w:tcBorders>
            <w:shd w:val="clear" w:color="auto" w:fill="C6EFCE"/>
            <w:noWrap/>
          </w:tcPr>
          <w:p w14:paraId="6BB731BC"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1134" w:type="dxa"/>
            <w:tcBorders>
              <w:top w:val="nil"/>
              <w:left w:val="nil"/>
              <w:bottom w:val="single" w:sz="4" w:space="0" w:color="000000" w:themeColor="text1"/>
              <w:right w:val="single" w:sz="4" w:space="0" w:color="000000" w:themeColor="text1"/>
            </w:tcBorders>
            <w:shd w:val="clear" w:color="auto" w:fill="C6EFCE"/>
            <w:noWrap/>
          </w:tcPr>
          <w:p w14:paraId="6DFBD77B"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1134" w:type="dxa"/>
            <w:tcBorders>
              <w:top w:val="nil"/>
              <w:left w:val="nil"/>
              <w:bottom w:val="single" w:sz="4" w:space="0" w:color="000000" w:themeColor="text1"/>
              <w:right w:val="single" w:sz="4" w:space="0" w:color="000000" w:themeColor="text1"/>
            </w:tcBorders>
            <w:shd w:val="clear" w:color="auto" w:fill="C6EFCE"/>
            <w:noWrap/>
          </w:tcPr>
          <w:p w14:paraId="71866FF5"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850" w:type="dxa"/>
            <w:tcBorders>
              <w:top w:val="nil"/>
              <w:left w:val="nil"/>
              <w:bottom w:val="single" w:sz="4" w:space="0" w:color="000000" w:themeColor="text1"/>
              <w:right w:val="single" w:sz="4" w:space="0" w:color="000000" w:themeColor="text1"/>
            </w:tcBorders>
            <w:shd w:val="clear" w:color="auto" w:fill="C6EFCE"/>
            <w:noWrap/>
          </w:tcPr>
          <w:p w14:paraId="4D8207F5"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T4</w:t>
            </w:r>
          </w:p>
        </w:tc>
        <w:tc>
          <w:tcPr>
            <w:tcW w:w="744" w:type="dxa"/>
            <w:tcBorders>
              <w:top w:val="nil"/>
              <w:left w:val="nil"/>
              <w:bottom w:val="single" w:sz="4" w:space="0" w:color="000000" w:themeColor="text1"/>
              <w:right w:val="single" w:sz="4" w:space="0" w:color="000000" w:themeColor="text1"/>
            </w:tcBorders>
            <w:shd w:val="clear" w:color="auto" w:fill="C6EFCE"/>
            <w:noWrap/>
          </w:tcPr>
          <w:p w14:paraId="107828E2"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2022</w:t>
            </w:r>
          </w:p>
        </w:tc>
        <w:tc>
          <w:tcPr>
            <w:tcW w:w="4359" w:type="dxa"/>
            <w:tcBorders>
              <w:top w:val="nil"/>
              <w:left w:val="nil"/>
              <w:bottom w:val="single" w:sz="4" w:space="0" w:color="000000" w:themeColor="text1"/>
              <w:right w:val="single" w:sz="4" w:space="0" w:color="000000" w:themeColor="text1"/>
            </w:tcBorders>
            <w:shd w:val="clear" w:color="auto" w:fill="C6EFCE"/>
            <w:noWrap/>
          </w:tcPr>
          <w:p w14:paraId="6CC528A3" w14:textId="77777777" w:rsidR="00A17CA8" w:rsidRPr="0051384F" w:rsidRDefault="00A17CA8" w:rsidP="00576E40">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С измененията се предвижда правно задължение за страните по определени граждански и търговски спорове да участват в съдебна медиация.</w:t>
            </w:r>
          </w:p>
          <w:p w14:paraId="62B4DA71" w14:textId="6E646D48" w:rsidR="00A17CA8" w:rsidRPr="0051384F" w:rsidRDefault="00A17CA8" w:rsidP="00576E40">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Задължителната медиация съответно се урежда с измененията в Гражданския процесуален кодекс и в Закона за медиацията. Измененията предвиждат и изключения от задължителната медиация.</w:t>
            </w:r>
          </w:p>
          <w:p w14:paraId="4F2D0A2D" w14:textId="77777777" w:rsidR="00A17CA8" w:rsidRPr="0051384F" w:rsidRDefault="00A17CA8" w:rsidP="00576E40">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Медиацията се извършва в центровете за медиация към съдилищата и техните териториални отделения. Промените уреждат устройството и дейността на тези центрове и статута на служителите в тях, за да работят те по еднакъв начин, както и процедурата за подбор на медиатори. За тази цел се изменят Законът за съдебната власт, Правилникът за администрацията на съдилищата и Класификаторът на длъжностите в администрацията на съдилищата. Освен това се приемат Наредба за устройството на центровете за медиация към съдилищата и Наредба за подбор и контрол върху дейността на медиаторите в центровете за медиация към съдилищата.</w:t>
            </w:r>
          </w:p>
        </w:tc>
      </w:tr>
      <w:tr w:rsidR="007F2B35" w:rsidRPr="005241FC" w14:paraId="6F29B504" w14:textId="77777777" w:rsidTr="00A80AF7">
        <w:trPr>
          <w:trHeight w:val="323"/>
          <w:jc w:val="right"/>
        </w:trPr>
        <w:tc>
          <w:tcPr>
            <w:tcW w:w="710" w:type="dxa"/>
            <w:tcBorders>
              <w:top w:val="nil"/>
              <w:left w:val="single" w:sz="4" w:space="0" w:color="000000" w:themeColor="text1"/>
              <w:bottom w:val="single" w:sz="4" w:space="0" w:color="000000" w:themeColor="text1"/>
              <w:right w:val="single" w:sz="4" w:space="0" w:color="000000" w:themeColor="text1"/>
            </w:tcBorders>
            <w:shd w:val="clear" w:color="auto" w:fill="C6EFCE"/>
            <w:noWrap/>
            <w:hideMark/>
          </w:tcPr>
          <w:p w14:paraId="39983F96" w14:textId="206A1A05" w:rsidR="00A17CA8" w:rsidRPr="0051384F" w:rsidRDefault="002B7436"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228</w:t>
            </w:r>
          </w:p>
        </w:tc>
        <w:tc>
          <w:tcPr>
            <w:tcW w:w="1286" w:type="dxa"/>
            <w:tcBorders>
              <w:top w:val="nil"/>
              <w:left w:val="nil"/>
              <w:bottom w:val="single" w:sz="4" w:space="0" w:color="000000" w:themeColor="text1"/>
              <w:right w:val="single" w:sz="4" w:space="0" w:color="000000" w:themeColor="text1"/>
            </w:tcBorders>
            <w:shd w:val="clear" w:color="auto" w:fill="C6EFCE"/>
            <w:noWrap/>
            <w:hideMark/>
          </w:tcPr>
          <w:p w14:paraId="20CC2B6B" w14:textId="3963D775" w:rsidR="00A17CA8" w:rsidRPr="0051384F" w:rsidRDefault="00772A3B"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К10.Р4: Укрепване на производствата по несъстоятелност</w:t>
            </w:r>
          </w:p>
        </w:tc>
        <w:tc>
          <w:tcPr>
            <w:tcW w:w="1085" w:type="dxa"/>
            <w:tcBorders>
              <w:top w:val="nil"/>
              <w:left w:val="nil"/>
              <w:bottom w:val="single" w:sz="4" w:space="0" w:color="000000" w:themeColor="text1"/>
              <w:right w:val="single" w:sz="4" w:space="0" w:color="000000" w:themeColor="text1"/>
            </w:tcBorders>
            <w:shd w:val="clear" w:color="auto" w:fill="C6EFCE"/>
            <w:noWrap/>
            <w:hideMark/>
          </w:tcPr>
          <w:p w14:paraId="53AA7E1D"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734" w:type="dxa"/>
            <w:tcBorders>
              <w:top w:val="nil"/>
              <w:left w:val="nil"/>
              <w:bottom w:val="single" w:sz="4" w:space="0" w:color="000000" w:themeColor="text1"/>
              <w:right w:val="single" w:sz="4" w:space="0" w:color="000000" w:themeColor="text1"/>
            </w:tcBorders>
            <w:shd w:val="clear" w:color="auto" w:fill="C6EFCE"/>
            <w:noWrap/>
            <w:hideMark/>
          </w:tcPr>
          <w:p w14:paraId="4EB4FAFF"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Влизане в сила на законодателни изменения на Търговския закон по отношение на производствата по несъстоятелност</w:t>
            </w:r>
          </w:p>
          <w:p w14:paraId="100DE806"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 и преструктуриране</w:t>
            </w:r>
          </w:p>
        </w:tc>
        <w:tc>
          <w:tcPr>
            <w:tcW w:w="1417" w:type="dxa"/>
            <w:tcBorders>
              <w:top w:val="nil"/>
              <w:left w:val="nil"/>
              <w:bottom w:val="single" w:sz="4" w:space="0" w:color="000000" w:themeColor="text1"/>
              <w:right w:val="single" w:sz="4" w:space="0" w:color="000000" w:themeColor="text1"/>
            </w:tcBorders>
            <w:shd w:val="clear" w:color="auto" w:fill="C6EFCE"/>
            <w:noWrap/>
            <w:hideMark/>
          </w:tcPr>
          <w:p w14:paraId="008AEA6D"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Разпоредби в Търговския закон, указващи влизането в сила на измененията</w:t>
            </w:r>
          </w:p>
        </w:tc>
        <w:tc>
          <w:tcPr>
            <w:tcW w:w="993" w:type="dxa"/>
            <w:tcBorders>
              <w:top w:val="nil"/>
              <w:left w:val="nil"/>
              <w:bottom w:val="single" w:sz="4" w:space="0" w:color="000000" w:themeColor="text1"/>
              <w:right w:val="single" w:sz="4" w:space="0" w:color="000000" w:themeColor="text1"/>
            </w:tcBorders>
            <w:shd w:val="clear" w:color="auto" w:fill="C6EFCE"/>
            <w:noWrap/>
          </w:tcPr>
          <w:p w14:paraId="6C500C92"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1134" w:type="dxa"/>
            <w:tcBorders>
              <w:top w:val="nil"/>
              <w:left w:val="nil"/>
              <w:bottom w:val="single" w:sz="4" w:space="0" w:color="000000" w:themeColor="text1"/>
              <w:right w:val="single" w:sz="4" w:space="0" w:color="000000" w:themeColor="text1"/>
            </w:tcBorders>
            <w:shd w:val="clear" w:color="auto" w:fill="C6EFCE"/>
            <w:noWrap/>
          </w:tcPr>
          <w:p w14:paraId="55FF26FD"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1134" w:type="dxa"/>
            <w:tcBorders>
              <w:top w:val="nil"/>
              <w:left w:val="nil"/>
              <w:bottom w:val="single" w:sz="4" w:space="0" w:color="000000" w:themeColor="text1"/>
              <w:right w:val="single" w:sz="4" w:space="0" w:color="000000" w:themeColor="text1"/>
            </w:tcBorders>
            <w:shd w:val="clear" w:color="auto" w:fill="C6EFCE"/>
            <w:noWrap/>
          </w:tcPr>
          <w:p w14:paraId="38879725"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850" w:type="dxa"/>
            <w:tcBorders>
              <w:top w:val="nil"/>
              <w:left w:val="nil"/>
              <w:bottom w:val="single" w:sz="4" w:space="0" w:color="000000" w:themeColor="text1"/>
              <w:right w:val="single" w:sz="4" w:space="0" w:color="000000" w:themeColor="text1"/>
            </w:tcBorders>
            <w:shd w:val="clear" w:color="auto" w:fill="C6EFCE"/>
            <w:noWrap/>
            <w:hideMark/>
          </w:tcPr>
          <w:p w14:paraId="44BE3B1C"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T3</w:t>
            </w:r>
          </w:p>
        </w:tc>
        <w:tc>
          <w:tcPr>
            <w:tcW w:w="744" w:type="dxa"/>
            <w:tcBorders>
              <w:top w:val="nil"/>
              <w:left w:val="nil"/>
              <w:bottom w:val="single" w:sz="4" w:space="0" w:color="000000" w:themeColor="text1"/>
              <w:right w:val="single" w:sz="4" w:space="0" w:color="000000" w:themeColor="text1"/>
            </w:tcBorders>
            <w:shd w:val="clear" w:color="auto" w:fill="C6EFCE"/>
            <w:noWrap/>
            <w:hideMark/>
          </w:tcPr>
          <w:p w14:paraId="50EE84C0"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2022</w:t>
            </w:r>
          </w:p>
        </w:tc>
        <w:tc>
          <w:tcPr>
            <w:tcW w:w="4359" w:type="dxa"/>
            <w:tcBorders>
              <w:top w:val="nil"/>
              <w:left w:val="nil"/>
              <w:bottom w:val="single" w:sz="4" w:space="0" w:color="000000" w:themeColor="text1"/>
              <w:right w:val="single" w:sz="4" w:space="0" w:color="000000" w:themeColor="text1"/>
            </w:tcBorders>
            <w:shd w:val="clear" w:color="auto" w:fill="C6EFCE"/>
            <w:noWrap/>
            <w:hideMark/>
          </w:tcPr>
          <w:p w14:paraId="6967A2F2" w14:textId="64A14433"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Влизане в сила на измененията на Търговския закон за транспониране на Директива (ЕС) 2019/1023, които предвиждат:</w:t>
            </w:r>
            <w:r>
              <w:rPr>
                <w:rFonts w:ascii="Times New Roman" w:hAnsi="Times New Roman"/>
                <w:noProof/>
                <w:color w:val="006100"/>
                <w:sz w:val="20"/>
              </w:rPr>
              <w:br/>
              <w:t>- инструменти за ранно предупреждение;</w:t>
            </w:r>
            <w:r>
              <w:rPr>
                <w:rFonts w:ascii="Times New Roman" w:hAnsi="Times New Roman"/>
                <w:noProof/>
                <w:color w:val="006100"/>
                <w:sz w:val="20"/>
              </w:rPr>
              <w:br/>
              <w:t>- улесняване на откриването и протичането на производствата по несъстоятелност и преструктуриране;</w:t>
            </w:r>
            <w:r>
              <w:rPr>
                <w:rFonts w:ascii="Times New Roman" w:hAnsi="Times New Roman"/>
                <w:noProof/>
                <w:color w:val="006100"/>
                <w:sz w:val="20"/>
              </w:rPr>
              <w:br/>
              <w:t>- задължения на директорите при вероятност от неплатежоспособност;</w:t>
            </w:r>
            <w:r>
              <w:rPr>
                <w:rFonts w:ascii="Times New Roman" w:hAnsi="Times New Roman"/>
                <w:noProof/>
                <w:color w:val="006100"/>
                <w:sz w:val="20"/>
              </w:rPr>
              <w:br/>
              <w:t>- възможност за електронен обмен на информация и документи в производствата по несъстоятелност, преструктуриране и освобождаване от дълг;</w:t>
            </w:r>
            <w:r>
              <w:rPr>
                <w:rFonts w:ascii="Times New Roman" w:hAnsi="Times New Roman"/>
                <w:noProof/>
                <w:color w:val="006100"/>
                <w:sz w:val="20"/>
              </w:rPr>
              <w:br/>
              <w:t>- правни гаранции, че при регистриране на търговски дружества търговците регистрират действителни адреси за управление;</w:t>
            </w:r>
            <w:r>
              <w:rPr>
                <w:rFonts w:ascii="Times New Roman" w:hAnsi="Times New Roman"/>
                <w:noProof/>
                <w:sz w:val="20"/>
              </w:rPr>
              <w:t xml:space="preserve"> </w:t>
            </w:r>
          </w:p>
          <w:p w14:paraId="47E31F04" w14:textId="4C2389E1" w:rsidR="00A17CA8" w:rsidRPr="0051384F" w:rsidRDefault="006C5BB2" w:rsidP="00576E40">
            <w:pPr>
              <w:spacing w:after="0" w:line="240" w:lineRule="auto"/>
              <w:rPr>
                <w:rFonts w:ascii="Times New Roman" w:hAnsi="Times New Roman" w:cs="Times New Roman"/>
                <w:noProof/>
                <w:sz w:val="20"/>
                <w:szCs w:val="20"/>
              </w:rPr>
            </w:pPr>
            <w:r>
              <w:rPr>
                <w:rFonts w:ascii="Times New Roman" w:hAnsi="Times New Roman"/>
                <w:noProof/>
                <w:color w:val="006100"/>
                <w:sz w:val="20"/>
              </w:rPr>
              <w:t>- по-строго регулиране на професията на синдиците, за да се гарантира, че те разполагат с необходимия експертен опит и че условията за допустимост, както и процесът на назначаване, освобождаване и оттегляне на синдиците са ясни, прозрачни и справедливи.</w:t>
            </w:r>
          </w:p>
        </w:tc>
      </w:tr>
      <w:tr w:rsidR="007F2B35" w:rsidRPr="005241FC" w14:paraId="64223465" w14:textId="77777777" w:rsidTr="00A80AF7">
        <w:trPr>
          <w:trHeight w:val="323"/>
          <w:jc w:val="right"/>
        </w:trPr>
        <w:tc>
          <w:tcPr>
            <w:tcW w:w="710" w:type="dxa"/>
            <w:tcBorders>
              <w:top w:val="nil"/>
              <w:left w:val="single" w:sz="4" w:space="0" w:color="000000" w:themeColor="text1"/>
              <w:bottom w:val="single" w:sz="4" w:space="0" w:color="000000" w:themeColor="text1"/>
              <w:right w:val="single" w:sz="4" w:space="0" w:color="000000" w:themeColor="text1"/>
            </w:tcBorders>
            <w:shd w:val="clear" w:color="auto" w:fill="C6EFCE"/>
            <w:noWrap/>
          </w:tcPr>
          <w:p w14:paraId="2E124F1E" w14:textId="6F5A0CC7" w:rsidR="00A17CA8" w:rsidRPr="0051384F" w:rsidRDefault="002B7436"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229</w:t>
            </w:r>
          </w:p>
        </w:tc>
        <w:tc>
          <w:tcPr>
            <w:tcW w:w="1286" w:type="dxa"/>
            <w:tcBorders>
              <w:top w:val="nil"/>
              <w:left w:val="nil"/>
              <w:bottom w:val="single" w:sz="4" w:space="0" w:color="000000" w:themeColor="text1"/>
              <w:right w:val="single" w:sz="4" w:space="0" w:color="000000" w:themeColor="text1"/>
            </w:tcBorders>
            <w:shd w:val="clear" w:color="auto" w:fill="C6EFCE"/>
            <w:noWrap/>
          </w:tcPr>
          <w:p w14:paraId="0F7204B3" w14:textId="10D6A766" w:rsidR="00A17CA8" w:rsidRPr="0051384F" w:rsidRDefault="00772A3B" w:rsidP="00576E40">
            <w:pPr>
              <w:spacing w:after="0" w:line="240" w:lineRule="auto"/>
              <w:rPr>
                <w:rFonts w:ascii="Times New Roman" w:eastAsia="Times New Roman" w:hAnsi="Times New Roman" w:cs="Times New Roman"/>
                <w:noProof/>
                <w:color w:val="006100"/>
                <w:sz w:val="20"/>
                <w:szCs w:val="20"/>
                <w:highlight w:val="yellow"/>
              </w:rPr>
            </w:pPr>
            <w:r>
              <w:rPr>
                <w:rFonts w:ascii="Times New Roman" w:hAnsi="Times New Roman"/>
                <w:noProof/>
                <w:color w:val="006100"/>
                <w:sz w:val="20"/>
              </w:rPr>
              <w:t xml:space="preserve">К10.Р4: Укрепване на производствата по несъстоятелност </w:t>
            </w:r>
          </w:p>
        </w:tc>
        <w:tc>
          <w:tcPr>
            <w:tcW w:w="1085" w:type="dxa"/>
            <w:tcBorders>
              <w:top w:val="nil"/>
              <w:left w:val="nil"/>
              <w:bottom w:val="single" w:sz="4" w:space="0" w:color="000000" w:themeColor="text1"/>
              <w:right w:val="single" w:sz="4" w:space="0" w:color="000000" w:themeColor="text1"/>
            </w:tcBorders>
            <w:shd w:val="clear" w:color="auto" w:fill="C6EFCE"/>
            <w:noWrap/>
          </w:tcPr>
          <w:p w14:paraId="242AEF7E"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734" w:type="dxa"/>
            <w:tcBorders>
              <w:top w:val="nil"/>
              <w:left w:val="nil"/>
              <w:bottom w:val="single" w:sz="4" w:space="0" w:color="000000" w:themeColor="text1"/>
              <w:right w:val="single" w:sz="4" w:space="0" w:color="000000" w:themeColor="text1"/>
            </w:tcBorders>
            <w:shd w:val="clear" w:color="auto" w:fill="C6EFCE"/>
            <w:noWrap/>
          </w:tcPr>
          <w:p w14:paraId="1E326B8C"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Завършени мерките за изпълнение на реформата на нормативната уредба на несъстоятелността</w:t>
            </w:r>
          </w:p>
        </w:tc>
        <w:tc>
          <w:tcPr>
            <w:tcW w:w="1417" w:type="dxa"/>
            <w:tcBorders>
              <w:top w:val="nil"/>
              <w:left w:val="nil"/>
              <w:bottom w:val="single" w:sz="4" w:space="0" w:color="000000" w:themeColor="text1"/>
              <w:right w:val="single" w:sz="4" w:space="0" w:color="000000" w:themeColor="text1"/>
            </w:tcBorders>
            <w:shd w:val="clear" w:color="auto" w:fill="C6EFCE"/>
            <w:noWrap/>
          </w:tcPr>
          <w:p w14:paraId="0F54AB3C"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1. Проведени обучения на синдици и съдии; </w:t>
            </w:r>
          </w:p>
          <w:p w14:paraId="3E39DA50"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 Функциониращи специализирани електронни инструменти;</w:t>
            </w:r>
          </w:p>
          <w:p w14:paraId="4C790DC5"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3. Приемане на наръчници, кодекси, образци и насоки от Министерството на правосъдието; </w:t>
            </w:r>
          </w:p>
          <w:p w14:paraId="5B122F2F"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4. Публикуване на статистически данни</w:t>
            </w:r>
          </w:p>
        </w:tc>
        <w:tc>
          <w:tcPr>
            <w:tcW w:w="993" w:type="dxa"/>
            <w:tcBorders>
              <w:top w:val="nil"/>
              <w:left w:val="nil"/>
              <w:bottom w:val="single" w:sz="4" w:space="0" w:color="000000" w:themeColor="text1"/>
              <w:right w:val="single" w:sz="4" w:space="0" w:color="000000" w:themeColor="text1"/>
            </w:tcBorders>
            <w:shd w:val="clear" w:color="auto" w:fill="C6EFCE"/>
            <w:noWrap/>
          </w:tcPr>
          <w:p w14:paraId="63A8F823"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lang w:eastAsia="en-GB"/>
              </w:rPr>
            </w:pPr>
          </w:p>
        </w:tc>
        <w:tc>
          <w:tcPr>
            <w:tcW w:w="1134" w:type="dxa"/>
            <w:tcBorders>
              <w:top w:val="nil"/>
              <w:left w:val="nil"/>
              <w:bottom w:val="single" w:sz="4" w:space="0" w:color="000000" w:themeColor="text1"/>
              <w:right w:val="single" w:sz="4" w:space="0" w:color="000000" w:themeColor="text1"/>
            </w:tcBorders>
            <w:shd w:val="clear" w:color="auto" w:fill="C6EFCE"/>
            <w:noWrap/>
          </w:tcPr>
          <w:p w14:paraId="64443D4A"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lang w:eastAsia="en-GB"/>
              </w:rPr>
            </w:pPr>
          </w:p>
        </w:tc>
        <w:tc>
          <w:tcPr>
            <w:tcW w:w="1134" w:type="dxa"/>
            <w:tcBorders>
              <w:top w:val="nil"/>
              <w:left w:val="nil"/>
              <w:bottom w:val="single" w:sz="4" w:space="0" w:color="000000" w:themeColor="text1"/>
              <w:right w:val="single" w:sz="4" w:space="0" w:color="000000" w:themeColor="text1"/>
            </w:tcBorders>
            <w:shd w:val="clear" w:color="auto" w:fill="C6EFCE"/>
            <w:noWrap/>
          </w:tcPr>
          <w:p w14:paraId="28F03346"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lang w:eastAsia="en-GB"/>
              </w:rPr>
            </w:pPr>
          </w:p>
        </w:tc>
        <w:tc>
          <w:tcPr>
            <w:tcW w:w="850" w:type="dxa"/>
            <w:tcBorders>
              <w:top w:val="nil"/>
              <w:left w:val="nil"/>
              <w:bottom w:val="single" w:sz="4" w:space="0" w:color="000000" w:themeColor="text1"/>
              <w:right w:val="single" w:sz="4" w:space="0" w:color="000000" w:themeColor="text1"/>
            </w:tcBorders>
            <w:shd w:val="clear" w:color="auto" w:fill="C6EFCE"/>
            <w:noWrap/>
          </w:tcPr>
          <w:p w14:paraId="21EBD3C8"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T2</w:t>
            </w:r>
          </w:p>
        </w:tc>
        <w:tc>
          <w:tcPr>
            <w:tcW w:w="744" w:type="dxa"/>
            <w:tcBorders>
              <w:top w:val="nil"/>
              <w:left w:val="nil"/>
              <w:bottom w:val="single" w:sz="4" w:space="0" w:color="000000" w:themeColor="text1"/>
              <w:right w:val="single" w:sz="4" w:space="0" w:color="000000" w:themeColor="text1"/>
            </w:tcBorders>
            <w:shd w:val="clear" w:color="auto" w:fill="C6EFCE"/>
            <w:noWrap/>
          </w:tcPr>
          <w:p w14:paraId="6F2860D7"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2023</w:t>
            </w:r>
          </w:p>
        </w:tc>
        <w:tc>
          <w:tcPr>
            <w:tcW w:w="4359" w:type="dxa"/>
            <w:tcBorders>
              <w:top w:val="nil"/>
              <w:left w:val="nil"/>
              <w:bottom w:val="single" w:sz="4" w:space="0" w:color="000000" w:themeColor="text1"/>
              <w:right w:val="single" w:sz="4" w:space="0" w:color="000000" w:themeColor="text1"/>
            </w:tcBorders>
            <w:shd w:val="clear" w:color="auto" w:fill="C6EFCE"/>
            <w:noWrap/>
          </w:tcPr>
          <w:p w14:paraId="7B18195A"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Изпълнението ще обхване следните елементи:</w:t>
            </w:r>
          </w:p>
          <w:p w14:paraId="66919EA2"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1. Провеждане на обучения за синдици и съдии относно новата уредба на несъстоятелността. </w:t>
            </w:r>
          </w:p>
          <w:p w14:paraId="7B7FA050"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 Въвеждане на специализирани електронни инструменти, за да се гарантира, че по време на производствата по несъстоятелност и преструктуриране страните могат да използват електронни средства за комуникация.</w:t>
            </w:r>
          </w:p>
          <w:p w14:paraId="6A3619BE"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3. Приемане на необходимите наръчници, кодекси, образци и насоки от Министерството на правосъдието, за да се гарантира ефикасно и ефективно използване на производствата по преструктуриране, несъстоятелност и опрощаване на задължения. </w:t>
            </w:r>
          </w:p>
          <w:p w14:paraId="38867174"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4. Събиране на статистически данни и първи набор от публикувани данни, гарантиращи ефективен мониторинг на производствата по преструктуриране, несъстоятелност и опрощаване на задължения.</w:t>
            </w:r>
          </w:p>
          <w:p w14:paraId="18BB4A68" w14:textId="6DC3CA82"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Мерките се изпълняват в съответствие с измененията на Търговския закон, с които се транспонира Директива (ЕС) 2019/1023.</w:t>
            </w:r>
          </w:p>
        </w:tc>
      </w:tr>
      <w:tr w:rsidR="007F2B35" w:rsidRPr="005241FC" w14:paraId="4A3FB346" w14:textId="77777777" w:rsidTr="00A80AF7">
        <w:trPr>
          <w:trHeight w:val="233"/>
          <w:jc w:val="right"/>
        </w:trPr>
        <w:tc>
          <w:tcPr>
            <w:tcW w:w="710" w:type="dxa"/>
            <w:tcBorders>
              <w:top w:val="nil"/>
              <w:left w:val="single" w:sz="4" w:space="0" w:color="000000" w:themeColor="text1"/>
              <w:bottom w:val="single" w:sz="4" w:space="0" w:color="000000" w:themeColor="text1"/>
              <w:right w:val="single" w:sz="4" w:space="0" w:color="000000" w:themeColor="text1"/>
            </w:tcBorders>
            <w:shd w:val="clear" w:color="auto" w:fill="C6EFCE"/>
            <w:noWrap/>
          </w:tcPr>
          <w:p w14:paraId="0F4104E0" w14:textId="7FFF7ED5" w:rsidR="00A17CA8" w:rsidRPr="0051384F" w:rsidRDefault="002B7436"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230</w:t>
            </w:r>
          </w:p>
        </w:tc>
        <w:tc>
          <w:tcPr>
            <w:tcW w:w="1286" w:type="dxa"/>
            <w:tcBorders>
              <w:top w:val="nil"/>
              <w:left w:val="nil"/>
              <w:bottom w:val="single" w:sz="4" w:space="0" w:color="000000" w:themeColor="text1"/>
              <w:right w:val="single" w:sz="4" w:space="0" w:color="000000" w:themeColor="text1"/>
            </w:tcBorders>
            <w:shd w:val="clear" w:color="auto" w:fill="C6EFCE"/>
            <w:noWrap/>
          </w:tcPr>
          <w:p w14:paraId="4C64B45B" w14:textId="2175549B" w:rsidR="00A17CA8" w:rsidRPr="0051384F" w:rsidRDefault="00772A3B"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К10.Р5: Цифрова реформа на българския строителен сектор</w:t>
            </w:r>
          </w:p>
        </w:tc>
        <w:tc>
          <w:tcPr>
            <w:tcW w:w="1085" w:type="dxa"/>
            <w:tcBorders>
              <w:top w:val="nil"/>
              <w:left w:val="nil"/>
              <w:bottom w:val="single" w:sz="4" w:space="0" w:color="000000" w:themeColor="text1"/>
              <w:right w:val="single" w:sz="4" w:space="0" w:color="000000" w:themeColor="text1"/>
            </w:tcBorders>
            <w:shd w:val="clear" w:color="auto" w:fill="C6EFCE"/>
            <w:noWrap/>
          </w:tcPr>
          <w:p w14:paraId="4E67DCA0"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734" w:type="dxa"/>
            <w:tcBorders>
              <w:top w:val="nil"/>
              <w:left w:val="nil"/>
              <w:bottom w:val="single" w:sz="4" w:space="0" w:color="000000" w:themeColor="text1"/>
              <w:right w:val="single" w:sz="4" w:space="0" w:color="000000" w:themeColor="text1"/>
            </w:tcBorders>
            <w:shd w:val="clear" w:color="auto" w:fill="C6EFCE"/>
            <w:noWrap/>
          </w:tcPr>
          <w:p w14:paraId="0187D09A"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Стратегия и пътна карта за въвеждането на строително информационно моделиране (СИМ)</w:t>
            </w:r>
          </w:p>
          <w:p w14:paraId="525A5BB1"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при проектирането, изпълнението и поддръжката на строителни работи </w:t>
            </w:r>
          </w:p>
        </w:tc>
        <w:tc>
          <w:tcPr>
            <w:tcW w:w="1417" w:type="dxa"/>
            <w:tcBorders>
              <w:top w:val="nil"/>
              <w:left w:val="nil"/>
              <w:bottom w:val="single" w:sz="4" w:space="0" w:color="000000" w:themeColor="text1"/>
              <w:right w:val="single" w:sz="4" w:space="0" w:color="000000" w:themeColor="text1"/>
            </w:tcBorders>
            <w:shd w:val="clear" w:color="auto" w:fill="C6EFCE"/>
            <w:noWrap/>
          </w:tcPr>
          <w:p w14:paraId="6F7C7489"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Приети от Министерския съвет стратегия за прилагане на строително информационното моделиране и пътна карта за неговото прилагане </w:t>
            </w:r>
          </w:p>
        </w:tc>
        <w:tc>
          <w:tcPr>
            <w:tcW w:w="993" w:type="dxa"/>
            <w:tcBorders>
              <w:top w:val="nil"/>
              <w:left w:val="nil"/>
              <w:bottom w:val="single" w:sz="4" w:space="0" w:color="000000" w:themeColor="text1"/>
              <w:right w:val="single" w:sz="4" w:space="0" w:color="000000" w:themeColor="text1"/>
            </w:tcBorders>
            <w:shd w:val="clear" w:color="auto" w:fill="C6EFCE"/>
            <w:noWrap/>
          </w:tcPr>
          <w:p w14:paraId="148F8BE8"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1134" w:type="dxa"/>
            <w:tcBorders>
              <w:top w:val="nil"/>
              <w:left w:val="nil"/>
              <w:bottom w:val="single" w:sz="4" w:space="0" w:color="000000" w:themeColor="text1"/>
              <w:right w:val="single" w:sz="4" w:space="0" w:color="000000" w:themeColor="text1"/>
            </w:tcBorders>
            <w:shd w:val="clear" w:color="auto" w:fill="C6EFCE"/>
            <w:noWrap/>
          </w:tcPr>
          <w:p w14:paraId="61F6F88E"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1134" w:type="dxa"/>
            <w:tcBorders>
              <w:top w:val="nil"/>
              <w:left w:val="nil"/>
              <w:bottom w:val="single" w:sz="4" w:space="0" w:color="000000" w:themeColor="text1"/>
              <w:right w:val="single" w:sz="4" w:space="0" w:color="000000" w:themeColor="text1"/>
            </w:tcBorders>
            <w:shd w:val="clear" w:color="auto" w:fill="C6EFCE"/>
            <w:noWrap/>
          </w:tcPr>
          <w:p w14:paraId="5AAA3F0B"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850" w:type="dxa"/>
            <w:tcBorders>
              <w:top w:val="nil"/>
              <w:left w:val="nil"/>
              <w:bottom w:val="single" w:sz="4" w:space="0" w:color="000000" w:themeColor="text1"/>
              <w:right w:val="single" w:sz="4" w:space="0" w:color="000000" w:themeColor="text1"/>
            </w:tcBorders>
            <w:shd w:val="clear" w:color="auto" w:fill="C6EFCE"/>
            <w:noWrap/>
          </w:tcPr>
          <w:p w14:paraId="50417292"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T1</w:t>
            </w:r>
          </w:p>
        </w:tc>
        <w:tc>
          <w:tcPr>
            <w:tcW w:w="744" w:type="dxa"/>
            <w:tcBorders>
              <w:top w:val="nil"/>
              <w:left w:val="nil"/>
              <w:bottom w:val="single" w:sz="4" w:space="0" w:color="000000" w:themeColor="text1"/>
              <w:right w:val="single" w:sz="4" w:space="0" w:color="000000" w:themeColor="text1"/>
            </w:tcBorders>
            <w:shd w:val="clear" w:color="auto" w:fill="C6EFCE"/>
            <w:noWrap/>
          </w:tcPr>
          <w:p w14:paraId="79D52241"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2023</w:t>
            </w:r>
          </w:p>
        </w:tc>
        <w:tc>
          <w:tcPr>
            <w:tcW w:w="4359" w:type="dxa"/>
            <w:tcBorders>
              <w:top w:val="nil"/>
              <w:left w:val="nil"/>
              <w:bottom w:val="single" w:sz="4" w:space="0" w:color="000000" w:themeColor="text1"/>
              <w:right w:val="single" w:sz="4" w:space="0" w:color="000000" w:themeColor="text1"/>
            </w:tcBorders>
            <w:shd w:val="clear" w:color="auto" w:fill="C6EFCE"/>
          </w:tcPr>
          <w:p w14:paraId="009001F1"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В стратегията за въвеждане на СИМ се посочва: </w:t>
            </w:r>
          </w:p>
          <w:p w14:paraId="2FA72470" w14:textId="0036B91A" w:rsidR="00A17CA8" w:rsidRPr="0051384F" w:rsidRDefault="000C7912" w:rsidP="00576E40">
            <w:pPr>
              <w:pStyle w:val="ListParagraph"/>
              <w:numPr>
                <w:ilvl w:val="0"/>
                <w:numId w:val="44"/>
              </w:num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кое от понастоящем определените четири нива на СИМ трябва да бъде постигнато в краткосрочен план и кое — в дългосрочен план; </w:t>
            </w:r>
          </w:p>
          <w:p w14:paraId="3A2DA4C5" w14:textId="77777777" w:rsidR="00A17CA8" w:rsidRPr="0051384F" w:rsidRDefault="00A17CA8" w:rsidP="00576E40">
            <w:pPr>
              <w:pStyle w:val="ListParagraph"/>
              <w:numPr>
                <w:ilvl w:val="0"/>
                <w:numId w:val="44"/>
              </w:num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ясна визия за развитието на строителния сектор и въвеждането на СИМ;</w:t>
            </w:r>
          </w:p>
          <w:p w14:paraId="0416F4DF" w14:textId="77777777" w:rsidR="00A17CA8" w:rsidRPr="0051384F" w:rsidRDefault="00A17CA8" w:rsidP="00576E40">
            <w:pPr>
              <w:pStyle w:val="ListParagraph"/>
              <w:numPr>
                <w:ilvl w:val="0"/>
                <w:numId w:val="44"/>
              </w:num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стратегическите цели на секторната политика, водещата роля на публичния сектор и разработването на политики за изпълнение на визията; </w:t>
            </w:r>
          </w:p>
          <w:p w14:paraId="7FBCBBF7" w14:textId="4C787859" w:rsidR="00A17CA8" w:rsidRPr="0051384F" w:rsidRDefault="00A17CA8" w:rsidP="00576E40">
            <w:pPr>
              <w:pStyle w:val="ListParagraph"/>
              <w:numPr>
                <w:ilvl w:val="0"/>
                <w:numId w:val="44"/>
              </w:num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анализ на необходимата нормативна уредба за цифровизацията на секторното законодателство, стандарти и помощни насоки съгласно свързаните със СИМ политики; </w:t>
            </w:r>
          </w:p>
          <w:p w14:paraId="0683F256" w14:textId="46B709F4" w:rsidR="00A17CA8" w:rsidRPr="0051384F" w:rsidRDefault="00A17CA8" w:rsidP="00576E40">
            <w:pPr>
              <w:pStyle w:val="ListParagraph"/>
              <w:numPr>
                <w:ilvl w:val="0"/>
                <w:numId w:val="44"/>
              </w:num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мерки за подкрепа на МСП в съответствие с проучването на Комисията от 2019 г. „Доклад: Подкрепа за цифровизацията на строителния сектор и МСП — включително строително информационно моделиране“;</w:t>
            </w:r>
          </w:p>
          <w:p w14:paraId="0EF48D9C" w14:textId="77777777" w:rsidR="00A17CA8" w:rsidRPr="0051384F" w:rsidRDefault="00A17CA8" w:rsidP="00576E40">
            <w:pPr>
              <w:pStyle w:val="ListParagraph"/>
              <w:numPr>
                <w:ilvl w:val="0"/>
                <w:numId w:val="44"/>
              </w:num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равнището на компетентност, което трябва да бъде постигнато от администрацията, строителните предприятия и академичните среди за прилагането на СИМ.</w:t>
            </w:r>
          </w:p>
          <w:p w14:paraId="56E94E45"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Пътната карта включва:</w:t>
            </w:r>
          </w:p>
          <w:p w14:paraId="4F6C9A89" w14:textId="77777777" w:rsidR="00A17CA8" w:rsidRPr="0051384F" w:rsidRDefault="00A17CA8" w:rsidP="00576E40">
            <w:pPr>
              <w:pStyle w:val="ListParagraph"/>
              <w:numPr>
                <w:ilvl w:val="0"/>
                <w:numId w:val="45"/>
              </w:num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ключовите етапи и графика за изпълнение на СИМ, както и необходимите ресурси; </w:t>
            </w:r>
          </w:p>
          <w:p w14:paraId="14716213" w14:textId="77777777" w:rsidR="00A17CA8" w:rsidRPr="0051384F" w:rsidRDefault="00A17CA8" w:rsidP="00576E40">
            <w:pPr>
              <w:pStyle w:val="ListParagraph"/>
              <w:numPr>
                <w:ilvl w:val="0"/>
                <w:numId w:val="45"/>
              </w:num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отговорностите на различните участници в изпълнението на СИМ;</w:t>
            </w:r>
          </w:p>
          <w:p w14:paraId="5CCC2062" w14:textId="17D5AE53" w:rsidR="00A17CA8" w:rsidRPr="0051384F" w:rsidRDefault="00A17CA8" w:rsidP="00576E40">
            <w:pPr>
              <w:pStyle w:val="ListParagraph"/>
              <w:numPr>
                <w:ilvl w:val="0"/>
                <w:numId w:val="45"/>
              </w:num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етапи към постепенното въвеждане на СИМ в изискванията по обществените поръчки за проектиране и строителство; </w:t>
            </w:r>
          </w:p>
          <w:p w14:paraId="1E033342" w14:textId="77777777" w:rsidR="00A17CA8" w:rsidRPr="0051384F" w:rsidRDefault="00A17CA8" w:rsidP="00576E40">
            <w:pPr>
              <w:pStyle w:val="ListParagraph"/>
              <w:numPr>
                <w:ilvl w:val="0"/>
                <w:numId w:val="45"/>
              </w:num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етапите за създаване на необходимата ИТ инфраструктура, бази данни и стандарти, които могат да бъдат съгласувани с европейските. </w:t>
            </w:r>
          </w:p>
          <w:p w14:paraId="7BD234C7"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Проектите на стратегията и пътната карта се изготвят с подкрепата на проект REFORM/SC2020/089 „Подготовка и стартиране на цифрова реформа на българския строителен сектор“.</w:t>
            </w:r>
          </w:p>
        </w:tc>
      </w:tr>
      <w:tr w:rsidR="007F2B35" w:rsidRPr="005241FC" w14:paraId="304F2744" w14:textId="77777777" w:rsidTr="00A80AF7">
        <w:trPr>
          <w:trHeight w:val="1755"/>
          <w:jc w:val="right"/>
        </w:trPr>
        <w:tc>
          <w:tcPr>
            <w:tcW w:w="710" w:type="dxa"/>
            <w:tcBorders>
              <w:top w:val="nil"/>
              <w:left w:val="single" w:sz="4" w:space="0" w:color="000000" w:themeColor="text1"/>
              <w:bottom w:val="single" w:sz="4" w:space="0" w:color="000000" w:themeColor="text1"/>
              <w:right w:val="single" w:sz="4" w:space="0" w:color="000000" w:themeColor="text1"/>
            </w:tcBorders>
            <w:shd w:val="clear" w:color="auto" w:fill="C6EFCE"/>
            <w:noWrap/>
          </w:tcPr>
          <w:p w14:paraId="08CD5D60" w14:textId="677C4BA4" w:rsidR="00A17CA8" w:rsidRPr="0051384F" w:rsidRDefault="002B7436"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231</w:t>
            </w:r>
          </w:p>
        </w:tc>
        <w:tc>
          <w:tcPr>
            <w:tcW w:w="1286" w:type="dxa"/>
            <w:tcBorders>
              <w:top w:val="nil"/>
              <w:left w:val="nil"/>
              <w:bottom w:val="single" w:sz="4" w:space="0" w:color="000000" w:themeColor="text1"/>
              <w:right w:val="single" w:sz="4" w:space="0" w:color="000000" w:themeColor="text1"/>
            </w:tcBorders>
            <w:shd w:val="clear" w:color="auto" w:fill="C6EFCE"/>
            <w:noWrap/>
          </w:tcPr>
          <w:p w14:paraId="4983D04A" w14:textId="6823B1CC" w:rsidR="00A17CA8" w:rsidRPr="0051384F" w:rsidRDefault="00772A3B"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К10.Р6: Регистрова реформа за разгръщане потенциала на електронното управление за подобряване на бизнес средата</w:t>
            </w:r>
          </w:p>
        </w:tc>
        <w:tc>
          <w:tcPr>
            <w:tcW w:w="1085" w:type="dxa"/>
            <w:tcBorders>
              <w:top w:val="nil"/>
              <w:left w:val="nil"/>
              <w:bottom w:val="single" w:sz="4" w:space="0" w:color="000000" w:themeColor="text1"/>
              <w:right w:val="single" w:sz="4" w:space="0" w:color="000000" w:themeColor="text1"/>
            </w:tcBorders>
            <w:shd w:val="clear" w:color="auto" w:fill="C6EFCE"/>
            <w:noWrap/>
          </w:tcPr>
          <w:p w14:paraId="60DA8B5C"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734" w:type="dxa"/>
            <w:tcBorders>
              <w:top w:val="nil"/>
              <w:left w:val="nil"/>
              <w:bottom w:val="single" w:sz="4" w:space="0" w:color="000000" w:themeColor="text1"/>
              <w:right w:val="single" w:sz="4" w:space="0" w:color="000000" w:themeColor="text1"/>
            </w:tcBorders>
            <w:shd w:val="clear" w:color="auto" w:fill="C6EFCE"/>
            <w:noWrap/>
          </w:tcPr>
          <w:p w14:paraId="3B213884"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Влизане в сила на измененията на Закона за социалните грижи</w:t>
            </w:r>
          </w:p>
        </w:tc>
        <w:tc>
          <w:tcPr>
            <w:tcW w:w="1417" w:type="dxa"/>
            <w:tcBorders>
              <w:top w:val="nil"/>
              <w:left w:val="nil"/>
              <w:bottom w:val="single" w:sz="4" w:space="0" w:color="000000" w:themeColor="text1"/>
              <w:right w:val="single" w:sz="4" w:space="0" w:color="000000" w:themeColor="text1"/>
            </w:tcBorders>
            <w:shd w:val="clear" w:color="auto" w:fill="C6EFCE"/>
            <w:noWrap/>
          </w:tcPr>
          <w:p w14:paraId="0481EF9B"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Разпоредби в Закона за електронното управление, указващи влизането в сила на измененията</w:t>
            </w:r>
          </w:p>
        </w:tc>
        <w:tc>
          <w:tcPr>
            <w:tcW w:w="993" w:type="dxa"/>
            <w:tcBorders>
              <w:top w:val="nil"/>
              <w:left w:val="nil"/>
              <w:bottom w:val="single" w:sz="4" w:space="0" w:color="000000" w:themeColor="text1"/>
              <w:right w:val="single" w:sz="4" w:space="0" w:color="000000" w:themeColor="text1"/>
            </w:tcBorders>
            <w:shd w:val="clear" w:color="auto" w:fill="C6EFCE"/>
            <w:noWrap/>
          </w:tcPr>
          <w:p w14:paraId="07D1C403"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1134" w:type="dxa"/>
            <w:tcBorders>
              <w:top w:val="nil"/>
              <w:left w:val="nil"/>
              <w:bottom w:val="single" w:sz="4" w:space="0" w:color="000000" w:themeColor="text1"/>
              <w:right w:val="single" w:sz="4" w:space="0" w:color="000000" w:themeColor="text1"/>
            </w:tcBorders>
            <w:shd w:val="clear" w:color="auto" w:fill="C6EFCE"/>
            <w:noWrap/>
          </w:tcPr>
          <w:p w14:paraId="15594B22"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1134" w:type="dxa"/>
            <w:tcBorders>
              <w:top w:val="nil"/>
              <w:left w:val="nil"/>
              <w:bottom w:val="single" w:sz="4" w:space="0" w:color="000000" w:themeColor="text1"/>
              <w:right w:val="single" w:sz="4" w:space="0" w:color="000000" w:themeColor="text1"/>
            </w:tcBorders>
            <w:shd w:val="clear" w:color="auto" w:fill="C6EFCE"/>
            <w:noWrap/>
          </w:tcPr>
          <w:p w14:paraId="1DA418FE"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850" w:type="dxa"/>
            <w:tcBorders>
              <w:top w:val="nil"/>
              <w:left w:val="nil"/>
              <w:bottom w:val="single" w:sz="4" w:space="0" w:color="000000" w:themeColor="text1"/>
              <w:right w:val="single" w:sz="4" w:space="0" w:color="000000" w:themeColor="text1"/>
            </w:tcBorders>
            <w:shd w:val="clear" w:color="auto" w:fill="C6EFCE"/>
            <w:noWrap/>
          </w:tcPr>
          <w:p w14:paraId="3B5F803F"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T3</w:t>
            </w:r>
          </w:p>
        </w:tc>
        <w:tc>
          <w:tcPr>
            <w:tcW w:w="744" w:type="dxa"/>
            <w:tcBorders>
              <w:top w:val="nil"/>
              <w:left w:val="nil"/>
              <w:bottom w:val="single" w:sz="4" w:space="0" w:color="000000" w:themeColor="text1"/>
              <w:right w:val="single" w:sz="4" w:space="0" w:color="000000" w:themeColor="text1"/>
            </w:tcBorders>
            <w:shd w:val="clear" w:color="auto" w:fill="C6EFCE"/>
            <w:noWrap/>
          </w:tcPr>
          <w:p w14:paraId="59C7BEA9"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2022</w:t>
            </w:r>
          </w:p>
        </w:tc>
        <w:tc>
          <w:tcPr>
            <w:tcW w:w="4359" w:type="dxa"/>
            <w:tcBorders>
              <w:top w:val="nil"/>
              <w:left w:val="nil"/>
              <w:bottom w:val="single" w:sz="4" w:space="0" w:color="000000" w:themeColor="text1"/>
              <w:right w:val="single" w:sz="4" w:space="0" w:color="000000" w:themeColor="text1"/>
            </w:tcBorders>
            <w:shd w:val="clear" w:color="auto" w:fill="C6EFCE"/>
          </w:tcPr>
          <w:p w14:paraId="5EEA4810"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С измененията на Закона за електронното управление се въвеждат:</w:t>
            </w:r>
          </w:p>
          <w:p w14:paraId="5CDB7284" w14:textId="77777777" w:rsidR="00A17CA8" w:rsidRPr="0051384F" w:rsidRDefault="00A17CA8" w:rsidP="00576E40">
            <w:pPr>
              <w:pStyle w:val="ListParagraph"/>
              <w:numPr>
                <w:ilvl w:val="0"/>
                <w:numId w:val="50"/>
              </w:numPr>
              <w:spacing w:after="0" w:line="240" w:lineRule="auto"/>
              <w:ind w:left="460"/>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правила за създаване на регистри на административните органи и за изискванията към тях; </w:t>
            </w:r>
          </w:p>
          <w:p w14:paraId="69C51096" w14:textId="6FC64870" w:rsidR="00A17CA8" w:rsidRPr="0051384F" w:rsidRDefault="00A17CA8" w:rsidP="00576E40">
            <w:pPr>
              <w:pStyle w:val="ListParagraph"/>
              <w:numPr>
                <w:ilvl w:val="0"/>
                <w:numId w:val="50"/>
              </w:numPr>
              <w:spacing w:after="0" w:line="240" w:lineRule="auto"/>
              <w:ind w:left="460"/>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определения за „регистър“, „централен администратор на данни“; </w:t>
            </w:r>
          </w:p>
          <w:p w14:paraId="481A3424" w14:textId="77777777" w:rsidR="00A17CA8" w:rsidRPr="0051384F" w:rsidRDefault="00A17CA8" w:rsidP="00576E40">
            <w:pPr>
              <w:pStyle w:val="ListParagraph"/>
              <w:numPr>
                <w:ilvl w:val="0"/>
                <w:numId w:val="50"/>
              </w:numPr>
              <w:spacing w:after="0" w:line="240" w:lineRule="auto"/>
              <w:ind w:left="460"/>
              <w:rPr>
                <w:rFonts w:ascii="Times New Roman" w:eastAsia="Times New Roman" w:hAnsi="Times New Roman" w:cs="Times New Roman"/>
                <w:noProof/>
                <w:color w:val="006100"/>
                <w:sz w:val="20"/>
                <w:szCs w:val="20"/>
              </w:rPr>
            </w:pPr>
            <w:r>
              <w:rPr>
                <w:rFonts w:ascii="Times New Roman" w:hAnsi="Times New Roman"/>
                <w:noProof/>
                <w:color w:val="006100"/>
                <w:sz w:val="20"/>
              </w:rPr>
              <w:t>определение за защитеното споделено информационно пространство за електронно управление.</w:t>
            </w:r>
          </w:p>
        </w:tc>
      </w:tr>
      <w:tr w:rsidR="007F2B35" w:rsidRPr="005241FC" w14:paraId="2C5FD4B0" w14:textId="77777777" w:rsidTr="00A80AF7">
        <w:trPr>
          <w:trHeight w:val="1755"/>
          <w:jc w:val="right"/>
        </w:trPr>
        <w:tc>
          <w:tcPr>
            <w:tcW w:w="710" w:type="dxa"/>
            <w:tcBorders>
              <w:top w:val="nil"/>
              <w:left w:val="single" w:sz="4" w:space="0" w:color="000000" w:themeColor="text1"/>
              <w:bottom w:val="single" w:sz="4" w:space="0" w:color="000000" w:themeColor="text1"/>
              <w:right w:val="single" w:sz="4" w:space="0" w:color="000000" w:themeColor="text1"/>
            </w:tcBorders>
            <w:shd w:val="clear" w:color="auto" w:fill="C6EFCE"/>
            <w:noWrap/>
          </w:tcPr>
          <w:p w14:paraId="67A21B8A" w14:textId="6B62D127" w:rsidR="00A17CA8" w:rsidRPr="0051384F" w:rsidRDefault="002B7436"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232</w:t>
            </w:r>
          </w:p>
        </w:tc>
        <w:tc>
          <w:tcPr>
            <w:tcW w:w="1286" w:type="dxa"/>
            <w:tcBorders>
              <w:top w:val="nil"/>
              <w:left w:val="nil"/>
              <w:bottom w:val="single" w:sz="4" w:space="0" w:color="000000" w:themeColor="text1"/>
              <w:right w:val="single" w:sz="4" w:space="0" w:color="000000" w:themeColor="text1"/>
            </w:tcBorders>
            <w:shd w:val="clear" w:color="auto" w:fill="C6EFCE"/>
            <w:noWrap/>
          </w:tcPr>
          <w:p w14:paraId="5107740B" w14:textId="1082925D" w:rsidR="00A17CA8" w:rsidRPr="0051384F" w:rsidRDefault="00772A3B"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К10.Р6: Регистрова реформа за разгръщане потенциала на електронното управление за подобряване на бизнес средата</w:t>
            </w:r>
          </w:p>
        </w:tc>
        <w:tc>
          <w:tcPr>
            <w:tcW w:w="1085" w:type="dxa"/>
            <w:tcBorders>
              <w:top w:val="nil"/>
              <w:left w:val="nil"/>
              <w:bottom w:val="single" w:sz="4" w:space="0" w:color="000000" w:themeColor="text1"/>
              <w:right w:val="single" w:sz="4" w:space="0" w:color="000000" w:themeColor="text1"/>
            </w:tcBorders>
            <w:shd w:val="clear" w:color="auto" w:fill="C6EFCE"/>
            <w:noWrap/>
          </w:tcPr>
          <w:p w14:paraId="25FBADF4"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734" w:type="dxa"/>
            <w:tcBorders>
              <w:top w:val="nil"/>
              <w:left w:val="nil"/>
              <w:bottom w:val="single" w:sz="4" w:space="0" w:color="000000" w:themeColor="text1"/>
              <w:right w:val="single" w:sz="4" w:space="0" w:color="000000" w:themeColor="text1"/>
            </w:tcBorders>
            <w:shd w:val="clear" w:color="auto" w:fill="C6EFCE"/>
            <w:noWrap/>
          </w:tcPr>
          <w:p w14:paraId="434D28F5"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Влизане в сила на измененията на Закона за кадастъра и имотния регистър</w:t>
            </w:r>
          </w:p>
        </w:tc>
        <w:tc>
          <w:tcPr>
            <w:tcW w:w="1417" w:type="dxa"/>
            <w:tcBorders>
              <w:top w:val="nil"/>
              <w:left w:val="nil"/>
              <w:bottom w:val="single" w:sz="4" w:space="0" w:color="000000" w:themeColor="text1"/>
              <w:right w:val="single" w:sz="4" w:space="0" w:color="000000" w:themeColor="text1"/>
            </w:tcBorders>
            <w:shd w:val="clear" w:color="auto" w:fill="C6EFCE"/>
            <w:noWrap/>
          </w:tcPr>
          <w:p w14:paraId="02290524"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Разпоредба в Закона за кадастъра и имотния регистър, указваща влизането в сила на измененията</w:t>
            </w:r>
          </w:p>
        </w:tc>
        <w:tc>
          <w:tcPr>
            <w:tcW w:w="993" w:type="dxa"/>
            <w:tcBorders>
              <w:top w:val="nil"/>
              <w:left w:val="nil"/>
              <w:bottom w:val="single" w:sz="4" w:space="0" w:color="000000" w:themeColor="text1"/>
              <w:right w:val="single" w:sz="4" w:space="0" w:color="000000" w:themeColor="text1"/>
            </w:tcBorders>
            <w:shd w:val="clear" w:color="auto" w:fill="C6EFCE"/>
            <w:noWrap/>
          </w:tcPr>
          <w:p w14:paraId="7AB6EA26"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1134" w:type="dxa"/>
            <w:tcBorders>
              <w:top w:val="nil"/>
              <w:left w:val="nil"/>
              <w:bottom w:val="single" w:sz="4" w:space="0" w:color="000000" w:themeColor="text1"/>
              <w:right w:val="single" w:sz="4" w:space="0" w:color="000000" w:themeColor="text1"/>
            </w:tcBorders>
            <w:shd w:val="clear" w:color="auto" w:fill="C6EFCE"/>
            <w:noWrap/>
          </w:tcPr>
          <w:p w14:paraId="5641BD39"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1134" w:type="dxa"/>
            <w:tcBorders>
              <w:top w:val="nil"/>
              <w:left w:val="nil"/>
              <w:bottom w:val="single" w:sz="4" w:space="0" w:color="000000" w:themeColor="text1"/>
              <w:right w:val="single" w:sz="4" w:space="0" w:color="000000" w:themeColor="text1"/>
            </w:tcBorders>
            <w:shd w:val="clear" w:color="auto" w:fill="C6EFCE"/>
            <w:noWrap/>
          </w:tcPr>
          <w:p w14:paraId="33052992"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850" w:type="dxa"/>
            <w:tcBorders>
              <w:top w:val="nil"/>
              <w:left w:val="nil"/>
              <w:bottom w:val="single" w:sz="4" w:space="0" w:color="000000" w:themeColor="text1"/>
              <w:right w:val="single" w:sz="4" w:space="0" w:color="000000" w:themeColor="text1"/>
            </w:tcBorders>
            <w:shd w:val="clear" w:color="auto" w:fill="C6EFCE"/>
            <w:noWrap/>
          </w:tcPr>
          <w:p w14:paraId="68189529"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T3</w:t>
            </w:r>
          </w:p>
        </w:tc>
        <w:tc>
          <w:tcPr>
            <w:tcW w:w="744" w:type="dxa"/>
            <w:tcBorders>
              <w:top w:val="nil"/>
              <w:left w:val="nil"/>
              <w:bottom w:val="single" w:sz="4" w:space="0" w:color="000000" w:themeColor="text1"/>
              <w:right w:val="single" w:sz="4" w:space="0" w:color="000000" w:themeColor="text1"/>
            </w:tcBorders>
            <w:shd w:val="clear" w:color="auto" w:fill="C6EFCE"/>
            <w:noWrap/>
          </w:tcPr>
          <w:p w14:paraId="121F3EE8"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2022</w:t>
            </w:r>
          </w:p>
        </w:tc>
        <w:tc>
          <w:tcPr>
            <w:tcW w:w="4359" w:type="dxa"/>
            <w:tcBorders>
              <w:top w:val="nil"/>
              <w:left w:val="nil"/>
              <w:bottom w:val="single" w:sz="4" w:space="0" w:color="000000" w:themeColor="text1"/>
              <w:right w:val="single" w:sz="4" w:space="0" w:color="000000" w:themeColor="text1"/>
            </w:tcBorders>
            <w:shd w:val="clear" w:color="auto" w:fill="C6EFCE"/>
          </w:tcPr>
          <w:p w14:paraId="53BD0B2B" w14:textId="77777777" w:rsidR="00A17CA8" w:rsidRPr="0051384F" w:rsidRDefault="00A17CA8" w:rsidP="00576E40">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С измененията на Закона за кадастъра и имотния регистър се установяват изискванията за съдържанието на имотните партиди в поземления регистър и процесът по създаването им въз основа на съществуващите лични партиди, както и се уточняват отговорностите на съдиите по вписванията и на Агенцията по вписванията в процеса по създаване на имотните партиди в регистъра.</w:t>
            </w:r>
          </w:p>
          <w:p w14:paraId="558A0E9F"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r>
      <w:tr w:rsidR="007F2B35" w:rsidRPr="005241FC" w14:paraId="49A26853" w14:textId="77777777" w:rsidTr="00A80AF7">
        <w:trPr>
          <w:trHeight w:val="1755"/>
          <w:jc w:val="right"/>
        </w:trPr>
        <w:tc>
          <w:tcPr>
            <w:tcW w:w="710" w:type="dxa"/>
            <w:tcBorders>
              <w:top w:val="nil"/>
              <w:left w:val="single" w:sz="4" w:space="0" w:color="000000" w:themeColor="text1"/>
              <w:bottom w:val="single" w:sz="4" w:space="0" w:color="000000" w:themeColor="text1"/>
              <w:right w:val="single" w:sz="4" w:space="0" w:color="000000" w:themeColor="text1"/>
            </w:tcBorders>
            <w:shd w:val="clear" w:color="auto" w:fill="C6EFCE"/>
            <w:noWrap/>
          </w:tcPr>
          <w:p w14:paraId="736F1F21" w14:textId="30817D51" w:rsidR="00A17CA8" w:rsidRPr="0051384F" w:rsidRDefault="002B7436"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233</w:t>
            </w:r>
          </w:p>
        </w:tc>
        <w:tc>
          <w:tcPr>
            <w:tcW w:w="1286" w:type="dxa"/>
            <w:tcBorders>
              <w:top w:val="nil"/>
              <w:left w:val="nil"/>
              <w:bottom w:val="single" w:sz="4" w:space="0" w:color="000000" w:themeColor="text1"/>
              <w:right w:val="single" w:sz="4" w:space="0" w:color="000000" w:themeColor="text1"/>
            </w:tcBorders>
            <w:shd w:val="clear" w:color="auto" w:fill="C6EFCE"/>
            <w:noWrap/>
          </w:tcPr>
          <w:p w14:paraId="090A21DD" w14:textId="6AB646BF" w:rsidR="00A17CA8" w:rsidRPr="0051384F" w:rsidRDefault="00772A3B"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К10.Р6: Регистрова реформа за разгръщане потенциала на електронното управление за подобряване на бизнес средата</w:t>
            </w:r>
          </w:p>
        </w:tc>
        <w:tc>
          <w:tcPr>
            <w:tcW w:w="1085" w:type="dxa"/>
            <w:tcBorders>
              <w:top w:val="nil"/>
              <w:left w:val="nil"/>
              <w:bottom w:val="single" w:sz="4" w:space="0" w:color="000000" w:themeColor="text1"/>
              <w:right w:val="single" w:sz="4" w:space="0" w:color="000000" w:themeColor="text1"/>
            </w:tcBorders>
            <w:shd w:val="clear" w:color="auto" w:fill="C6EFCE"/>
            <w:noWrap/>
          </w:tcPr>
          <w:p w14:paraId="64C1CBE9"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734" w:type="dxa"/>
            <w:tcBorders>
              <w:top w:val="nil"/>
              <w:left w:val="nil"/>
              <w:bottom w:val="single" w:sz="4" w:space="0" w:color="000000" w:themeColor="text1"/>
              <w:right w:val="single" w:sz="4" w:space="0" w:color="000000" w:themeColor="text1"/>
            </w:tcBorders>
            <w:shd w:val="clear" w:color="auto" w:fill="C6EFCE"/>
            <w:noWrap/>
          </w:tcPr>
          <w:p w14:paraId="79B8A56C"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Влизане в сила на измененията в Закона за електронното управление и Закона за гражданската регистрация </w:t>
            </w:r>
          </w:p>
        </w:tc>
        <w:tc>
          <w:tcPr>
            <w:tcW w:w="1417" w:type="dxa"/>
            <w:tcBorders>
              <w:top w:val="nil"/>
              <w:left w:val="nil"/>
              <w:bottom w:val="single" w:sz="4" w:space="0" w:color="000000" w:themeColor="text1"/>
              <w:right w:val="single" w:sz="4" w:space="0" w:color="000000" w:themeColor="text1"/>
            </w:tcBorders>
            <w:shd w:val="clear" w:color="auto" w:fill="C6EFCE"/>
            <w:noWrap/>
          </w:tcPr>
          <w:p w14:paraId="3BAF2322"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Разпоредби в Закона за електронното управление и в Закона за гражданската регистрация, указващи влизането в сила на измененията</w:t>
            </w:r>
          </w:p>
        </w:tc>
        <w:tc>
          <w:tcPr>
            <w:tcW w:w="993" w:type="dxa"/>
            <w:tcBorders>
              <w:top w:val="nil"/>
              <w:left w:val="nil"/>
              <w:bottom w:val="single" w:sz="4" w:space="0" w:color="000000" w:themeColor="text1"/>
              <w:right w:val="single" w:sz="4" w:space="0" w:color="000000" w:themeColor="text1"/>
            </w:tcBorders>
            <w:shd w:val="clear" w:color="auto" w:fill="C6EFCE"/>
            <w:noWrap/>
          </w:tcPr>
          <w:p w14:paraId="48E3B5C7"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1134" w:type="dxa"/>
            <w:tcBorders>
              <w:top w:val="nil"/>
              <w:left w:val="nil"/>
              <w:bottom w:val="single" w:sz="4" w:space="0" w:color="000000" w:themeColor="text1"/>
              <w:right w:val="single" w:sz="4" w:space="0" w:color="000000" w:themeColor="text1"/>
            </w:tcBorders>
            <w:shd w:val="clear" w:color="auto" w:fill="C6EFCE"/>
            <w:noWrap/>
          </w:tcPr>
          <w:p w14:paraId="62C178BE"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1134" w:type="dxa"/>
            <w:tcBorders>
              <w:top w:val="nil"/>
              <w:left w:val="nil"/>
              <w:bottom w:val="single" w:sz="4" w:space="0" w:color="000000" w:themeColor="text1"/>
              <w:right w:val="single" w:sz="4" w:space="0" w:color="000000" w:themeColor="text1"/>
            </w:tcBorders>
            <w:shd w:val="clear" w:color="auto" w:fill="C6EFCE"/>
            <w:noWrap/>
          </w:tcPr>
          <w:p w14:paraId="33420EFB"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850" w:type="dxa"/>
            <w:tcBorders>
              <w:top w:val="nil"/>
              <w:left w:val="nil"/>
              <w:bottom w:val="single" w:sz="4" w:space="0" w:color="000000" w:themeColor="text1"/>
              <w:right w:val="single" w:sz="4" w:space="0" w:color="000000" w:themeColor="text1"/>
            </w:tcBorders>
            <w:shd w:val="clear" w:color="auto" w:fill="C6EFCE"/>
            <w:noWrap/>
          </w:tcPr>
          <w:p w14:paraId="084573A0"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T1</w:t>
            </w:r>
          </w:p>
        </w:tc>
        <w:tc>
          <w:tcPr>
            <w:tcW w:w="744" w:type="dxa"/>
            <w:tcBorders>
              <w:top w:val="nil"/>
              <w:left w:val="nil"/>
              <w:bottom w:val="single" w:sz="4" w:space="0" w:color="000000" w:themeColor="text1"/>
              <w:right w:val="single" w:sz="4" w:space="0" w:color="000000" w:themeColor="text1"/>
            </w:tcBorders>
            <w:shd w:val="clear" w:color="auto" w:fill="C6EFCE"/>
            <w:noWrap/>
          </w:tcPr>
          <w:p w14:paraId="6B717CB1"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2024</w:t>
            </w:r>
          </w:p>
        </w:tc>
        <w:tc>
          <w:tcPr>
            <w:tcW w:w="4359" w:type="dxa"/>
            <w:tcBorders>
              <w:top w:val="nil"/>
              <w:left w:val="nil"/>
              <w:bottom w:val="single" w:sz="4" w:space="0" w:color="000000" w:themeColor="text1"/>
              <w:right w:val="single" w:sz="4" w:space="0" w:color="000000" w:themeColor="text1"/>
            </w:tcBorders>
            <w:shd w:val="clear" w:color="auto" w:fill="C6EFCE"/>
          </w:tcPr>
          <w:p w14:paraId="7BC97BA6" w14:textId="77777777" w:rsidR="00A17CA8" w:rsidRPr="0051384F" w:rsidRDefault="00A17CA8" w:rsidP="00576E40">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С измененията на Закона за електронното управление се въвежда задължение за всички органи на изпълнителната власт да съхраняват, поддържат и актуализират регистрите в електронна форма, в структуриран формат с достатъчни гаранции за поддържане на неотменими регистри за достъп и одитни следи.</w:t>
            </w:r>
          </w:p>
          <w:p w14:paraId="7B997820" w14:textId="77777777" w:rsidR="00A17CA8" w:rsidRPr="0051384F" w:rsidRDefault="00A17CA8" w:rsidP="00576E40">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С измененията на Закона за гражданската регистрация се въвежда задължение за публичните органи да удостоверяват обстоятелствата, свързани с раждане, брак и смърт, чрез Националния електронен регистър на актовете за гражданско състояние. С тя също така се забранява на административните органи да изискват от гражданите данни или документи, свързани с гражданското състояние (относно раждане, брак и смърт).</w:t>
            </w:r>
          </w:p>
        </w:tc>
      </w:tr>
      <w:tr w:rsidR="007F2B35" w:rsidRPr="005241FC" w14:paraId="34258CA5" w14:textId="77777777" w:rsidTr="00A80AF7">
        <w:trPr>
          <w:trHeight w:val="1755"/>
          <w:jc w:val="right"/>
        </w:trPr>
        <w:tc>
          <w:tcPr>
            <w:tcW w:w="710" w:type="dxa"/>
            <w:tcBorders>
              <w:top w:val="nil"/>
              <w:left w:val="single" w:sz="4" w:space="0" w:color="000000" w:themeColor="text1"/>
              <w:bottom w:val="single" w:sz="4" w:space="0" w:color="000000" w:themeColor="text1"/>
              <w:right w:val="single" w:sz="4" w:space="0" w:color="000000" w:themeColor="text1"/>
            </w:tcBorders>
            <w:shd w:val="clear" w:color="auto" w:fill="C6EFCE"/>
            <w:noWrap/>
          </w:tcPr>
          <w:p w14:paraId="76890600" w14:textId="48E6789A" w:rsidR="00A17CA8" w:rsidRPr="0051384F" w:rsidRDefault="002B7436"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234</w:t>
            </w:r>
          </w:p>
        </w:tc>
        <w:tc>
          <w:tcPr>
            <w:tcW w:w="1286" w:type="dxa"/>
            <w:tcBorders>
              <w:top w:val="nil"/>
              <w:left w:val="nil"/>
              <w:bottom w:val="single" w:sz="4" w:space="0" w:color="000000" w:themeColor="text1"/>
              <w:right w:val="single" w:sz="4" w:space="0" w:color="000000" w:themeColor="text1"/>
            </w:tcBorders>
            <w:shd w:val="clear" w:color="auto" w:fill="C6EFCE"/>
            <w:noWrap/>
          </w:tcPr>
          <w:p w14:paraId="01B823A4" w14:textId="7FB1CDC4" w:rsidR="00A17CA8" w:rsidRPr="0051384F" w:rsidRDefault="00772A3B"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К10.Р7: Подобряване на рамката за управление на държавните предприятия</w:t>
            </w:r>
          </w:p>
        </w:tc>
        <w:tc>
          <w:tcPr>
            <w:tcW w:w="1085" w:type="dxa"/>
            <w:tcBorders>
              <w:top w:val="nil"/>
              <w:left w:val="nil"/>
              <w:bottom w:val="single" w:sz="4" w:space="0" w:color="000000" w:themeColor="text1"/>
              <w:right w:val="single" w:sz="4" w:space="0" w:color="000000" w:themeColor="text1"/>
            </w:tcBorders>
            <w:shd w:val="clear" w:color="auto" w:fill="C6EFCE"/>
            <w:noWrap/>
          </w:tcPr>
          <w:p w14:paraId="103C04F3"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734" w:type="dxa"/>
            <w:tcBorders>
              <w:top w:val="nil"/>
              <w:left w:val="nil"/>
              <w:bottom w:val="single" w:sz="4" w:space="0" w:color="000000" w:themeColor="text1"/>
              <w:right w:val="single" w:sz="4" w:space="0" w:color="000000" w:themeColor="text1"/>
            </w:tcBorders>
            <w:shd w:val="clear" w:color="auto" w:fill="C6EFCE"/>
            <w:noWrap/>
          </w:tcPr>
          <w:p w14:paraId="6996A4DC"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Приемане на политиката за държавната собственост</w:t>
            </w:r>
          </w:p>
        </w:tc>
        <w:tc>
          <w:tcPr>
            <w:tcW w:w="1417" w:type="dxa"/>
            <w:tcBorders>
              <w:top w:val="nil"/>
              <w:left w:val="nil"/>
              <w:bottom w:val="single" w:sz="4" w:space="0" w:color="000000" w:themeColor="text1"/>
              <w:right w:val="single" w:sz="4" w:space="0" w:color="000000" w:themeColor="text1"/>
            </w:tcBorders>
            <w:shd w:val="clear" w:color="auto" w:fill="C6EFCE"/>
            <w:noWrap/>
          </w:tcPr>
          <w:p w14:paraId="533F80CF"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Приет от Министерския съвет документ за установяване на политика за държавната собственост</w:t>
            </w:r>
          </w:p>
        </w:tc>
        <w:tc>
          <w:tcPr>
            <w:tcW w:w="993" w:type="dxa"/>
            <w:tcBorders>
              <w:top w:val="nil"/>
              <w:left w:val="nil"/>
              <w:bottom w:val="single" w:sz="4" w:space="0" w:color="000000" w:themeColor="text1"/>
              <w:right w:val="single" w:sz="4" w:space="0" w:color="000000" w:themeColor="text1"/>
            </w:tcBorders>
            <w:shd w:val="clear" w:color="auto" w:fill="C6EFCE"/>
            <w:noWrap/>
          </w:tcPr>
          <w:p w14:paraId="463D6CD3"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1134" w:type="dxa"/>
            <w:tcBorders>
              <w:top w:val="nil"/>
              <w:left w:val="nil"/>
              <w:bottom w:val="single" w:sz="4" w:space="0" w:color="000000" w:themeColor="text1"/>
              <w:right w:val="single" w:sz="4" w:space="0" w:color="000000" w:themeColor="text1"/>
            </w:tcBorders>
            <w:shd w:val="clear" w:color="auto" w:fill="C6EFCE"/>
            <w:noWrap/>
          </w:tcPr>
          <w:p w14:paraId="3D84BC82"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1134" w:type="dxa"/>
            <w:tcBorders>
              <w:top w:val="nil"/>
              <w:left w:val="nil"/>
              <w:bottom w:val="single" w:sz="4" w:space="0" w:color="000000" w:themeColor="text1"/>
              <w:right w:val="single" w:sz="4" w:space="0" w:color="000000" w:themeColor="text1"/>
            </w:tcBorders>
            <w:shd w:val="clear" w:color="auto" w:fill="C6EFCE"/>
            <w:noWrap/>
          </w:tcPr>
          <w:p w14:paraId="2840A99C"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850" w:type="dxa"/>
            <w:tcBorders>
              <w:top w:val="nil"/>
              <w:left w:val="nil"/>
              <w:bottom w:val="single" w:sz="4" w:space="0" w:color="000000" w:themeColor="text1"/>
              <w:right w:val="single" w:sz="4" w:space="0" w:color="000000" w:themeColor="text1"/>
            </w:tcBorders>
            <w:shd w:val="clear" w:color="auto" w:fill="C6EFCE"/>
            <w:noWrap/>
          </w:tcPr>
          <w:p w14:paraId="53B78C1B"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T3</w:t>
            </w:r>
          </w:p>
        </w:tc>
        <w:tc>
          <w:tcPr>
            <w:tcW w:w="744" w:type="dxa"/>
            <w:tcBorders>
              <w:top w:val="nil"/>
              <w:left w:val="nil"/>
              <w:bottom w:val="single" w:sz="4" w:space="0" w:color="000000" w:themeColor="text1"/>
              <w:right w:val="single" w:sz="4" w:space="0" w:color="000000" w:themeColor="text1"/>
            </w:tcBorders>
            <w:shd w:val="clear" w:color="auto" w:fill="C6EFCE"/>
            <w:noWrap/>
          </w:tcPr>
          <w:p w14:paraId="4386B7C2"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2022</w:t>
            </w:r>
          </w:p>
        </w:tc>
        <w:tc>
          <w:tcPr>
            <w:tcW w:w="4359" w:type="dxa"/>
            <w:tcBorders>
              <w:top w:val="nil"/>
              <w:left w:val="nil"/>
              <w:bottom w:val="single" w:sz="4" w:space="0" w:color="000000" w:themeColor="text1"/>
              <w:right w:val="single" w:sz="4" w:space="0" w:color="000000" w:themeColor="text1"/>
            </w:tcBorders>
            <w:shd w:val="clear" w:color="auto" w:fill="C6EFCE"/>
          </w:tcPr>
          <w:p w14:paraId="2244600D"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Политиката за държавната собственост се разработва от Агенцията за публичните предприятия и контрол и се приема от Министерския съвет. Тя съдържа обосновката и целите за участието на държавата в държавни предприятия (ДП), както и ролята на държавата в управлението на ДП и в изпълнението на политиката;</w:t>
            </w:r>
          </w:p>
        </w:tc>
      </w:tr>
      <w:tr w:rsidR="007F2B35" w:rsidRPr="005241FC" w14:paraId="5E8272CE" w14:textId="77777777" w:rsidTr="00A80AF7">
        <w:trPr>
          <w:trHeight w:val="1755"/>
          <w:jc w:val="right"/>
        </w:trPr>
        <w:tc>
          <w:tcPr>
            <w:tcW w:w="710" w:type="dxa"/>
            <w:tcBorders>
              <w:top w:val="nil"/>
              <w:left w:val="single" w:sz="4" w:space="0" w:color="000000" w:themeColor="text1"/>
              <w:bottom w:val="single" w:sz="4" w:space="0" w:color="000000" w:themeColor="text1"/>
              <w:right w:val="single" w:sz="4" w:space="0" w:color="000000" w:themeColor="text1"/>
            </w:tcBorders>
            <w:shd w:val="clear" w:color="auto" w:fill="C6EFCE"/>
            <w:noWrap/>
          </w:tcPr>
          <w:p w14:paraId="1F915914" w14:textId="39C73965"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235</w:t>
            </w:r>
          </w:p>
          <w:p w14:paraId="26132484"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lang w:eastAsia="en-GB"/>
              </w:rPr>
            </w:pPr>
          </w:p>
        </w:tc>
        <w:tc>
          <w:tcPr>
            <w:tcW w:w="1286" w:type="dxa"/>
            <w:tcBorders>
              <w:top w:val="nil"/>
              <w:left w:val="nil"/>
              <w:bottom w:val="single" w:sz="4" w:space="0" w:color="000000" w:themeColor="text1"/>
              <w:right w:val="single" w:sz="4" w:space="0" w:color="000000" w:themeColor="text1"/>
            </w:tcBorders>
            <w:shd w:val="clear" w:color="auto" w:fill="C6EFCE"/>
            <w:noWrap/>
          </w:tcPr>
          <w:p w14:paraId="476CA409" w14:textId="19FDC851" w:rsidR="00A17CA8" w:rsidRPr="0051384F" w:rsidRDefault="00772A3B"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К10.Р7: Подобряване на рамката за управление на държавните предприятия</w:t>
            </w:r>
          </w:p>
        </w:tc>
        <w:tc>
          <w:tcPr>
            <w:tcW w:w="1085" w:type="dxa"/>
            <w:tcBorders>
              <w:top w:val="nil"/>
              <w:left w:val="nil"/>
              <w:bottom w:val="single" w:sz="4" w:space="0" w:color="000000" w:themeColor="text1"/>
              <w:right w:val="single" w:sz="4" w:space="0" w:color="000000" w:themeColor="text1"/>
            </w:tcBorders>
            <w:shd w:val="clear" w:color="auto" w:fill="C6EFCE"/>
            <w:noWrap/>
          </w:tcPr>
          <w:p w14:paraId="2DDDBD12"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734" w:type="dxa"/>
            <w:tcBorders>
              <w:top w:val="nil"/>
              <w:left w:val="nil"/>
              <w:bottom w:val="single" w:sz="4" w:space="0" w:color="000000" w:themeColor="text1"/>
              <w:right w:val="single" w:sz="4" w:space="0" w:color="000000" w:themeColor="text1"/>
            </w:tcBorders>
            <w:shd w:val="clear" w:color="auto" w:fill="C6EFCE"/>
            <w:noWrap/>
          </w:tcPr>
          <w:p w14:paraId="2EAB202D" w14:textId="34EE017A"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Приемане на ежегодния обобщен доклад за резултатите на държавните предприятия</w:t>
            </w:r>
          </w:p>
        </w:tc>
        <w:tc>
          <w:tcPr>
            <w:tcW w:w="1417" w:type="dxa"/>
            <w:tcBorders>
              <w:top w:val="nil"/>
              <w:left w:val="nil"/>
              <w:bottom w:val="single" w:sz="4" w:space="0" w:color="000000" w:themeColor="text1"/>
              <w:right w:val="single" w:sz="4" w:space="0" w:color="000000" w:themeColor="text1"/>
            </w:tcBorders>
            <w:shd w:val="clear" w:color="auto" w:fill="C6EFCE"/>
            <w:noWrap/>
          </w:tcPr>
          <w:p w14:paraId="75FE2082"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Приети от Министерския съвет годишни обобщаващи отчети за дейността на държавните предприятия за 2020 г. и 2021 г.</w:t>
            </w:r>
          </w:p>
        </w:tc>
        <w:tc>
          <w:tcPr>
            <w:tcW w:w="993" w:type="dxa"/>
            <w:tcBorders>
              <w:top w:val="nil"/>
              <w:left w:val="nil"/>
              <w:bottom w:val="single" w:sz="4" w:space="0" w:color="000000" w:themeColor="text1"/>
              <w:right w:val="single" w:sz="4" w:space="0" w:color="000000" w:themeColor="text1"/>
            </w:tcBorders>
            <w:shd w:val="clear" w:color="auto" w:fill="C6EFCE"/>
            <w:noWrap/>
          </w:tcPr>
          <w:p w14:paraId="313203FA"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1134" w:type="dxa"/>
            <w:tcBorders>
              <w:top w:val="nil"/>
              <w:left w:val="nil"/>
              <w:bottom w:val="single" w:sz="4" w:space="0" w:color="000000" w:themeColor="text1"/>
              <w:right w:val="single" w:sz="4" w:space="0" w:color="000000" w:themeColor="text1"/>
            </w:tcBorders>
            <w:shd w:val="clear" w:color="auto" w:fill="C6EFCE"/>
            <w:noWrap/>
          </w:tcPr>
          <w:p w14:paraId="66CF6542"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1134" w:type="dxa"/>
            <w:tcBorders>
              <w:top w:val="nil"/>
              <w:left w:val="nil"/>
              <w:bottom w:val="single" w:sz="4" w:space="0" w:color="000000" w:themeColor="text1"/>
              <w:right w:val="single" w:sz="4" w:space="0" w:color="000000" w:themeColor="text1"/>
            </w:tcBorders>
            <w:shd w:val="clear" w:color="auto" w:fill="C6EFCE"/>
            <w:noWrap/>
          </w:tcPr>
          <w:p w14:paraId="3D6C9435"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850" w:type="dxa"/>
            <w:tcBorders>
              <w:top w:val="nil"/>
              <w:left w:val="nil"/>
              <w:bottom w:val="single" w:sz="4" w:space="0" w:color="000000" w:themeColor="text1"/>
              <w:right w:val="single" w:sz="4" w:space="0" w:color="000000" w:themeColor="text1"/>
            </w:tcBorders>
            <w:shd w:val="clear" w:color="auto" w:fill="C6EFCE"/>
            <w:noWrap/>
          </w:tcPr>
          <w:p w14:paraId="097E7911"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T4</w:t>
            </w:r>
          </w:p>
        </w:tc>
        <w:tc>
          <w:tcPr>
            <w:tcW w:w="744" w:type="dxa"/>
            <w:tcBorders>
              <w:top w:val="nil"/>
              <w:left w:val="nil"/>
              <w:bottom w:val="single" w:sz="4" w:space="0" w:color="000000" w:themeColor="text1"/>
              <w:right w:val="single" w:sz="4" w:space="0" w:color="000000" w:themeColor="text1"/>
            </w:tcBorders>
            <w:shd w:val="clear" w:color="auto" w:fill="C6EFCE"/>
            <w:noWrap/>
          </w:tcPr>
          <w:p w14:paraId="53F74369"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2022</w:t>
            </w:r>
          </w:p>
        </w:tc>
        <w:tc>
          <w:tcPr>
            <w:tcW w:w="4359" w:type="dxa"/>
            <w:tcBorders>
              <w:top w:val="nil"/>
              <w:left w:val="nil"/>
              <w:bottom w:val="single" w:sz="4" w:space="0" w:color="000000" w:themeColor="text1"/>
              <w:right w:val="single" w:sz="4" w:space="0" w:color="000000" w:themeColor="text1"/>
            </w:tcBorders>
            <w:shd w:val="clear" w:color="auto" w:fill="C6EFCE"/>
          </w:tcPr>
          <w:p w14:paraId="4FE202DD" w14:textId="13FF9962"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Годишните обобщени отчети за дейността на държавните предприятия се приемат от Министерския съвет. </w:t>
            </w:r>
          </w:p>
          <w:p w14:paraId="2C94AB75"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В обобщените отчети се прави преглед на резултатите от дейността на държавните предприятия, в т.ч. на тези, създадени със специални закони , и се анализират резултатите на държавните предприятия по сектори и индивидуалните резултати на всички държавни предприятия, категоризирани като „големи“ в съответствие със Закона за публичните предприятия. В обобщените отчети се оценява и спазването от страна на държавните предприятия на приложимите стандарти за корпоративно управление и оповестяване на информация. </w:t>
            </w:r>
          </w:p>
        </w:tc>
      </w:tr>
      <w:tr w:rsidR="007F2B35" w:rsidRPr="005241FC" w14:paraId="0024C400" w14:textId="77777777" w:rsidTr="00A80AF7">
        <w:trPr>
          <w:trHeight w:val="1755"/>
          <w:jc w:val="right"/>
        </w:trPr>
        <w:tc>
          <w:tcPr>
            <w:tcW w:w="710" w:type="dxa"/>
            <w:tcBorders>
              <w:top w:val="nil"/>
              <w:left w:val="single" w:sz="4" w:space="0" w:color="000000" w:themeColor="text1"/>
              <w:bottom w:val="single" w:sz="4" w:space="0" w:color="000000" w:themeColor="text1"/>
              <w:right w:val="single" w:sz="4" w:space="0" w:color="000000" w:themeColor="text1"/>
            </w:tcBorders>
            <w:shd w:val="clear" w:color="auto" w:fill="C6EFCE"/>
            <w:noWrap/>
          </w:tcPr>
          <w:p w14:paraId="4D7B37BB" w14:textId="63D4A788" w:rsidR="00A17CA8" w:rsidRPr="0051384F" w:rsidRDefault="002B7436"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236</w:t>
            </w:r>
          </w:p>
        </w:tc>
        <w:tc>
          <w:tcPr>
            <w:tcW w:w="1286" w:type="dxa"/>
            <w:tcBorders>
              <w:top w:val="nil"/>
              <w:left w:val="nil"/>
              <w:bottom w:val="single" w:sz="4" w:space="0" w:color="000000" w:themeColor="text1"/>
              <w:right w:val="single" w:sz="4" w:space="0" w:color="000000" w:themeColor="text1"/>
            </w:tcBorders>
            <w:shd w:val="clear" w:color="auto" w:fill="C6EFCE"/>
            <w:noWrap/>
          </w:tcPr>
          <w:p w14:paraId="0B15D42F" w14:textId="5E198EDF" w:rsidR="00A17CA8" w:rsidRPr="0051384F" w:rsidRDefault="00772A3B"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К10.Р7: Подобряване на рамката за управление на държавните предприятия</w:t>
            </w:r>
          </w:p>
        </w:tc>
        <w:tc>
          <w:tcPr>
            <w:tcW w:w="1085" w:type="dxa"/>
            <w:tcBorders>
              <w:top w:val="nil"/>
              <w:left w:val="nil"/>
              <w:bottom w:val="single" w:sz="4" w:space="0" w:color="000000" w:themeColor="text1"/>
              <w:right w:val="single" w:sz="4" w:space="0" w:color="000000" w:themeColor="text1"/>
            </w:tcBorders>
            <w:shd w:val="clear" w:color="auto" w:fill="C6EFCE"/>
            <w:noWrap/>
          </w:tcPr>
          <w:p w14:paraId="5F79BAFB"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734" w:type="dxa"/>
            <w:tcBorders>
              <w:top w:val="nil"/>
              <w:left w:val="nil"/>
              <w:bottom w:val="single" w:sz="4" w:space="0" w:color="000000" w:themeColor="text1"/>
              <w:right w:val="single" w:sz="4" w:space="0" w:color="000000" w:themeColor="text1"/>
            </w:tcBorders>
            <w:shd w:val="clear" w:color="auto" w:fill="C6EFCE"/>
            <w:noWrap/>
          </w:tcPr>
          <w:p w14:paraId="5C0719F4"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Приемане на програма за преобразуване на държавните предприятия, създадени със специални</w:t>
            </w:r>
          </w:p>
        </w:tc>
        <w:tc>
          <w:tcPr>
            <w:tcW w:w="1417" w:type="dxa"/>
            <w:tcBorders>
              <w:top w:val="nil"/>
              <w:left w:val="nil"/>
              <w:bottom w:val="single" w:sz="4" w:space="0" w:color="000000" w:themeColor="text1"/>
              <w:right w:val="single" w:sz="4" w:space="0" w:color="000000" w:themeColor="text1"/>
            </w:tcBorders>
            <w:shd w:val="clear" w:color="auto" w:fill="C6EFCE"/>
            <w:noWrap/>
          </w:tcPr>
          <w:p w14:paraId="177B9FA0"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Програма за преобразуване, приета от Министерския съвет</w:t>
            </w:r>
          </w:p>
        </w:tc>
        <w:tc>
          <w:tcPr>
            <w:tcW w:w="993" w:type="dxa"/>
            <w:tcBorders>
              <w:top w:val="nil"/>
              <w:left w:val="nil"/>
              <w:bottom w:val="single" w:sz="4" w:space="0" w:color="000000" w:themeColor="text1"/>
              <w:right w:val="single" w:sz="4" w:space="0" w:color="000000" w:themeColor="text1"/>
            </w:tcBorders>
            <w:shd w:val="clear" w:color="auto" w:fill="C6EFCE"/>
            <w:noWrap/>
          </w:tcPr>
          <w:p w14:paraId="7CA78BDF"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1134" w:type="dxa"/>
            <w:tcBorders>
              <w:top w:val="nil"/>
              <w:left w:val="nil"/>
              <w:bottom w:val="single" w:sz="4" w:space="0" w:color="000000" w:themeColor="text1"/>
              <w:right w:val="single" w:sz="4" w:space="0" w:color="000000" w:themeColor="text1"/>
            </w:tcBorders>
            <w:shd w:val="clear" w:color="auto" w:fill="C6EFCE"/>
            <w:noWrap/>
          </w:tcPr>
          <w:p w14:paraId="42ADE68B"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1134" w:type="dxa"/>
            <w:tcBorders>
              <w:top w:val="nil"/>
              <w:left w:val="nil"/>
              <w:bottom w:val="single" w:sz="4" w:space="0" w:color="000000" w:themeColor="text1"/>
              <w:right w:val="single" w:sz="4" w:space="0" w:color="000000" w:themeColor="text1"/>
            </w:tcBorders>
            <w:shd w:val="clear" w:color="auto" w:fill="C6EFCE"/>
            <w:noWrap/>
          </w:tcPr>
          <w:p w14:paraId="24723824"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850" w:type="dxa"/>
            <w:tcBorders>
              <w:top w:val="nil"/>
              <w:left w:val="nil"/>
              <w:bottom w:val="single" w:sz="4" w:space="0" w:color="000000" w:themeColor="text1"/>
              <w:right w:val="single" w:sz="4" w:space="0" w:color="000000" w:themeColor="text1"/>
            </w:tcBorders>
            <w:shd w:val="clear" w:color="auto" w:fill="C6EFCE"/>
            <w:noWrap/>
          </w:tcPr>
          <w:p w14:paraId="4CE08828"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T1</w:t>
            </w:r>
          </w:p>
        </w:tc>
        <w:tc>
          <w:tcPr>
            <w:tcW w:w="744" w:type="dxa"/>
            <w:tcBorders>
              <w:top w:val="nil"/>
              <w:left w:val="nil"/>
              <w:bottom w:val="single" w:sz="4" w:space="0" w:color="000000" w:themeColor="text1"/>
              <w:right w:val="single" w:sz="4" w:space="0" w:color="000000" w:themeColor="text1"/>
            </w:tcBorders>
            <w:shd w:val="clear" w:color="auto" w:fill="C6EFCE"/>
            <w:noWrap/>
          </w:tcPr>
          <w:p w14:paraId="5CD44085"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2023</w:t>
            </w:r>
          </w:p>
        </w:tc>
        <w:tc>
          <w:tcPr>
            <w:tcW w:w="4359" w:type="dxa"/>
            <w:tcBorders>
              <w:top w:val="nil"/>
              <w:left w:val="nil"/>
              <w:bottom w:val="single" w:sz="4" w:space="0" w:color="000000" w:themeColor="text1"/>
              <w:right w:val="single" w:sz="4" w:space="0" w:color="000000" w:themeColor="text1"/>
            </w:tcBorders>
            <w:shd w:val="clear" w:color="auto" w:fill="C6EFCE"/>
          </w:tcPr>
          <w:p w14:paraId="55BC0DED" w14:textId="3EB8EC62" w:rsidR="00A17CA8" w:rsidRPr="0051384F" w:rsidRDefault="00A17CA8" w:rsidP="00576E40">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Министерският съвет приема програма за преобразуване на държавните предприятия, създадени със специални закони, в съответствие с параграф 2(2) от преходните и заключителни разпоредби на Закона за публичните предприятия от 8 октомври 2019 г. Програмата за преобразуване се основава на анализ на естеството на дейностите на създадените със специални закони държавни предприятия — предимно търговски или публични функции, като предвижда: </w:t>
            </w:r>
          </w:p>
          <w:p w14:paraId="2A6F0E3F" w14:textId="5D56F970" w:rsidR="00A17CA8" w:rsidRPr="0051384F" w:rsidRDefault="00A17CA8" w:rsidP="00576E40">
            <w:pPr>
              <w:pStyle w:val="ListParagraph"/>
              <w:numPr>
                <w:ilvl w:val="0"/>
                <w:numId w:val="90"/>
              </w:numPr>
              <w:spacing w:after="0" w:line="240" w:lineRule="auto"/>
              <w:ind w:left="318"/>
              <w:rPr>
                <w:rFonts w:ascii="Times New Roman" w:eastAsia="Times New Roman" w:hAnsi="Times New Roman" w:cs="Times New Roman"/>
                <w:noProof/>
                <w:color w:val="006100"/>
                <w:sz w:val="20"/>
                <w:szCs w:val="20"/>
              </w:rPr>
            </w:pPr>
            <w:r>
              <w:rPr>
                <w:rFonts w:ascii="Times New Roman" w:hAnsi="Times New Roman"/>
                <w:noProof/>
                <w:color w:val="006100"/>
                <w:sz w:val="20"/>
              </w:rPr>
              <w:t>преобразуване на създадените със специални закони държавни предприятия, които извършват предимно търговска дейност, в търговски дружества, и</w:t>
            </w:r>
          </w:p>
          <w:p w14:paraId="018255DE" w14:textId="05D2C59C" w:rsidR="00A17CA8" w:rsidRPr="0051384F" w:rsidRDefault="00A17CA8" w:rsidP="00576E40">
            <w:pPr>
              <w:pStyle w:val="ListParagraph"/>
              <w:numPr>
                <w:ilvl w:val="0"/>
                <w:numId w:val="90"/>
              </w:numPr>
              <w:spacing w:after="0" w:line="240" w:lineRule="auto"/>
              <w:ind w:left="318"/>
              <w:rPr>
                <w:rFonts w:ascii="Times New Roman" w:eastAsia="Times New Roman" w:hAnsi="Times New Roman" w:cs="Times New Roman"/>
                <w:noProof/>
                <w:color w:val="006100"/>
                <w:sz w:val="20"/>
                <w:szCs w:val="20"/>
              </w:rPr>
            </w:pPr>
            <w:r>
              <w:rPr>
                <w:rFonts w:ascii="Times New Roman" w:hAnsi="Times New Roman"/>
                <w:noProof/>
                <w:color w:val="006100"/>
                <w:sz w:val="20"/>
              </w:rPr>
              <w:t>реорганизация на създадените със специални закони държавни предприятия с предимно публични функции в административни структури или включването им в консолидираната фискална програма, освен ако не е абсолютно необходим различен статут за постигане на целите на тяхната публична политика в съответствие с Насоките на ОИСР за корпоративно управление на държавните предприятия.</w:t>
            </w:r>
          </w:p>
        </w:tc>
      </w:tr>
      <w:tr w:rsidR="007F2B35" w:rsidRPr="005241FC" w14:paraId="5F2D7EE1" w14:textId="77777777" w:rsidTr="00A80AF7">
        <w:trPr>
          <w:trHeight w:val="1755"/>
          <w:jc w:val="right"/>
        </w:trPr>
        <w:tc>
          <w:tcPr>
            <w:tcW w:w="710" w:type="dxa"/>
            <w:tcBorders>
              <w:top w:val="nil"/>
              <w:left w:val="single" w:sz="4" w:space="0" w:color="000000" w:themeColor="text1"/>
              <w:bottom w:val="single" w:sz="4" w:space="0" w:color="000000" w:themeColor="text1"/>
              <w:right w:val="single" w:sz="4" w:space="0" w:color="000000" w:themeColor="text1"/>
            </w:tcBorders>
            <w:shd w:val="clear" w:color="auto" w:fill="C6EFCE"/>
            <w:noWrap/>
          </w:tcPr>
          <w:p w14:paraId="1D7FD6C5" w14:textId="37EB1FB4" w:rsidR="00A17CA8" w:rsidRPr="0051384F" w:rsidRDefault="002B7436"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237</w:t>
            </w:r>
          </w:p>
        </w:tc>
        <w:tc>
          <w:tcPr>
            <w:tcW w:w="1286" w:type="dxa"/>
            <w:tcBorders>
              <w:top w:val="nil"/>
              <w:left w:val="nil"/>
              <w:bottom w:val="single" w:sz="4" w:space="0" w:color="000000" w:themeColor="text1"/>
              <w:right w:val="single" w:sz="4" w:space="0" w:color="000000" w:themeColor="text1"/>
            </w:tcBorders>
            <w:shd w:val="clear" w:color="auto" w:fill="C6EFCE"/>
            <w:noWrap/>
          </w:tcPr>
          <w:p w14:paraId="4C5F0D55" w14:textId="04A2D1E3" w:rsidR="00A17CA8" w:rsidRPr="0051384F" w:rsidRDefault="00772A3B"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К10.Р7: Подобряване на рамката за управление на държавните предприятия</w:t>
            </w:r>
          </w:p>
        </w:tc>
        <w:tc>
          <w:tcPr>
            <w:tcW w:w="1085" w:type="dxa"/>
            <w:tcBorders>
              <w:top w:val="nil"/>
              <w:left w:val="nil"/>
              <w:bottom w:val="single" w:sz="4" w:space="0" w:color="000000" w:themeColor="text1"/>
              <w:right w:val="single" w:sz="4" w:space="0" w:color="000000" w:themeColor="text1"/>
            </w:tcBorders>
            <w:shd w:val="clear" w:color="auto" w:fill="C6EFCE"/>
            <w:noWrap/>
          </w:tcPr>
          <w:p w14:paraId="758F4813"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734" w:type="dxa"/>
            <w:tcBorders>
              <w:top w:val="nil"/>
              <w:left w:val="nil"/>
              <w:bottom w:val="single" w:sz="4" w:space="0" w:color="000000" w:themeColor="text1"/>
              <w:right w:val="single" w:sz="4" w:space="0" w:color="000000" w:themeColor="text1"/>
            </w:tcBorders>
            <w:shd w:val="clear" w:color="auto" w:fill="C6EFCE"/>
            <w:noWrap/>
          </w:tcPr>
          <w:p w14:paraId="14CCE4B6"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highlight w:val="yellow"/>
              </w:rPr>
            </w:pPr>
            <w:r>
              <w:rPr>
                <w:rFonts w:ascii="Times New Roman" w:hAnsi="Times New Roman"/>
                <w:noProof/>
                <w:color w:val="006100"/>
                <w:sz w:val="20"/>
              </w:rPr>
              <w:t>Съответствие на състава на управителните съвети на големите държавни предприятия с процедурите за подбор, определени в Закона за публичните предприятия</w:t>
            </w:r>
          </w:p>
        </w:tc>
        <w:tc>
          <w:tcPr>
            <w:tcW w:w="1417" w:type="dxa"/>
            <w:tcBorders>
              <w:top w:val="nil"/>
              <w:left w:val="nil"/>
              <w:bottom w:val="single" w:sz="4" w:space="0" w:color="000000" w:themeColor="text1"/>
              <w:right w:val="single" w:sz="4" w:space="0" w:color="000000" w:themeColor="text1"/>
            </w:tcBorders>
            <w:shd w:val="clear" w:color="auto" w:fill="C6EFCE"/>
            <w:noWrap/>
          </w:tcPr>
          <w:p w14:paraId="136ECB7F"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Доклад, приет от Агенцията за публичните предприятия и контрол, в който се оценява и потвърждава, че управителните съвети отговарят на изискванията на Закона за публичните предприятия</w:t>
            </w:r>
          </w:p>
        </w:tc>
        <w:tc>
          <w:tcPr>
            <w:tcW w:w="993" w:type="dxa"/>
            <w:tcBorders>
              <w:top w:val="nil"/>
              <w:left w:val="nil"/>
              <w:bottom w:val="single" w:sz="4" w:space="0" w:color="000000" w:themeColor="text1"/>
              <w:right w:val="single" w:sz="4" w:space="0" w:color="000000" w:themeColor="text1"/>
            </w:tcBorders>
            <w:shd w:val="clear" w:color="auto" w:fill="C6EFCE"/>
            <w:noWrap/>
          </w:tcPr>
          <w:p w14:paraId="1C819584"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1134" w:type="dxa"/>
            <w:tcBorders>
              <w:top w:val="nil"/>
              <w:left w:val="nil"/>
              <w:bottom w:val="single" w:sz="4" w:space="0" w:color="000000" w:themeColor="text1"/>
              <w:right w:val="single" w:sz="4" w:space="0" w:color="000000" w:themeColor="text1"/>
            </w:tcBorders>
            <w:shd w:val="clear" w:color="auto" w:fill="C6EFCE"/>
            <w:noWrap/>
          </w:tcPr>
          <w:p w14:paraId="32519C48"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1134" w:type="dxa"/>
            <w:tcBorders>
              <w:top w:val="nil"/>
              <w:left w:val="nil"/>
              <w:bottom w:val="single" w:sz="4" w:space="0" w:color="000000" w:themeColor="text1"/>
              <w:right w:val="single" w:sz="4" w:space="0" w:color="000000" w:themeColor="text1"/>
            </w:tcBorders>
            <w:shd w:val="clear" w:color="auto" w:fill="C6EFCE"/>
            <w:noWrap/>
          </w:tcPr>
          <w:p w14:paraId="7FE539E3"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850" w:type="dxa"/>
            <w:tcBorders>
              <w:top w:val="nil"/>
              <w:left w:val="nil"/>
              <w:bottom w:val="single" w:sz="4" w:space="0" w:color="000000" w:themeColor="text1"/>
              <w:right w:val="single" w:sz="4" w:space="0" w:color="000000" w:themeColor="text1"/>
            </w:tcBorders>
            <w:shd w:val="clear" w:color="auto" w:fill="C6EFCE"/>
            <w:noWrap/>
          </w:tcPr>
          <w:p w14:paraId="17EAC176"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T2</w:t>
            </w:r>
          </w:p>
        </w:tc>
        <w:tc>
          <w:tcPr>
            <w:tcW w:w="744" w:type="dxa"/>
            <w:tcBorders>
              <w:top w:val="nil"/>
              <w:left w:val="nil"/>
              <w:bottom w:val="single" w:sz="4" w:space="0" w:color="000000" w:themeColor="text1"/>
              <w:right w:val="single" w:sz="4" w:space="0" w:color="000000" w:themeColor="text1"/>
            </w:tcBorders>
            <w:shd w:val="clear" w:color="auto" w:fill="C6EFCE"/>
            <w:noWrap/>
          </w:tcPr>
          <w:p w14:paraId="240C996C"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2023</w:t>
            </w:r>
          </w:p>
        </w:tc>
        <w:tc>
          <w:tcPr>
            <w:tcW w:w="4359" w:type="dxa"/>
            <w:tcBorders>
              <w:top w:val="nil"/>
              <w:left w:val="nil"/>
              <w:bottom w:val="single" w:sz="4" w:space="0" w:color="000000" w:themeColor="text1"/>
              <w:right w:val="single" w:sz="4" w:space="0" w:color="000000" w:themeColor="text1"/>
            </w:tcBorders>
            <w:shd w:val="clear" w:color="auto" w:fill="C6EFCE"/>
          </w:tcPr>
          <w:p w14:paraId="126677A3" w14:textId="77777777" w:rsidR="00A17CA8" w:rsidRPr="0051384F" w:rsidRDefault="00A17CA8" w:rsidP="00576E40">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Управителните съвети на всички големи ДП спазват изискванията относно процедурите за подбор, предвидени в Закона за публичните предприятия. </w:t>
            </w:r>
          </w:p>
          <w:p w14:paraId="000872EC" w14:textId="77777777" w:rsidR="00A17CA8" w:rsidRPr="0051384F" w:rsidRDefault="00A17CA8" w:rsidP="00576E40">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В доклада се оценява и потвърждава съответствие между състава на управителните и надзорните съвети на големите държавни предприятия и процедурите за подбор, определени в Закона за публичните предприятия. Докладът включва данни за всяко голямо ДП, включително броя и състава на техните съвети, както и ключова информация относно процедурата, с която е назначен всеки независим член и представител на държава. </w:t>
            </w:r>
          </w:p>
        </w:tc>
      </w:tr>
      <w:tr w:rsidR="007F2B35" w:rsidRPr="005241FC" w14:paraId="68307609" w14:textId="77777777" w:rsidTr="00A80AF7">
        <w:trPr>
          <w:trHeight w:val="1755"/>
          <w:jc w:val="right"/>
        </w:trPr>
        <w:tc>
          <w:tcPr>
            <w:tcW w:w="710" w:type="dxa"/>
            <w:tcBorders>
              <w:top w:val="nil"/>
              <w:left w:val="single" w:sz="4" w:space="0" w:color="000000" w:themeColor="text1"/>
              <w:bottom w:val="single" w:sz="4" w:space="0" w:color="000000" w:themeColor="text1"/>
              <w:right w:val="single" w:sz="4" w:space="0" w:color="000000" w:themeColor="text1"/>
            </w:tcBorders>
            <w:shd w:val="clear" w:color="auto" w:fill="C6EFCE"/>
            <w:noWrap/>
          </w:tcPr>
          <w:p w14:paraId="6F6971F3" w14:textId="4C411FA9" w:rsidR="00A17CA8" w:rsidRPr="0051384F" w:rsidRDefault="002B7436"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238</w:t>
            </w:r>
          </w:p>
        </w:tc>
        <w:tc>
          <w:tcPr>
            <w:tcW w:w="1286" w:type="dxa"/>
            <w:tcBorders>
              <w:top w:val="nil"/>
              <w:left w:val="nil"/>
              <w:bottom w:val="single" w:sz="4" w:space="0" w:color="000000" w:themeColor="text1"/>
              <w:right w:val="single" w:sz="4" w:space="0" w:color="000000" w:themeColor="text1"/>
            </w:tcBorders>
            <w:shd w:val="clear" w:color="auto" w:fill="C6EFCE"/>
            <w:noWrap/>
          </w:tcPr>
          <w:p w14:paraId="3B457A8D" w14:textId="65D8DE05" w:rsidR="00A17CA8" w:rsidRPr="0051384F" w:rsidRDefault="00772A3B"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К10.Р8: Подобряване на рамката за борба с изпирането на пари </w:t>
            </w:r>
          </w:p>
        </w:tc>
        <w:tc>
          <w:tcPr>
            <w:tcW w:w="1085" w:type="dxa"/>
            <w:tcBorders>
              <w:top w:val="nil"/>
              <w:left w:val="nil"/>
              <w:bottom w:val="single" w:sz="4" w:space="0" w:color="000000" w:themeColor="text1"/>
              <w:right w:val="single" w:sz="4" w:space="0" w:color="000000" w:themeColor="text1"/>
            </w:tcBorders>
            <w:shd w:val="clear" w:color="auto" w:fill="C6EFCE"/>
            <w:noWrap/>
          </w:tcPr>
          <w:p w14:paraId="737B560D"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734" w:type="dxa"/>
            <w:tcBorders>
              <w:top w:val="nil"/>
              <w:left w:val="nil"/>
              <w:bottom w:val="single" w:sz="4" w:space="0" w:color="000000" w:themeColor="text1"/>
              <w:right w:val="single" w:sz="4" w:space="0" w:color="000000" w:themeColor="text1"/>
            </w:tcBorders>
            <w:shd w:val="clear" w:color="auto" w:fill="C6EFCE"/>
            <w:noWrap/>
          </w:tcPr>
          <w:p w14:paraId="5DA120F7"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highlight w:val="yellow"/>
              </w:rPr>
            </w:pPr>
            <w:r>
              <w:rPr>
                <w:rFonts w:ascii="Times New Roman" w:hAnsi="Times New Roman"/>
                <w:noProof/>
                <w:color w:val="006100"/>
                <w:sz w:val="20"/>
              </w:rPr>
              <w:t>приемане на плана за действие за намаляване на рисковете от изпиране на пари и финансиране на тероризма, установени чрез националната оценка на риска;</w:t>
            </w:r>
          </w:p>
        </w:tc>
        <w:tc>
          <w:tcPr>
            <w:tcW w:w="1417" w:type="dxa"/>
            <w:tcBorders>
              <w:top w:val="nil"/>
              <w:left w:val="nil"/>
              <w:bottom w:val="single" w:sz="4" w:space="0" w:color="000000" w:themeColor="text1"/>
              <w:right w:val="single" w:sz="4" w:space="0" w:color="000000" w:themeColor="text1"/>
            </w:tcBorders>
            <w:shd w:val="clear" w:color="auto" w:fill="C6EFCE"/>
            <w:noWrap/>
          </w:tcPr>
          <w:p w14:paraId="097A8178"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Приет от Министерския съвет план за последващи действия във връзка с националната оценка на риска</w:t>
            </w:r>
          </w:p>
        </w:tc>
        <w:tc>
          <w:tcPr>
            <w:tcW w:w="993" w:type="dxa"/>
            <w:tcBorders>
              <w:top w:val="nil"/>
              <w:left w:val="nil"/>
              <w:bottom w:val="single" w:sz="4" w:space="0" w:color="000000" w:themeColor="text1"/>
              <w:right w:val="single" w:sz="4" w:space="0" w:color="000000" w:themeColor="text1"/>
            </w:tcBorders>
            <w:shd w:val="clear" w:color="auto" w:fill="C6EFCE"/>
            <w:noWrap/>
          </w:tcPr>
          <w:p w14:paraId="3BC594FD"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1134" w:type="dxa"/>
            <w:tcBorders>
              <w:top w:val="nil"/>
              <w:left w:val="nil"/>
              <w:bottom w:val="single" w:sz="4" w:space="0" w:color="000000" w:themeColor="text1"/>
              <w:right w:val="single" w:sz="4" w:space="0" w:color="000000" w:themeColor="text1"/>
            </w:tcBorders>
            <w:shd w:val="clear" w:color="auto" w:fill="C6EFCE"/>
            <w:noWrap/>
          </w:tcPr>
          <w:p w14:paraId="25F170D3"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1134" w:type="dxa"/>
            <w:tcBorders>
              <w:top w:val="nil"/>
              <w:left w:val="nil"/>
              <w:bottom w:val="single" w:sz="4" w:space="0" w:color="000000" w:themeColor="text1"/>
              <w:right w:val="single" w:sz="4" w:space="0" w:color="000000" w:themeColor="text1"/>
            </w:tcBorders>
            <w:shd w:val="clear" w:color="auto" w:fill="C6EFCE"/>
            <w:noWrap/>
          </w:tcPr>
          <w:p w14:paraId="3A8209FF"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850" w:type="dxa"/>
            <w:tcBorders>
              <w:top w:val="nil"/>
              <w:left w:val="nil"/>
              <w:bottom w:val="single" w:sz="4" w:space="0" w:color="000000" w:themeColor="text1"/>
              <w:right w:val="single" w:sz="4" w:space="0" w:color="000000" w:themeColor="text1"/>
            </w:tcBorders>
            <w:shd w:val="clear" w:color="auto" w:fill="C6EFCE"/>
            <w:noWrap/>
          </w:tcPr>
          <w:p w14:paraId="29C65015"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T3</w:t>
            </w:r>
          </w:p>
        </w:tc>
        <w:tc>
          <w:tcPr>
            <w:tcW w:w="744" w:type="dxa"/>
            <w:tcBorders>
              <w:top w:val="nil"/>
              <w:left w:val="nil"/>
              <w:bottom w:val="single" w:sz="4" w:space="0" w:color="000000" w:themeColor="text1"/>
              <w:right w:val="single" w:sz="4" w:space="0" w:color="000000" w:themeColor="text1"/>
            </w:tcBorders>
            <w:shd w:val="clear" w:color="auto" w:fill="C6EFCE"/>
            <w:noWrap/>
          </w:tcPr>
          <w:p w14:paraId="37FB044E"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2021</w:t>
            </w:r>
          </w:p>
        </w:tc>
        <w:tc>
          <w:tcPr>
            <w:tcW w:w="4359" w:type="dxa"/>
            <w:tcBorders>
              <w:top w:val="nil"/>
              <w:left w:val="nil"/>
              <w:bottom w:val="single" w:sz="4" w:space="0" w:color="000000" w:themeColor="text1"/>
              <w:right w:val="single" w:sz="4" w:space="0" w:color="000000" w:themeColor="text1"/>
            </w:tcBorders>
            <w:shd w:val="clear" w:color="auto" w:fill="C6EFCE"/>
          </w:tcPr>
          <w:p w14:paraId="33E0F389" w14:textId="2BB99DA4" w:rsidR="00A17CA8" w:rsidRPr="0051384F" w:rsidRDefault="00A17CA8" w:rsidP="00576E40">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Планът за действие се приема от Министерския съвет и има за цел да увеличи капацитета на компетентните български институции за ефективно намаляване на рисковете от изпиране на пари и финансиране на тероризма.</w:t>
            </w:r>
          </w:p>
          <w:p w14:paraId="57EBA862" w14:textId="77777777" w:rsidR="00A17CA8" w:rsidRPr="0051384F" w:rsidRDefault="00A17CA8" w:rsidP="00576E40">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Планът за действие съдържа обяснение на действията, предприети през периода 2019—2021 г. за смекчаване на рисковете, установени в Националния доклад за оценка на риска от 2019 г., включително законодателни, институционални, регулаторни, надзорни и оперативни действия. </w:t>
            </w:r>
          </w:p>
          <w:p w14:paraId="06A79ABC" w14:textId="77777777" w:rsidR="00A17CA8" w:rsidRPr="0051384F" w:rsidRDefault="00A17CA8" w:rsidP="00576E40">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В плана за действие се очертават допълнителни действия за справяне с оставащите заплахи и слабости, които все още съществуват, както и очакваните резултати от тяхното изпълнение, приоритет, краен срок за изпълнение, етап и отговорен орган.</w:t>
            </w:r>
          </w:p>
          <w:p w14:paraId="66E7DDAF" w14:textId="77777777" w:rsidR="00A17CA8" w:rsidRPr="0051384F" w:rsidRDefault="00A17CA8" w:rsidP="00576E40">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Планът за действие се изготвя в съответствие с препоръките, получени по проект 19BG17 по ППСР „Подобряване на способностите на българските органи за ефективно намаляване на рисковете от изпиране на пари и финансиране на тероризма“.</w:t>
            </w:r>
          </w:p>
        </w:tc>
      </w:tr>
      <w:tr w:rsidR="007F2B35" w:rsidRPr="005241FC" w14:paraId="471E94ED" w14:textId="77777777" w:rsidTr="00A80AF7">
        <w:trPr>
          <w:trHeight w:val="1755"/>
          <w:jc w:val="right"/>
        </w:trPr>
        <w:tc>
          <w:tcPr>
            <w:tcW w:w="710" w:type="dxa"/>
            <w:tcBorders>
              <w:top w:val="nil"/>
              <w:left w:val="single" w:sz="4" w:space="0" w:color="000000" w:themeColor="text1"/>
              <w:bottom w:val="single" w:sz="4" w:space="0" w:color="000000" w:themeColor="text1"/>
              <w:right w:val="single" w:sz="4" w:space="0" w:color="000000" w:themeColor="text1"/>
            </w:tcBorders>
            <w:shd w:val="clear" w:color="auto" w:fill="C6EFCE"/>
            <w:noWrap/>
          </w:tcPr>
          <w:p w14:paraId="262D33F4" w14:textId="6A8994D1" w:rsidR="00A17CA8" w:rsidRPr="0051384F" w:rsidRDefault="002B7436"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239</w:t>
            </w:r>
          </w:p>
        </w:tc>
        <w:tc>
          <w:tcPr>
            <w:tcW w:w="1286" w:type="dxa"/>
            <w:tcBorders>
              <w:top w:val="nil"/>
              <w:left w:val="nil"/>
              <w:bottom w:val="single" w:sz="4" w:space="0" w:color="000000" w:themeColor="text1"/>
              <w:right w:val="single" w:sz="4" w:space="0" w:color="000000" w:themeColor="text1"/>
            </w:tcBorders>
            <w:shd w:val="clear" w:color="auto" w:fill="C6EFCE"/>
            <w:noWrap/>
          </w:tcPr>
          <w:p w14:paraId="2F2ED4B5" w14:textId="4B64BD09" w:rsidR="00A17CA8" w:rsidRPr="0051384F" w:rsidRDefault="00772A3B"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К10.Р8: Подобряване на рамката за борба с изпирането на пари </w:t>
            </w:r>
          </w:p>
        </w:tc>
        <w:tc>
          <w:tcPr>
            <w:tcW w:w="1085" w:type="dxa"/>
            <w:tcBorders>
              <w:top w:val="nil"/>
              <w:left w:val="nil"/>
              <w:bottom w:val="single" w:sz="4" w:space="0" w:color="000000" w:themeColor="text1"/>
              <w:right w:val="single" w:sz="4" w:space="0" w:color="000000" w:themeColor="text1"/>
            </w:tcBorders>
            <w:shd w:val="clear" w:color="auto" w:fill="C6EFCE"/>
            <w:noWrap/>
          </w:tcPr>
          <w:p w14:paraId="32A2FF05"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734" w:type="dxa"/>
            <w:tcBorders>
              <w:top w:val="nil"/>
              <w:left w:val="nil"/>
              <w:bottom w:val="single" w:sz="4" w:space="0" w:color="000000" w:themeColor="text1"/>
              <w:right w:val="single" w:sz="4" w:space="0" w:color="000000" w:themeColor="text1"/>
            </w:tcBorders>
            <w:shd w:val="clear" w:color="auto" w:fill="C6EFCE"/>
            <w:noWrap/>
          </w:tcPr>
          <w:p w14:paraId="321E1F6F"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Приемане на актуализация на националната оценка на риска във връзка с изпирането на пари и финансирането на тероризма, включително секторните оценки на риска на сектора на организациите с нестопанска цел, виртуалните активи и схемите за гражданство срещу инвестиции</w:t>
            </w:r>
          </w:p>
        </w:tc>
        <w:tc>
          <w:tcPr>
            <w:tcW w:w="1417" w:type="dxa"/>
            <w:tcBorders>
              <w:top w:val="nil"/>
              <w:left w:val="nil"/>
              <w:bottom w:val="single" w:sz="4" w:space="0" w:color="000000" w:themeColor="text1"/>
              <w:right w:val="single" w:sz="4" w:space="0" w:color="000000" w:themeColor="text1"/>
            </w:tcBorders>
            <w:shd w:val="clear" w:color="auto" w:fill="C6EFCE"/>
            <w:noWrap/>
          </w:tcPr>
          <w:p w14:paraId="48A8BD24" w14:textId="29BB7E43"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Постоянната междуведомствена работна група, създадена с постановление на Министерския съвет, завършва актуализацията на приетата национална оценка на риска, включително секторни оценки на риска за сектора на организациите с нестопанска цел, на виртуалните активи и на схемите за предоставяне на гражданство на инвеститори </w:t>
            </w:r>
          </w:p>
        </w:tc>
        <w:tc>
          <w:tcPr>
            <w:tcW w:w="993" w:type="dxa"/>
            <w:tcBorders>
              <w:top w:val="nil"/>
              <w:left w:val="nil"/>
              <w:bottom w:val="single" w:sz="4" w:space="0" w:color="000000" w:themeColor="text1"/>
              <w:right w:val="single" w:sz="4" w:space="0" w:color="000000" w:themeColor="text1"/>
            </w:tcBorders>
            <w:shd w:val="clear" w:color="auto" w:fill="C6EFCE"/>
            <w:noWrap/>
          </w:tcPr>
          <w:p w14:paraId="0C6CE36D" w14:textId="7705B253"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1134" w:type="dxa"/>
            <w:tcBorders>
              <w:top w:val="nil"/>
              <w:left w:val="nil"/>
              <w:bottom w:val="single" w:sz="4" w:space="0" w:color="000000" w:themeColor="text1"/>
              <w:right w:val="single" w:sz="4" w:space="0" w:color="000000" w:themeColor="text1"/>
            </w:tcBorders>
            <w:shd w:val="clear" w:color="auto" w:fill="C6EFCE"/>
            <w:noWrap/>
          </w:tcPr>
          <w:p w14:paraId="485D7BCD" w14:textId="30970E71"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1134" w:type="dxa"/>
            <w:tcBorders>
              <w:top w:val="nil"/>
              <w:left w:val="nil"/>
              <w:bottom w:val="single" w:sz="4" w:space="0" w:color="000000" w:themeColor="text1"/>
              <w:right w:val="single" w:sz="4" w:space="0" w:color="000000" w:themeColor="text1"/>
            </w:tcBorders>
            <w:shd w:val="clear" w:color="auto" w:fill="C6EFCE"/>
            <w:noWrap/>
          </w:tcPr>
          <w:p w14:paraId="456351F2" w14:textId="2E11DB4B"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850" w:type="dxa"/>
            <w:tcBorders>
              <w:top w:val="nil"/>
              <w:left w:val="nil"/>
              <w:bottom w:val="single" w:sz="4" w:space="0" w:color="000000" w:themeColor="text1"/>
              <w:right w:val="single" w:sz="4" w:space="0" w:color="000000" w:themeColor="text1"/>
            </w:tcBorders>
            <w:shd w:val="clear" w:color="auto" w:fill="C6EFCE"/>
            <w:noWrap/>
          </w:tcPr>
          <w:p w14:paraId="0E4B8F07"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T4</w:t>
            </w:r>
          </w:p>
        </w:tc>
        <w:tc>
          <w:tcPr>
            <w:tcW w:w="744" w:type="dxa"/>
            <w:tcBorders>
              <w:top w:val="nil"/>
              <w:left w:val="nil"/>
              <w:bottom w:val="single" w:sz="4" w:space="0" w:color="000000" w:themeColor="text1"/>
              <w:right w:val="single" w:sz="4" w:space="0" w:color="000000" w:themeColor="text1"/>
            </w:tcBorders>
            <w:shd w:val="clear" w:color="auto" w:fill="C6EFCE"/>
            <w:noWrap/>
          </w:tcPr>
          <w:p w14:paraId="03BAB86B"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2022</w:t>
            </w:r>
          </w:p>
        </w:tc>
        <w:tc>
          <w:tcPr>
            <w:tcW w:w="4359" w:type="dxa"/>
            <w:tcBorders>
              <w:top w:val="nil"/>
              <w:left w:val="nil"/>
              <w:bottom w:val="single" w:sz="4" w:space="0" w:color="000000" w:themeColor="text1"/>
              <w:right w:val="single" w:sz="4" w:space="0" w:color="000000" w:themeColor="text1"/>
            </w:tcBorders>
            <w:shd w:val="clear" w:color="auto" w:fill="C6EFCE"/>
          </w:tcPr>
          <w:p w14:paraId="2D418F2E" w14:textId="2C130A85" w:rsidR="00A17CA8" w:rsidRPr="0051384F" w:rsidRDefault="00A17CA8" w:rsidP="00576E40">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Приемане на актуализация на националната оценка на риска от изпирането на пари и финансирането на тероризма съгласно член 95, параграф 1 от Закона за мерките срещу изпирането на пари, включително секторни оценки на риска за сектора на организациите с нестопанска цел, на виртуалните активи и на схемите за предоставяне на гражданство на инвеститори в съответствие с насоките, получени по проект 19BG17 по ППСР „Подобряване на способностите на българските органи за ефективно намаляване на рисковете от изпиране на пари и финансиране на тероризма“. Актуализацията на приетата национална оценка на риска и на секторните оценки на риска за сектора на организациите с нестопанска цел, на виртуалните активи и на схемите за предоставяне на гражданство на инвеститори се извършва от постоянната междуведомствена работна група, създадена с постановление на Министерския съвет съгласно член 96 от Закона за мерките срещу изпирането на пари</w:t>
            </w:r>
          </w:p>
        </w:tc>
      </w:tr>
      <w:tr w:rsidR="007F2B35" w:rsidRPr="005241FC" w14:paraId="75CAF023" w14:textId="77777777" w:rsidTr="00A80AF7">
        <w:trPr>
          <w:trHeight w:val="1755"/>
          <w:jc w:val="right"/>
        </w:trPr>
        <w:tc>
          <w:tcPr>
            <w:tcW w:w="710" w:type="dxa"/>
            <w:tcBorders>
              <w:top w:val="nil"/>
              <w:left w:val="single" w:sz="4" w:space="0" w:color="000000" w:themeColor="text1"/>
              <w:bottom w:val="single" w:sz="4" w:space="0" w:color="000000" w:themeColor="text1"/>
              <w:right w:val="single" w:sz="4" w:space="0" w:color="000000" w:themeColor="text1"/>
            </w:tcBorders>
            <w:shd w:val="clear" w:color="auto" w:fill="C6EFCE"/>
            <w:noWrap/>
          </w:tcPr>
          <w:p w14:paraId="7B44314B" w14:textId="15A89AB2" w:rsidR="00A17CA8" w:rsidRPr="0051384F" w:rsidRDefault="002B7436"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240</w:t>
            </w:r>
          </w:p>
        </w:tc>
        <w:tc>
          <w:tcPr>
            <w:tcW w:w="1286" w:type="dxa"/>
            <w:tcBorders>
              <w:top w:val="nil"/>
              <w:left w:val="nil"/>
              <w:bottom w:val="single" w:sz="4" w:space="0" w:color="000000" w:themeColor="text1"/>
              <w:right w:val="single" w:sz="4" w:space="0" w:color="000000" w:themeColor="text1"/>
            </w:tcBorders>
            <w:shd w:val="clear" w:color="auto" w:fill="C6EFCE"/>
            <w:noWrap/>
          </w:tcPr>
          <w:p w14:paraId="02240B5A" w14:textId="2F9EE4FB" w:rsidR="00A17CA8" w:rsidRPr="0051384F" w:rsidRDefault="00772A3B"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К10.Р8: Подобряване на рамката за борба с изпирането на пари </w:t>
            </w:r>
          </w:p>
        </w:tc>
        <w:tc>
          <w:tcPr>
            <w:tcW w:w="1085" w:type="dxa"/>
            <w:tcBorders>
              <w:top w:val="nil"/>
              <w:left w:val="nil"/>
              <w:bottom w:val="single" w:sz="4" w:space="0" w:color="000000" w:themeColor="text1"/>
              <w:right w:val="single" w:sz="4" w:space="0" w:color="000000" w:themeColor="text1"/>
            </w:tcBorders>
            <w:shd w:val="clear" w:color="auto" w:fill="C6EFCE"/>
            <w:noWrap/>
          </w:tcPr>
          <w:p w14:paraId="3BD42DF9"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Ключов етап </w:t>
            </w:r>
          </w:p>
        </w:tc>
        <w:tc>
          <w:tcPr>
            <w:tcW w:w="1734" w:type="dxa"/>
            <w:tcBorders>
              <w:top w:val="nil"/>
              <w:left w:val="nil"/>
              <w:bottom w:val="single" w:sz="4" w:space="0" w:color="000000" w:themeColor="text1"/>
              <w:right w:val="single" w:sz="4" w:space="0" w:color="000000" w:themeColor="text1"/>
            </w:tcBorders>
            <w:shd w:val="clear" w:color="auto" w:fill="C6EFCE"/>
            <w:noWrap/>
          </w:tcPr>
          <w:p w14:paraId="55F47EBA"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Повишаване на капацитета и способностите на надзорните органи да намаляват рисковете от изпиране на пари и да подобряват прилагането на рамката за борба с изпирането на пари от страна на задължените субекти </w:t>
            </w:r>
          </w:p>
        </w:tc>
        <w:tc>
          <w:tcPr>
            <w:tcW w:w="1417" w:type="dxa"/>
            <w:tcBorders>
              <w:top w:val="nil"/>
              <w:left w:val="nil"/>
              <w:bottom w:val="single" w:sz="4" w:space="0" w:color="000000" w:themeColor="text1"/>
              <w:right w:val="single" w:sz="4" w:space="0" w:color="000000" w:themeColor="text1"/>
            </w:tcBorders>
            <w:shd w:val="clear" w:color="auto" w:fill="C6EFCE"/>
            <w:noWrap/>
          </w:tcPr>
          <w:p w14:paraId="1FAE8B2D" w14:textId="77777777" w:rsidR="00A17CA8" w:rsidRPr="0051384F" w:rsidRDefault="00A17CA8" w:rsidP="00576E40">
            <w:pPr>
              <w:spacing w:before="120" w:after="120"/>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1. Приемане на надзорна стратегия и процедура за отчитане на резултатите от дейността от всеки надзорен орган;</w:t>
            </w:r>
          </w:p>
          <w:p w14:paraId="061DFC84" w14:textId="77777777" w:rsidR="00A17CA8" w:rsidRPr="0051384F" w:rsidRDefault="00A17CA8" w:rsidP="00576E40">
            <w:pPr>
              <w:spacing w:before="120" w:after="120"/>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2. Приемане на изменения на наръчника за надзорните процедури от всеки надзорен орган; </w:t>
            </w:r>
          </w:p>
          <w:p w14:paraId="476D0C26" w14:textId="77777777" w:rsidR="00A17CA8" w:rsidRPr="0051384F" w:rsidRDefault="00A17CA8" w:rsidP="00576E40">
            <w:pPr>
              <w:spacing w:before="120" w:after="120"/>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3. Приемане на насоки относно подхода към видни политически личности;</w:t>
            </w:r>
          </w:p>
          <w:p w14:paraId="3D77F07C" w14:textId="67BEEE8C" w:rsidR="00A17CA8" w:rsidRPr="0051384F" w:rsidRDefault="00A17CA8" w:rsidP="003F7EDF">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4. Законови разпоредби, указващи влизането в сила на измененията </w:t>
            </w:r>
          </w:p>
        </w:tc>
        <w:tc>
          <w:tcPr>
            <w:tcW w:w="993" w:type="dxa"/>
            <w:tcBorders>
              <w:top w:val="nil"/>
              <w:left w:val="nil"/>
              <w:bottom w:val="single" w:sz="4" w:space="0" w:color="000000" w:themeColor="text1"/>
              <w:right w:val="single" w:sz="4" w:space="0" w:color="000000" w:themeColor="text1"/>
            </w:tcBorders>
            <w:shd w:val="clear" w:color="auto" w:fill="C6EFCE"/>
            <w:noWrap/>
          </w:tcPr>
          <w:p w14:paraId="3D51A75A" w14:textId="77777777" w:rsidR="00A17CA8" w:rsidRPr="008A0F8A" w:rsidRDefault="00A17CA8" w:rsidP="00576E40">
            <w:pPr>
              <w:spacing w:after="0" w:line="240" w:lineRule="auto"/>
              <w:jc w:val="both"/>
              <w:rPr>
                <w:rFonts w:ascii="Times New Roman" w:eastAsia="Times New Roman" w:hAnsi="Times New Roman" w:cs="Times New Roman"/>
                <w:noProof/>
                <w:color w:val="006100"/>
                <w:sz w:val="20"/>
                <w:szCs w:val="20"/>
                <w:lang w:val="ru-RU" w:eastAsia="en-GB"/>
              </w:rPr>
            </w:pPr>
          </w:p>
        </w:tc>
        <w:tc>
          <w:tcPr>
            <w:tcW w:w="1134" w:type="dxa"/>
            <w:tcBorders>
              <w:top w:val="nil"/>
              <w:left w:val="nil"/>
              <w:bottom w:val="single" w:sz="4" w:space="0" w:color="000000" w:themeColor="text1"/>
              <w:right w:val="single" w:sz="4" w:space="0" w:color="000000" w:themeColor="text1"/>
            </w:tcBorders>
            <w:shd w:val="clear" w:color="auto" w:fill="C6EFCE"/>
            <w:noWrap/>
          </w:tcPr>
          <w:p w14:paraId="008E0D87" w14:textId="77777777" w:rsidR="00A17CA8" w:rsidRPr="008A0F8A" w:rsidRDefault="00A17CA8" w:rsidP="00576E40">
            <w:pPr>
              <w:spacing w:after="0" w:line="240" w:lineRule="auto"/>
              <w:jc w:val="both"/>
              <w:rPr>
                <w:rFonts w:ascii="Times New Roman" w:eastAsia="Times New Roman" w:hAnsi="Times New Roman" w:cs="Times New Roman"/>
                <w:noProof/>
                <w:color w:val="006100"/>
                <w:sz w:val="20"/>
                <w:szCs w:val="20"/>
                <w:lang w:val="ru-RU" w:eastAsia="en-GB"/>
              </w:rPr>
            </w:pPr>
          </w:p>
        </w:tc>
        <w:tc>
          <w:tcPr>
            <w:tcW w:w="1134" w:type="dxa"/>
            <w:tcBorders>
              <w:top w:val="nil"/>
              <w:left w:val="nil"/>
              <w:bottom w:val="single" w:sz="4" w:space="0" w:color="000000" w:themeColor="text1"/>
              <w:right w:val="single" w:sz="4" w:space="0" w:color="000000" w:themeColor="text1"/>
            </w:tcBorders>
            <w:shd w:val="clear" w:color="auto" w:fill="C6EFCE"/>
            <w:noWrap/>
          </w:tcPr>
          <w:p w14:paraId="64A9A1BF" w14:textId="77777777" w:rsidR="00A17CA8" w:rsidRPr="008A0F8A" w:rsidRDefault="00A17CA8" w:rsidP="00576E40">
            <w:pPr>
              <w:spacing w:after="0" w:line="240" w:lineRule="auto"/>
              <w:jc w:val="both"/>
              <w:rPr>
                <w:rFonts w:ascii="Times New Roman" w:eastAsia="Times New Roman" w:hAnsi="Times New Roman" w:cs="Times New Roman"/>
                <w:noProof/>
                <w:color w:val="006100"/>
                <w:sz w:val="20"/>
                <w:szCs w:val="20"/>
                <w:lang w:val="ru-RU" w:eastAsia="en-GB"/>
              </w:rPr>
            </w:pPr>
          </w:p>
        </w:tc>
        <w:tc>
          <w:tcPr>
            <w:tcW w:w="850" w:type="dxa"/>
            <w:tcBorders>
              <w:top w:val="nil"/>
              <w:left w:val="nil"/>
              <w:bottom w:val="single" w:sz="4" w:space="0" w:color="000000" w:themeColor="text1"/>
              <w:right w:val="single" w:sz="4" w:space="0" w:color="000000" w:themeColor="text1"/>
            </w:tcBorders>
            <w:shd w:val="clear" w:color="auto" w:fill="C6EFCE"/>
            <w:noWrap/>
          </w:tcPr>
          <w:p w14:paraId="5AAF14F2" w14:textId="77777777" w:rsidR="00A17CA8" w:rsidRPr="0051384F" w:rsidRDefault="00A17CA8" w:rsidP="00576E40">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T1 </w:t>
            </w:r>
          </w:p>
        </w:tc>
        <w:tc>
          <w:tcPr>
            <w:tcW w:w="744" w:type="dxa"/>
            <w:tcBorders>
              <w:top w:val="nil"/>
              <w:left w:val="nil"/>
              <w:bottom w:val="single" w:sz="4" w:space="0" w:color="000000" w:themeColor="text1"/>
              <w:right w:val="single" w:sz="4" w:space="0" w:color="000000" w:themeColor="text1"/>
            </w:tcBorders>
            <w:shd w:val="clear" w:color="auto" w:fill="C6EFCE"/>
            <w:noWrap/>
          </w:tcPr>
          <w:p w14:paraId="09C37730" w14:textId="77777777" w:rsidR="00A17CA8" w:rsidRPr="0051384F" w:rsidRDefault="00A17CA8" w:rsidP="00576E40">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2023</w:t>
            </w:r>
          </w:p>
        </w:tc>
        <w:tc>
          <w:tcPr>
            <w:tcW w:w="4359" w:type="dxa"/>
            <w:tcBorders>
              <w:top w:val="nil"/>
              <w:left w:val="nil"/>
              <w:bottom w:val="single" w:sz="4" w:space="0" w:color="000000" w:themeColor="text1"/>
              <w:right w:val="single" w:sz="4" w:space="0" w:color="000000" w:themeColor="text1"/>
            </w:tcBorders>
            <w:shd w:val="clear" w:color="auto" w:fill="C6EFCE"/>
          </w:tcPr>
          <w:p w14:paraId="2AC015CD" w14:textId="1D21FD26" w:rsidR="00A17CA8" w:rsidRPr="0051384F" w:rsidRDefault="00A17CA8" w:rsidP="00576E40">
            <w:pPr>
              <w:spacing w:before="120" w:after="120"/>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По отношение на задължените субекти под техен надзор надзорните органи по Закона за мерките срещу изпирането на пари — дирекция „Финансово разузнаване“ на Държавна агенция „Национална сигурност“, Българската народна банка, Комисията за финансов надзор и Националната агенция за приходите:</w:t>
            </w:r>
          </w:p>
          <w:p w14:paraId="26111724" w14:textId="1DFA9680" w:rsidR="00A17CA8" w:rsidRPr="0051384F" w:rsidRDefault="00A17CA8" w:rsidP="00576E40">
            <w:pPr>
              <w:spacing w:before="120" w:after="120"/>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 приемат надзорна стратегия за определяне на целите за надзора на задължените субекти, за разпределяне на ресурси за надзора на задължените субекти в съответствие с техния рисков профил и за установяване на процедура за отчитане на резултатите от изпълнението на стратегията; </w:t>
            </w:r>
          </w:p>
          <w:p w14:paraId="78B1865C" w14:textId="77777777" w:rsidR="00A17CA8" w:rsidRPr="0051384F" w:rsidRDefault="00A17CA8" w:rsidP="00576E40">
            <w:pPr>
              <w:spacing w:before="120" w:after="120"/>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 преразглеждат своите наръчници за надзорните процедури, за да гарантира последователен и ефективен подход към мониторинга, включително правилата за регистриране и съхранение на преписките и документите, обект на проверките на място, и последващите действия, за да се гарантира, че задължените субекти спазват задълженията си за борба с изпирането на пари;</w:t>
            </w:r>
          </w:p>
          <w:p w14:paraId="4D7C5FCC" w14:textId="77777777" w:rsidR="00A17CA8" w:rsidRPr="0051384F" w:rsidRDefault="00A17CA8" w:rsidP="00576E40">
            <w:pPr>
              <w:spacing w:before="120" w:after="120"/>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 приемат насоки относно подхода към видни политически личности.</w:t>
            </w:r>
          </w:p>
          <w:p w14:paraId="3773F000" w14:textId="77777777" w:rsidR="00A17CA8" w:rsidRPr="0051384F" w:rsidRDefault="00A17CA8" w:rsidP="00576E40">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Освен това се приемат законодателни изменения, за да се предвидят процедури за проверка с цел предотвратяване на изпирането на пари на лица, предоставящи професионални услуги на дружества, включително счетоводители и данъчни консултанти. </w:t>
            </w:r>
          </w:p>
        </w:tc>
      </w:tr>
      <w:tr w:rsidR="007F2B35" w:rsidRPr="005241FC" w14:paraId="0EA5991E" w14:textId="77777777" w:rsidTr="00A80AF7">
        <w:trPr>
          <w:trHeight w:val="1755"/>
          <w:jc w:val="right"/>
        </w:trPr>
        <w:tc>
          <w:tcPr>
            <w:tcW w:w="710" w:type="dxa"/>
            <w:tcBorders>
              <w:top w:val="nil"/>
              <w:left w:val="single" w:sz="4" w:space="0" w:color="000000" w:themeColor="text1"/>
              <w:bottom w:val="single" w:sz="4" w:space="0" w:color="000000" w:themeColor="text1"/>
              <w:right w:val="single" w:sz="4" w:space="0" w:color="000000" w:themeColor="text1"/>
            </w:tcBorders>
            <w:shd w:val="clear" w:color="auto" w:fill="C6EFCE"/>
            <w:noWrap/>
          </w:tcPr>
          <w:p w14:paraId="056B5B24" w14:textId="684C89DB" w:rsidR="00A17CA8" w:rsidRPr="0051384F" w:rsidRDefault="002B7436"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241</w:t>
            </w:r>
          </w:p>
        </w:tc>
        <w:tc>
          <w:tcPr>
            <w:tcW w:w="1286" w:type="dxa"/>
            <w:tcBorders>
              <w:top w:val="nil"/>
              <w:left w:val="nil"/>
              <w:bottom w:val="single" w:sz="4" w:space="0" w:color="000000" w:themeColor="text1"/>
              <w:right w:val="single" w:sz="4" w:space="0" w:color="000000" w:themeColor="text1"/>
            </w:tcBorders>
            <w:shd w:val="clear" w:color="auto" w:fill="C6EFCE"/>
            <w:noWrap/>
          </w:tcPr>
          <w:p w14:paraId="02942144" w14:textId="404E51D3" w:rsidR="00A17CA8" w:rsidRPr="0051384F" w:rsidRDefault="00772A3B"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К10.Р9: Подобряване на качеството на законодателния процес</w:t>
            </w:r>
          </w:p>
        </w:tc>
        <w:tc>
          <w:tcPr>
            <w:tcW w:w="1085" w:type="dxa"/>
            <w:tcBorders>
              <w:top w:val="nil"/>
              <w:left w:val="nil"/>
              <w:bottom w:val="single" w:sz="4" w:space="0" w:color="000000" w:themeColor="text1"/>
              <w:right w:val="single" w:sz="4" w:space="0" w:color="000000" w:themeColor="text1"/>
            </w:tcBorders>
            <w:shd w:val="clear" w:color="auto" w:fill="C6EFCE"/>
            <w:noWrap/>
          </w:tcPr>
          <w:p w14:paraId="07CCCF20"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734" w:type="dxa"/>
            <w:tcBorders>
              <w:top w:val="nil"/>
              <w:left w:val="nil"/>
              <w:bottom w:val="single" w:sz="4" w:space="0" w:color="000000" w:themeColor="text1"/>
              <w:right w:val="single" w:sz="4" w:space="0" w:color="000000" w:themeColor="text1"/>
            </w:tcBorders>
            <w:shd w:val="clear" w:color="auto" w:fill="C6EFCE"/>
            <w:noWrap/>
          </w:tcPr>
          <w:p w14:paraId="5732B28D" w14:textId="71387D1D"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Влизане в сила на измененията на Устройствения правилник на Народното събрание </w:t>
            </w:r>
          </w:p>
        </w:tc>
        <w:tc>
          <w:tcPr>
            <w:tcW w:w="1417" w:type="dxa"/>
            <w:tcBorders>
              <w:top w:val="nil"/>
              <w:left w:val="nil"/>
              <w:bottom w:val="single" w:sz="4" w:space="0" w:color="000000" w:themeColor="text1"/>
              <w:right w:val="single" w:sz="4" w:space="0" w:color="000000" w:themeColor="text1"/>
            </w:tcBorders>
            <w:shd w:val="clear" w:color="auto" w:fill="C6EFCE"/>
            <w:noWrap/>
          </w:tcPr>
          <w:p w14:paraId="4EF8B756" w14:textId="45F6E64B"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Разпоредби в Правилника за организацията и дейността на Народното събрание, указващи влизането му в сила </w:t>
            </w:r>
          </w:p>
        </w:tc>
        <w:tc>
          <w:tcPr>
            <w:tcW w:w="993" w:type="dxa"/>
            <w:tcBorders>
              <w:top w:val="nil"/>
              <w:left w:val="nil"/>
              <w:bottom w:val="single" w:sz="4" w:space="0" w:color="000000" w:themeColor="text1"/>
              <w:right w:val="single" w:sz="4" w:space="0" w:color="000000" w:themeColor="text1"/>
            </w:tcBorders>
            <w:shd w:val="clear" w:color="auto" w:fill="C6EFCE"/>
            <w:noWrap/>
          </w:tcPr>
          <w:p w14:paraId="369E2CEB"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1134" w:type="dxa"/>
            <w:tcBorders>
              <w:top w:val="nil"/>
              <w:left w:val="nil"/>
              <w:bottom w:val="single" w:sz="4" w:space="0" w:color="000000" w:themeColor="text1"/>
              <w:right w:val="single" w:sz="4" w:space="0" w:color="000000" w:themeColor="text1"/>
            </w:tcBorders>
            <w:shd w:val="clear" w:color="auto" w:fill="C6EFCE"/>
            <w:noWrap/>
          </w:tcPr>
          <w:p w14:paraId="6D2E0291"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1134" w:type="dxa"/>
            <w:tcBorders>
              <w:top w:val="nil"/>
              <w:left w:val="nil"/>
              <w:bottom w:val="single" w:sz="4" w:space="0" w:color="000000" w:themeColor="text1"/>
              <w:right w:val="single" w:sz="4" w:space="0" w:color="000000" w:themeColor="text1"/>
            </w:tcBorders>
            <w:shd w:val="clear" w:color="auto" w:fill="C6EFCE"/>
            <w:noWrap/>
          </w:tcPr>
          <w:p w14:paraId="192574A8"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850" w:type="dxa"/>
            <w:tcBorders>
              <w:top w:val="nil"/>
              <w:left w:val="nil"/>
              <w:bottom w:val="single" w:sz="4" w:space="0" w:color="000000" w:themeColor="text1"/>
              <w:right w:val="single" w:sz="4" w:space="0" w:color="000000" w:themeColor="text1"/>
            </w:tcBorders>
            <w:shd w:val="clear" w:color="auto" w:fill="C6EFCE"/>
            <w:noWrap/>
          </w:tcPr>
          <w:p w14:paraId="4CF90DCC" w14:textId="2BEDAAEE"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T4</w:t>
            </w:r>
          </w:p>
        </w:tc>
        <w:tc>
          <w:tcPr>
            <w:tcW w:w="744" w:type="dxa"/>
            <w:tcBorders>
              <w:top w:val="nil"/>
              <w:left w:val="nil"/>
              <w:bottom w:val="single" w:sz="4" w:space="0" w:color="000000" w:themeColor="text1"/>
              <w:right w:val="single" w:sz="4" w:space="0" w:color="000000" w:themeColor="text1"/>
            </w:tcBorders>
            <w:shd w:val="clear" w:color="auto" w:fill="C6EFCE"/>
            <w:noWrap/>
          </w:tcPr>
          <w:p w14:paraId="099330DE"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2021</w:t>
            </w:r>
          </w:p>
        </w:tc>
        <w:tc>
          <w:tcPr>
            <w:tcW w:w="4359" w:type="dxa"/>
            <w:tcBorders>
              <w:top w:val="nil"/>
              <w:left w:val="nil"/>
              <w:bottom w:val="single" w:sz="4" w:space="0" w:color="000000" w:themeColor="text1"/>
              <w:right w:val="single" w:sz="4" w:space="0" w:color="000000" w:themeColor="text1"/>
            </w:tcBorders>
            <w:shd w:val="clear" w:color="auto" w:fill="C6EFCE"/>
          </w:tcPr>
          <w:p w14:paraId="6EC65B62" w14:textId="792AAC9E" w:rsidR="00A17CA8" w:rsidRPr="0051384F" w:rsidRDefault="00A17CA8" w:rsidP="00576E40">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Правилникът за организацията и дейността на Народното събрание гарантира, че: </w:t>
            </w:r>
          </w:p>
          <w:p w14:paraId="4AACBB48" w14:textId="06A9B071" w:rsidR="00A17CA8" w:rsidRPr="0051384F" w:rsidRDefault="00A17CA8" w:rsidP="00576E40">
            <w:pPr>
              <w:pStyle w:val="ListParagraph"/>
              <w:numPr>
                <w:ilvl w:val="0"/>
                <w:numId w:val="51"/>
              </w:numPr>
              <w:spacing w:after="0" w:line="240" w:lineRule="auto"/>
              <w:ind w:left="318"/>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всички законопроекти, инициирани от народни представители, са придружени от предварителна оценка на въздействието; </w:t>
            </w:r>
          </w:p>
          <w:p w14:paraId="5F999C96" w14:textId="752D14D8" w:rsidR="00A17CA8" w:rsidRPr="0051384F" w:rsidRDefault="00A17CA8" w:rsidP="00576E40">
            <w:pPr>
              <w:pStyle w:val="ListParagraph"/>
              <w:numPr>
                <w:ilvl w:val="0"/>
                <w:numId w:val="51"/>
              </w:numPr>
              <w:spacing w:after="0" w:line="240" w:lineRule="auto"/>
              <w:ind w:left="318"/>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внесените в Народното събрание проекти на законодателни актове се вписват в публичния регистър на законопроектите и всички писмени становища на граждани или юридически лица се публикуват на интернет страницата на компетентната парламентарна комисия; </w:t>
            </w:r>
          </w:p>
          <w:p w14:paraId="231901C2" w14:textId="77777777" w:rsidR="00A17CA8" w:rsidRPr="0051384F" w:rsidRDefault="00A17CA8" w:rsidP="00576E40">
            <w:pPr>
              <w:pStyle w:val="ListParagraph"/>
              <w:numPr>
                <w:ilvl w:val="0"/>
                <w:numId w:val="51"/>
              </w:numPr>
              <w:spacing w:after="0" w:line="240" w:lineRule="auto"/>
              <w:ind w:left="318"/>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докладът на парламентарната комисия относно проекта на законодателен акт включва обобщение на становищата на заинтересованите страни и обобщено становище на комисията;</w:t>
            </w:r>
          </w:p>
          <w:p w14:paraId="11652C19" w14:textId="67BC14E3" w:rsidR="00A17CA8" w:rsidRPr="0051384F" w:rsidRDefault="002A5371" w:rsidP="00576E40">
            <w:pPr>
              <w:pStyle w:val="ListParagraph"/>
              <w:numPr>
                <w:ilvl w:val="0"/>
                <w:numId w:val="51"/>
              </w:numPr>
              <w:spacing w:after="0" w:line="240" w:lineRule="auto"/>
              <w:ind w:left="318"/>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предложенията за изменения, внесени между първото и второто четене, се оповестяват публично чрез публичен регистър; както и </w:t>
            </w:r>
          </w:p>
          <w:p w14:paraId="71596C88" w14:textId="2842877F" w:rsidR="00A17CA8" w:rsidRPr="0051384F" w:rsidRDefault="00A17CA8" w:rsidP="00576E40">
            <w:pPr>
              <w:pStyle w:val="ListParagraph"/>
              <w:numPr>
                <w:ilvl w:val="0"/>
                <w:numId w:val="51"/>
              </w:numPr>
              <w:spacing w:after="0" w:line="240" w:lineRule="auto"/>
              <w:ind w:left="318"/>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предложенията за изменения и допълнения на проект на законодателен акт, приет при първо четене, не могат да се отнасят до законодателни актове, различни от тези, чието изменение или допълнение е било предложено в първоначално представения проект на законодателен акт, освен при редакционни изменения или технически изменения от правно естество. </w:t>
            </w:r>
          </w:p>
        </w:tc>
      </w:tr>
      <w:tr w:rsidR="007F2B35" w:rsidRPr="005241FC" w14:paraId="10E63D18" w14:textId="77777777" w:rsidTr="00A80AF7">
        <w:trPr>
          <w:trHeight w:val="1755"/>
          <w:jc w:val="right"/>
        </w:trPr>
        <w:tc>
          <w:tcPr>
            <w:tcW w:w="710" w:type="dxa"/>
            <w:tcBorders>
              <w:top w:val="nil"/>
              <w:left w:val="single" w:sz="4" w:space="0" w:color="000000" w:themeColor="text1"/>
              <w:bottom w:val="single" w:sz="4" w:space="0" w:color="000000" w:themeColor="text1"/>
              <w:right w:val="single" w:sz="4" w:space="0" w:color="000000" w:themeColor="text1"/>
            </w:tcBorders>
            <w:shd w:val="clear" w:color="auto" w:fill="C6EFCE"/>
            <w:noWrap/>
          </w:tcPr>
          <w:p w14:paraId="31AB8C78" w14:textId="3E60808F" w:rsidR="00A17CA8" w:rsidRPr="0051384F" w:rsidRDefault="002B7436"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242</w:t>
            </w:r>
          </w:p>
        </w:tc>
        <w:tc>
          <w:tcPr>
            <w:tcW w:w="1286" w:type="dxa"/>
            <w:tcBorders>
              <w:top w:val="nil"/>
              <w:left w:val="nil"/>
              <w:bottom w:val="single" w:sz="4" w:space="0" w:color="000000" w:themeColor="text1"/>
              <w:right w:val="single" w:sz="4" w:space="0" w:color="000000" w:themeColor="text1"/>
            </w:tcBorders>
            <w:shd w:val="clear" w:color="auto" w:fill="C6EFCE"/>
            <w:noWrap/>
          </w:tcPr>
          <w:p w14:paraId="1D38A512" w14:textId="73FCAB6A" w:rsidR="00A17CA8" w:rsidRPr="0051384F" w:rsidRDefault="00772A3B"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К10.Р10: Възлагане на обществени поръчки</w:t>
            </w:r>
          </w:p>
        </w:tc>
        <w:tc>
          <w:tcPr>
            <w:tcW w:w="1085" w:type="dxa"/>
            <w:tcBorders>
              <w:top w:val="nil"/>
              <w:left w:val="nil"/>
              <w:bottom w:val="single" w:sz="4" w:space="0" w:color="000000" w:themeColor="text1"/>
              <w:right w:val="single" w:sz="4" w:space="0" w:color="000000" w:themeColor="text1"/>
            </w:tcBorders>
            <w:shd w:val="clear" w:color="auto" w:fill="C6EFCE"/>
            <w:noWrap/>
          </w:tcPr>
          <w:p w14:paraId="21217656"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734" w:type="dxa"/>
            <w:tcBorders>
              <w:top w:val="nil"/>
              <w:left w:val="nil"/>
              <w:bottom w:val="single" w:sz="4" w:space="0" w:color="000000" w:themeColor="text1"/>
              <w:right w:val="single" w:sz="4" w:space="0" w:color="000000" w:themeColor="text1"/>
            </w:tcBorders>
            <w:shd w:val="clear" w:color="auto" w:fill="C6EFCE"/>
            <w:noWrap/>
          </w:tcPr>
          <w:p w14:paraId="1BC59012" w14:textId="5FD524F9"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Влизане в сила на законодателни изменения на Закона за обществените поръчки с цел намаляване на броя на поръчките без тръжна процедура („без покана за представяне на оферти“) и само с една оферта</w:t>
            </w:r>
          </w:p>
        </w:tc>
        <w:tc>
          <w:tcPr>
            <w:tcW w:w="1417" w:type="dxa"/>
            <w:tcBorders>
              <w:top w:val="nil"/>
              <w:left w:val="nil"/>
              <w:bottom w:val="single" w:sz="4" w:space="0" w:color="000000" w:themeColor="text1"/>
              <w:right w:val="single" w:sz="4" w:space="0" w:color="000000" w:themeColor="text1"/>
            </w:tcBorders>
            <w:shd w:val="clear" w:color="auto" w:fill="C6EFCE"/>
            <w:noWrap/>
          </w:tcPr>
          <w:p w14:paraId="0534B951"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Разпоредби в Закона за обществените поръчки, указващи влизането в сила на измененията</w:t>
            </w:r>
          </w:p>
        </w:tc>
        <w:tc>
          <w:tcPr>
            <w:tcW w:w="993" w:type="dxa"/>
            <w:tcBorders>
              <w:top w:val="nil"/>
              <w:left w:val="nil"/>
              <w:bottom w:val="single" w:sz="4" w:space="0" w:color="000000" w:themeColor="text1"/>
              <w:right w:val="single" w:sz="4" w:space="0" w:color="000000" w:themeColor="text1"/>
            </w:tcBorders>
            <w:shd w:val="clear" w:color="auto" w:fill="C6EFCE"/>
            <w:noWrap/>
          </w:tcPr>
          <w:p w14:paraId="52B6036F"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1134" w:type="dxa"/>
            <w:tcBorders>
              <w:top w:val="nil"/>
              <w:left w:val="nil"/>
              <w:bottom w:val="single" w:sz="4" w:space="0" w:color="000000" w:themeColor="text1"/>
              <w:right w:val="single" w:sz="4" w:space="0" w:color="000000" w:themeColor="text1"/>
            </w:tcBorders>
            <w:shd w:val="clear" w:color="auto" w:fill="C6EFCE"/>
            <w:noWrap/>
          </w:tcPr>
          <w:p w14:paraId="2BAE9D35"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1134" w:type="dxa"/>
            <w:tcBorders>
              <w:top w:val="nil"/>
              <w:left w:val="nil"/>
              <w:bottom w:val="single" w:sz="4" w:space="0" w:color="000000" w:themeColor="text1"/>
              <w:right w:val="single" w:sz="4" w:space="0" w:color="000000" w:themeColor="text1"/>
            </w:tcBorders>
            <w:shd w:val="clear" w:color="auto" w:fill="C6EFCE"/>
            <w:noWrap/>
          </w:tcPr>
          <w:p w14:paraId="64D1B299"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850" w:type="dxa"/>
            <w:tcBorders>
              <w:top w:val="nil"/>
              <w:left w:val="nil"/>
              <w:bottom w:val="single" w:sz="4" w:space="0" w:color="000000" w:themeColor="text1"/>
              <w:right w:val="single" w:sz="4" w:space="0" w:color="000000" w:themeColor="text1"/>
            </w:tcBorders>
            <w:shd w:val="clear" w:color="auto" w:fill="C6EFCE"/>
            <w:noWrap/>
          </w:tcPr>
          <w:p w14:paraId="5BBD8833"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T4</w:t>
            </w:r>
          </w:p>
        </w:tc>
        <w:tc>
          <w:tcPr>
            <w:tcW w:w="744" w:type="dxa"/>
            <w:tcBorders>
              <w:top w:val="nil"/>
              <w:left w:val="nil"/>
              <w:bottom w:val="single" w:sz="4" w:space="0" w:color="000000" w:themeColor="text1"/>
              <w:right w:val="single" w:sz="4" w:space="0" w:color="000000" w:themeColor="text1"/>
            </w:tcBorders>
            <w:shd w:val="clear" w:color="auto" w:fill="C6EFCE"/>
            <w:noWrap/>
          </w:tcPr>
          <w:p w14:paraId="111EE698"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2022</w:t>
            </w:r>
          </w:p>
        </w:tc>
        <w:tc>
          <w:tcPr>
            <w:tcW w:w="4359" w:type="dxa"/>
            <w:tcBorders>
              <w:top w:val="nil"/>
              <w:left w:val="nil"/>
              <w:bottom w:val="single" w:sz="4" w:space="0" w:color="000000" w:themeColor="text1"/>
              <w:right w:val="single" w:sz="4" w:space="0" w:color="000000" w:themeColor="text1"/>
            </w:tcBorders>
            <w:shd w:val="clear" w:color="auto" w:fill="C6EFCE"/>
          </w:tcPr>
          <w:p w14:paraId="6981156E"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Законодателните изменения имат за цел да се намали използването на договарянето на обществени поръчки (без обявление) и на поръчките само с една оферта. Те гарантират:</w:t>
            </w:r>
          </w:p>
          <w:p w14:paraId="1820105A" w14:textId="77777777" w:rsidR="00A17CA8" w:rsidRPr="0051384F" w:rsidRDefault="00A17CA8" w:rsidP="00576E40">
            <w:pPr>
              <w:pStyle w:val="ListParagraph"/>
              <w:numPr>
                <w:ilvl w:val="0"/>
                <w:numId w:val="89"/>
              </w:numPr>
              <w:spacing w:after="0" w:line="240" w:lineRule="auto"/>
              <w:ind w:left="318"/>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редовното (поне веднъж годишно) събиране на информация и докладване относно използването на такива процедури за оценка на напредъка, обосновка на съответния постигнат процент, както и обяснение на начина, по който е постигнат напредък към целта; </w:t>
            </w:r>
          </w:p>
          <w:p w14:paraId="21201C0C" w14:textId="77777777" w:rsidR="00A17CA8" w:rsidRPr="0051384F" w:rsidRDefault="00A17CA8" w:rsidP="00576E40">
            <w:pPr>
              <w:pStyle w:val="ListParagraph"/>
              <w:numPr>
                <w:ilvl w:val="0"/>
                <w:numId w:val="89"/>
              </w:numPr>
              <w:spacing w:after="0" w:line="240" w:lineRule="auto"/>
              <w:ind w:left="318"/>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засилване на предварителния и последващия контрол и на контрола от страна на съответните агенции; </w:t>
            </w:r>
          </w:p>
          <w:p w14:paraId="67E0B98B" w14:textId="77777777" w:rsidR="00A17CA8" w:rsidRPr="0051384F" w:rsidRDefault="00A17CA8" w:rsidP="00576E40">
            <w:pPr>
              <w:pStyle w:val="ListParagraph"/>
              <w:numPr>
                <w:ilvl w:val="0"/>
                <w:numId w:val="89"/>
              </w:numPr>
              <w:spacing w:after="0" w:line="240" w:lineRule="auto"/>
              <w:ind w:left="318"/>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разширяване на обхвата на административната отговорност и ефективни и възпиращи санкции за нарушения на правилата за използване на тези процедури; </w:t>
            </w:r>
          </w:p>
          <w:p w14:paraId="333B0AC0" w14:textId="77777777" w:rsidR="00A17CA8" w:rsidRPr="0051384F" w:rsidRDefault="00A17CA8" w:rsidP="00576E40">
            <w:pPr>
              <w:pStyle w:val="ListParagraph"/>
              <w:numPr>
                <w:ilvl w:val="0"/>
                <w:numId w:val="89"/>
              </w:numPr>
              <w:spacing w:after="0" w:line="240" w:lineRule="auto"/>
              <w:ind w:left="318"/>
              <w:rPr>
                <w:rFonts w:ascii="Times New Roman" w:eastAsia="Times New Roman" w:hAnsi="Times New Roman" w:cs="Times New Roman"/>
                <w:noProof/>
                <w:color w:val="006100"/>
                <w:sz w:val="20"/>
                <w:szCs w:val="20"/>
              </w:rPr>
            </w:pPr>
            <w:r>
              <w:rPr>
                <w:rFonts w:ascii="Times New Roman" w:hAnsi="Times New Roman"/>
                <w:noProof/>
                <w:color w:val="006100"/>
                <w:sz w:val="20"/>
              </w:rPr>
              <w:t>редовно докладване относно използването на ефективни санкции в процедурите за финансови корекции при неспазване на процедурите за възлагане на обществени поръчки от страна на органите, отговарящи за контрола и одита на средствата от ЕС.</w:t>
            </w:r>
          </w:p>
          <w:p w14:paraId="7B1827E3"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Освен това законодателните изменения включват: </w:t>
            </w:r>
          </w:p>
          <w:p w14:paraId="68BF1BE2" w14:textId="77777777" w:rsidR="00A17CA8" w:rsidRPr="0051384F" w:rsidRDefault="00A17CA8" w:rsidP="00576E40">
            <w:pPr>
              <w:pStyle w:val="ListParagraph"/>
              <w:numPr>
                <w:ilvl w:val="0"/>
                <w:numId w:val="90"/>
              </w:numPr>
              <w:spacing w:after="0" w:line="240" w:lineRule="auto"/>
              <w:ind w:left="318"/>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забрана за преразпределяне на задачи от „вътрешни“ поръчки (както са определени в член 12 от Директивата за обществените поръчки) към подизпълнители; </w:t>
            </w:r>
          </w:p>
          <w:p w14:paraId="069DA704" w14:textId="77777777" w:rsidR="00A17CA8" w:rsidRPr="0051384F" w:rsidRDefault="00A17CA8" w:rsidP="00576E40">
            <w:pPr>
              <w:pStyle w:val="ListParagraph"/>
              <w:numPr>
                <w:ilvl w:val="0"/>
                <w:numId w:val="90"/>
              </w:numPr>
              <w:spacing w:after="0" w:line="240" w:lineRule="auto"/>
              <w:ind w:left="318"/>
              <w:rPr>
                <w:rFonts w:ascii="Times New Roman" w:eastAsia="Times New Roman" w:hAnsi="Times New Roman" w:cs="Times New Roman"/>
                <w:noProof/>
                <w:color w:val="006100"/>
                <w:sz w:val="20"/>
                <w:szCs w:val="20"/>
              </w:rPr>
            </w:pPr>
            <w:r>
              <w:rPr>
                <w:rFonts w:ascii="Times New Roman" w:hAnsi="Times New Roman"/>
                <w:noProof/>
                <w:color w:val="006100"/>
                <w:sz w:val="20"/>
              </w:rPr>
              <w:t>правно изискване за своевременно публикуване на сключените „вътрешни“ договори за обществени поръчки и приложенията към тях;</w:t>
            </w:r>
          </w:p>
          <w:p w14:paraId="691CE5DE" w14:textId="77777777" w:rsidR="00A17CA8" w:rsidRPr="0051384F" w:rsidRDefault="00A17CA8" w:rsidP="00576E40">
            <w:pPr>
              <w:pStyle w:val="ListParagraph"/>
              <w:numPr>
                <w:ilvl w:val="0"/>
                <w:numId w:val="90"/>
              </w:numPr>
              <w:spacing w:after="0" w:line="240" w:lineRule="auto"/>
              <w:ind w:left="318"/>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правно изискване за публикуване на информация за плащанията по такива договори; </w:t>
            </w:r>
          </w:p>
          <w:p w14:paraId="14AB764E" w14:textId="11331DA8" w:rsidR="00A17CA8" w:rsidRPr="0051384F" w:rsidRDefault="00A17CA8" w:rsidP="00576E40">
            <w:pPr>
              <w:pStyle w:val="ListParagraph"/>
              <w:numPr>
                <w:ilvl w:val="0"/>
                <w:numId w:val="90"/>
              </w:numPr>
              <w:spacing w:after="0" w:line="240" w:lineRule="auto"/>
              <w:ind w:left="318"/>
              <w:rPr>
                <w:rFonts w:ascii="Times New Roman" w:eastAsia="Times New Roman" w:hAnsi="Times New Roman" w:cs="Times New Roman"/>
                <w:noProof/>
                <w:color w:val="006100"/>
                <w:sz w:val="20"/>
                <w:szCs w:val="20"/>
              </w:rPr>
            </w:pPr>
            <w:r>
              <w:rPr>
                <w:rFonts w:ascii="Times New Roman" w:hAnsi="Times New Roman"/>
                <w:noProof/>
                <w:color w:val="006100"/>
                <w:sz w:val="20"/>
              </w:rPr>
              <w:t>ефективни и възпиращи санкции в случай на неспазване на горепосочените елементи</w:t>
            </w:r>
          </w:p>
        </w:tc>
      </w:tr>
      <w:tr w:rsidR="007F2B35" w:rsidRPr="005241FC" w14:paraId="510B4442" w14:textId="77777777" w:rsidTr="00A80AF7">
        <w:trPr>
          <w:trHeight w:val="1755"/>
          <w:jc w:val="right"/>
        </w:trPr>
        <w:tc>
          <w:tcPr>
            <w:tcW w:w="710" w:type="dxa"/>
            <w:tcBorders>
              <w:top w:val="nil"/>
              <w:left w:val="single" w:sz="4" w:space="0" w:color="000000" w:themeColor="text1"/>
              <w:bottom w:val="single" w:sz="4" w:space="0" w:color="000000" w:themeColor="text1"/>
              <w:right w:val="single" w:sz="4" w:space="0" w:color="000000" w:themeColor="text1"/>
            </w:tcBorders>
            <w:shd w:val="clear" w:color="auto" w:fill="C6EFCE"/>
            <w:noWrap/>
          </w:tcPr>
          <w:p w14:paraId="6BC28261" w14:textId="1295DA77" w:rsidR="00A17CA8" w:rsidRPr="0051384F" w:rsidRDefault="005853E9"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243</w:t>
            </w:r>
          </w:p>
        </w:tc>
        <w:tc>
          <w:tcPr>
            <w:tcW w:w="1286" w:type="dxa"/>
            <w:tcBorders>
              <w:top w:val="nil"/>
              <w:left w:val="nil"/>
              <w:bottom w:val="single" w:sz="4" w:space="0" w:color="000000" w:themeColor="text1"/>
              <w:right w:val="single" w:sz="4" w:space="0" w:color="000000" w:themeColor="text1"/>
            </w:tcBorders>
            <w:shd w:val="clear" w:color="auto" w:fill="C6EFCE"/>
            <w:noWrap/>
          </w:tcPr>
          <w:p w14:paraId="2010BA14" w14:textId="48B8068B" w:rsidR="00A17CA8" w:rsidRPr="0051384F" w:rsidRDefault="00772A3B"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К10.Р10: Възлагане на обществени поръчки</w:t>
            </w:r>
          </w:p>
        </w:tc>
        <w:tc>
          <w:tcPr>
            <w:tcW w:w="1085" w:type="dxa"/>
            <w:tcBorders>
              <w:top w:val="nil"/>
              <w:left w:val="nil"/>
              <w:bottom w:val="single" w:sz="4" w:space="0" w:color="000000" w:themeColor="text1"/>
              <w:right w:val="single" w:sz="4" w:space="0" w:color="000000" w:themeColor="text1"/>
            </w:tcBorders>
            <w:shd w:val="clear" w:color="auto" w:fill="C6EFCE"/>
            <w:noWrap/>
          </w:tcPr>
          <w:p w14:paraId="3CBF480A"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Цел</w:t>
            </w:r>
          </w:p>
        </w:tc>
        <w:tc>
          <w:tcPr>
            <w:tcW w:w="1734" w:type="dxa"/>
            <w:tcBorders>
              <w:top w:val="nil"/>
              <w:left w:val="nil"/>
              <w:bottom w:val="single" w:sz="4" w:space="0" w:color="000000" w:themeColor="text1"/>
              <w:right w:val="single" w:sz="4" w:space="0" w:color="000000" w:themeColor="text1"/>
            </w:tcBorders>
            <w:shd w:val="clear" w:color="auto" w:fill="C6EFCE"/>
            <w:noWrap/>
          </w:tcPr>
          <w:p w14:paraId="113B7902"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Намаляване на дела на обществените поръчки, възложени въз основа на един-единствен оферент</w:t>
            </w:r>
          </w:p>
        </w:tc>
        <w:tc>
          <w:tcPr>
            <w:tcW w:w="1417" w:type="dxa"/>
            <w:tcBorders>
              <w:top w:val="nil"/>
              <w:left w:val="nil"/>
              <w:bottom w:val="single" w:sz="4" w:space="0" w:color="000000" w:themeColor="text1"/>
              <w:right w:val="single" w:sz="4" w:space="0" w:color="000000" w:themeColor="text1"/>
            </w:tcBorders>
            <w:shd w:val="clear" w:color="auto" w:fill="C6EFCE"/>
            <w:noWrap/>
          </w:tcPr>
          <w:p w14:paraId="319DFF3E"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993" w:type="dxa"/>
            <w:tcBorders>
              <w:top w:val="nil"/>
              <w:left w:val="nil"/>
              <w:bottom w:val="single" w:sz="4" w:space="0" w:color="000000" w:themeColor="text1"/>
              <w:right w:val="single" w:sz="4" w:space="0" w:color="000000" w:themeColor="text1"/>
            </w:tcBorders>
            <w:shd w:val="clear" w:color="auto" w:fill="C6EFCE"/>
            <w:noWrap/>
          </w:tcPr>
          <w:p w14:paraId="1555CC3C" w14:textId="4186EE89" w:rsidR="00A17CA8" w:rsidRPr="0051384F" w:rsidRDefault="702FA0E6"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18"/>
              </w:rPr>
              <w:t xml:space="preserve"> % (процент)</w:t>
            </w:r>
          </w:p>
        </w:tc>
        <w:tc>
          <w:tcPr>
            <w:tcW w:w="1134" w:type="dxa"/>
            <w:tcBorders>
              <w:top w:val="nil"/>
              <w:left w:val="nil"/>
              <w:bottom w:val="single" w:sz="4" w:space="0" w:color="000000" w:themeColor="text1"/>
              <w:right w:val="single" w:sz="4" w:space="0" w:color="000000" w:themeColor="text1"/>
            </w:tcBorders>
            <w:shd w:val="clear" w:color="auto" w:fill="C6EFCE"/>
            <w:noWrap/>
          </w:tcPr>
          <w:p w14:paraId="1788E40E"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26</w:t>
            </w:r>
          </w:p>
        </w:tc>
        <w:tc>
          <w:tcPr>
            <w:tcW w:w="1134" w:type="dxa"/>
            <w:tcBorders>
              <w:top w:val="nil"/>
              <w:left w:val="nil"/>
              <w:bottom w:val="single" w:sz="4" w:space="0" w:color="000000" w:themeColor="text1"/>
              <w:right w:val="single" w:sz="4" w:space="0" w:color="000000" w:themeColor="text1"/>
            </w:tcBorders>
            <w:shd w:val="clear" w:color="auto" w:fill="C6EFCE"/>
            <w:noWrap/>
          </w:tcPr>
          <w:p w14:paraId="79A1A0C9"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25</w:t>
            </w:r>
          </w:p>
        </w:tc>
        <w:tc>
          <w:tcPr>
            <w:tcW w:w="850" w:type="dxa"/>
            <w:tcBorders>
              <w:top w:val="nil"/>
              <w:left w:val="nil"/>
              <w:bottom w:val="single" w:sz="4" w:space="0" w:color="000000" w:themeColor="text1"/>
              <w:right w:val="single" w:sz="4" w:space="0" w:color="000000" w:themeColor="text1"/>
            </w:tcBorders>
            <w:shd w:val="clear" w:color="auto" w:fill="C6EFCE"/>
            <w:noWrap/>
          </w:tcPr>
          <w:p w14:paraId="48A22599"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T4</w:t>
            </w:r>
          </w:p>
        </w:tc>
        <w:tc>
          <w:tcPr>
            <w:tcW w:w="744" w:type="dxa"/>
            <w:tcBorders>
              <w:top w:val="nil"/>
              <w:left w:val="nil"/>
              <w:bottom w:val="single" w:sz="4" w:space="0" w:color="000000" w:themeColor="text1"/>
              <w:right w:val="single" w:sz="4" w:space="0" w:color="000000" w:themeColor="text1"/>
            </w:tcBorders>
            <w:shd w:val="clear" w:color="auto" w:fill="C6EFCE"/>
            <w:noWrap/>
          </w:tcPr>
          <w:p w14:paraId="0F892BB0"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2022</w:t>
            </w:r>
          </w:p>
        </w:tc>
        <w:tc>
          <w:tcPr>
            <w:tcW w:w="4359" w:type="dxa"/>
            <w:tcBorders>
              <w:top w:val="nil"/>
              <w:left w:val="nil"/>
              <w:bottom w:val="single" w:sz="4" w:space="0" w:color="000000" w:themeColor="text1"/>
              <w:right w:val="single" w:sz="4" w:space="0" w:color="000000" w:themeColor="text1"/>
            </w:tcBorders>
            <w:shd w:val="clear" w:color="auto" w:fill="C6EFCE"/>
          </w:tcPr>
          <w:p w14:paraId="1C5DAEE5"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Делът на процедурите за възлагане на обществени поръчки с един оферент се измерва като процент от всички тръжни процедури за обществени поръчки, приключени през 2022 г. (включително под прага, определен от съответното законодателство на ЕС в областта на обществените поръчки, в което се определят минимални хармонизирани правила за търгове, чиято парична стойност надвишава определена сума и за които се предполага, че е налице трансграничен интерес). Делът на процедурите за възлагане на обществени поръчки с един оферент за поръчки с подпомагане от Съюза и поръчки, финансирани с национални ресурси, се намалява поотделно на 25 %, измерен в съответствие с методиката на информационното табло за вътрешния пазар.</w:t>
            </w:r>
            <w:r>
              <w:rPr>
                <w:rFonts w:ascii="Times New Roman" w:hAnsi="Times New Roman"/>
                <w:noProof/>
                <w:color w:val="006100"/>
                <w:sz w:val="20"/>
              </w:rPr>
              <w:br/>
            </w:r>
          </w:p>
        </w:tc>
      </w:tr>
      <w:tr w:rsidR="007F2B35" w:rsidRPr="005241FC" w14:paraId="22FB03EC" w14:textId="77777777" w:rsidTr="00A80AF7">
        <w:trPr>
          <w:trHeight w:val="1755"/>
          <w:jc w:val="right"/>
        </w:trPr>
        <w:tc>
          <w:tcPr>
            <w:tcW w:w="710" w:type="dxa"/>
            <w:tcBorders>
              <w:top w:val="nil"/>
              <w:left w:val="single" w:sz="4" w:space="0" w:color="000000" w:themeColor="text1"/>
              <w:bottom w:val="single" w:sz="4" w:space="0" w:color="000000" w:themeColor="text1"/>
              <w:right w:val="single" w:sz="4" w:space="0" w:color="000000" w:themeColor="text1"/>
            </w:tcBorders>
            <w:shd w:val="clear" w:color="auto" w:fill="C6EFCE"/>
            <w:noWrap/>
          </w:tcPr>
          <w:p w14:paraId="38ABA8B4" w14:textId="7F7C4CFD" w:rsidR="009D7A96" w:rsidRPr="0051384F" w:rsidRDefault="009D7A96" w:rsidP="009D7A96">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244</w:t>
            </w:r>
          </w:p>
        </w:tc>
        <w:tc>
          <w:tcPr>
            <w:tcW w:w="1286" w:type="dxa"/>
            <w:tcBorders>
              <w:top w:val="nil"/>
              <w:left w:val="nil"/>
              <w:bottom w:val="single" w:sz="4" w:space="0" w:color="000000" w:themeColor="text1"/>
              <w:right w:val="single" w:sz="4" w:space="0" w:color="000000" w:themeColor="text1"/>
            </w:tcBorders>
            <w:shd w:val="clear" w:color="auto" w:fill="C6EFCE"/>
            <w:noWrap/>
          </w:tcPr>
          <w:p w14:paraId="2C73DEAE" w14:textId="77777777" w:rsidR="009D7A96" w:rsidRPr="009D7A96" w:rsidRDefault="009D7A96" w:rsidP="00382A9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К10.Р10: Възлагане на обществени поръчки</w:t>
            </w:r>
          </w:p>
        </w:tc>
        <w:tc>
          <w:tcPr>
            <w:tcW w:w="1085" w:type="dxa"/>
            <w:tcBorders>
              <w:top w:val="nil"/>
              <w:left w:val="nil"/>
              <w:bottom w:val="single" w:sz="4" w:space="0" w:color="000000" w:themeColor="text1"/>
              <w:right w:val="single" w:sz="4" w:space="0" w:color="000000" w:themeColor="text1"/>
            </w:tcBorders>
            <w:shd w:val="clear" w:color="auto" w:fill="C6EFCE"/>
            <w:noWrap/>
          </w:tcPr>
          <w:p w14:paraId="74327227" w14:textId="77777777" w:rsidR="009D7A96" w:rsidRPr="0051384F" w:rsidRDefault="009D7A96" w:rsidP="00382A9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734" w:type="dxa"/>
            <w:tcBorders>
              <w:top w:val="nil"/>
              <w:left w:val="nil"/>
              <w:bottom w:val="single" w:sz="4" w:space="0" w:color="000000" w:themeColor="text1"/>
              <w:right w:val="single" w:sz="4" w:space="0" w:color="000000" w:themeColor="text1"/>
            </w:tcBorders>
            <w:shd w:val="clear" w:color="auto" w:fill="C6EFCE"/>
            <w:noWrap/>
          </w:tcPr>
          <w:p w14:paraId="4E52442B" w14:textId="77777777" w:rsidR="009D7A96" w:rsidRPr="0051384F" w:rsidRDefault="009D7A96" w:rsidP="00382A9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Актуализирана методика за контрол и проверка на Агенцията за обществени поръчки</w:t>
            </w:r>
          </w:p>
        </w:tc>
        <w:tc>
          <w:tcPr>
            <w:tcW w:w="1417" w:type="dxa"/>
            <w:tcBorders>
              <w:top w:val="nil"/>
              <w:left w:val="nil"/>
              <w:bottom w:val="single" w:sz="4" w:space="0" w:color="000000" w:themeColor="text1"/>
              <w:right w:val="single" w:sz="4" w:space="0" w:color="000000" w:themeColor="text1"/>
            </w:tcBorders>
            <w:shd w:val="clear" w:color="auto" w:fill="C6EFCE"/>
            <w:noWrap/>
          </w:tcPr>
          <w:p w14:paraId="450E0528" w14:textId="77777777" w:rsidR="009D7A96" w:rsidRPr="0051384F" w:rsidRDefault="009D7A96" w:rsidP="00382A9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Приемане на промени в методиката на Агенцията за обществени поръчки и първи публикуван доклад за резултатите от проверките</w:t>
            </w:r>
          </w:p>
        </w:tc>
        <w:tc>
          <w:tcPr>
            <w:tcW w:w="993" w:type="dxa"/>
            <w:tcBorders>
              <w:top w:val="nil"/>
              <w:left w:val="nil"/>
              <w:bottom w:val="single" w:sz="4" w:space="0" w:color="000000" w:themeColor="text1"/>
              <w:right w:val="single" w:sz="4" w:space="0" w:color="000000" w:themeColor="text1"/>
            </w:tcBorders>
            <w:shd w:val="clear" w:color="auto" w:fill="C6EFCE"/>
            <w:noWrap/>
          </w:tcPr>
          <w:p w14:paraId="45E899B6" w14:textId="77777777" w:rsidR="009D7A96" w:rsidRPr="009D7A96" w:rsidRDefault="009D7A96" w:rsidP="00382A9B">
            <w:pP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6100"/>
                <w:sz w:val="18"/>
              </w:rPr>
              <w:t> </w:t>
            </w:r>
          </w:p>
        </w:tc>
        <w:tc>
          <w:tcPr>
            <w:tcW w:w="1134" w:type="dxa"/>
            <w:tcBorders>
              <w:top w:val="nil"/>
              <w:left w:val="nil"/>
              <w:bottom w:val="single" w:sz="4" w:space="0" w:color="000000" w:themeColor="text1"/>
              <w:right w:val="single" w:sz="4" w:space="0" w:color="000000" w:themeColor="text1"/>
            </w:tcBorders>
            <w:shd w:val="clear" w:color="auto" w:fill="C6EFCE"/>
            <w:noWrap/>
          </w:tcPr>
          <w:p w14:paraId="075DAE37" w14:textId="77777777" w:rsidR="009D7A96" w:rsidRPr="009D7A96" w:rsidRDefault="009D7A96" w:rsidP="00382A9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1134" w:type="dxa"/>
            <w:tcBorders>
              <w:top w:val="nil"/>
              <w:left w:val="nil"/>
              <w:bottom w:val="single" w:sz="4" w:space="0" w:color="000000" w:themeColor="text1"/>
              <w:right w:val="single" w:sz="4" w:space="0" w:color="000000" w:themeColor="text1"/>
            </w:tcBorders>
            <w:shd w:val="clear" w:color="auto" w:fill="C6EFCE"/>
            <w:noWrap/>
          </w:tcPr>
          <w:p w14:paraId="2FF13851" w14:textId="77777777" w:rsidR="009D7A96" w:rsidRPr="009D7A96" w:rsidRDefault="009D7A96" w:rsidP="00382A9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850" w:type="dxa"/>
            <w:tcBorders>
              <w:top w:val="nil"/>
              <w:left w:val="nil"/>
              <w:bottom w:val="single" w:sz="4" w:space="0" w:color="000000" w:themeColor="text1"/>
              <w:right w:val="single" w:sz="4" w:space="0" w:color="000000" w:themeColor="text1"/>
            </w:tcBorders>
            <w:shd w:val="clear" w:color="auto" w:fill="C6EFCE"/>
            <w:noWrap/>
          </w:tcPr>
          <w:p w14:paraId="540A4814" w14:textId="77777777" w:rsidR="009D7A96" w:rsidRPr="0051384F" w:rsidRDefault="009D7A96" w:rsidP="00382A9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T1</w:t>
            </w:r>
          </w:p>
        </w:tc>
        <w:tc>
          <w:tcPr>
            <w:tcW w:w="744" w:type="dxa"/>
            <w:tcBorders>
              <w:top w:val="nil"/>
              <w:left w:val="nil"/>
              <w:bottom w:val="single" w:sz="4" w:space="0" w:color="000000" w:themeColor="text1"/>
              <w:right w:val="single" w:sz="4" w:space="0" w:color="000000" w:themeColor="text1"/>
            </w:tcBorders>
            <w:shd w:val="clear" w:color="auto" w:fill="C6EFCE"/>
            <w:noWrap/>
          </w:tcPr>
          <w:p w14:paraId="297BFA23" w14:textId="77777777" w:rsidR="009D7A96" w:rsidRPr="0051384F" w:rsidRDefault="009D7A96" w:rsidP="00382A9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2023</w:t>
            </w:r>
          </w:p>
        </w:tc>
        <w:tc>
          <w:tcPr>
            <w:tcW w:w="4359" w:type="dxa"/>
            <w:tcBorders>
              <w:top w:val="nil"/>
              <w:left w:val="nil"/>
              <w:bottom w:val="single" w:sz="4" w:space="0" w:color="000000" w:themeColor="text1"/>
              <w:right w:val="single" w:sz="4" w:space="0" w:color="000000" w:themeColor="text1"/>
            </w:tcBorders>
            <w:shd w:val="clear" w:color="auto" w:fill="C6EFCE"/>
          </w:tcPr>
          <w:p w14:paraId="1437E683" w14:textId="77777777" w:rsidR="009D7A96" w:rsidRPr="0051384F" w:rsidRDefault="009D7A96" w:rsidP="00382A9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С промените в методика на Агенцията за обществени поръчки за контрол и проверка:</w:t>
            </w:r>
          </w:p>
          <w:p w14:paraId="3F92E23E" w14:textId="77777777" w:rsidR="009D7A96" w:rsidRPr="0051384F" w:rsidRDefault="009D7A96" w:rsidP="00382A9B">
            <w:pPr>
              <w:pStyle w:val="ListParagraph"/>
              <w:numPr>
                <w:ilvl w:val="0"/>
                <w:numId w:val="52"/>
              </w:numPr>
              <w:spacing w:after="0" w:line="240" w:lineRule="auto"/>
              <w:ind w:left="318"/>
              <w:rPr>
                <w:rFonts w:ascii="Times New Roman" w:eastAsia="Times New Roman" w:hAnsi="Times New Roman" w:cs="Times New Roman"/>
                <w:noProof/>
                <w:color w:val="006100"/>
                <w:sz w:val="20"/>
                <w:szCs w:val="20"/>
              </w:rPr>
            </w:pPr>
            <w:r>
              <w:rPr>
                <w:rFonts w:ascii="Times New Roman" w:hAnsi="Times New Roman"/>
                <w:noProof/>
                <w:color w:val="006100"/>
                <w:sz w:val="20"/>
              </w:rPr>
              <w:t>се увеличават извършваните от Агенцията предварителни проверки на процедурите за възлагане на обществени поръчки, подпомагани със средства от ЕС (включително Механизма за възстановяване и устойчивост);</w:t>
            </w:r>
          </w:p>
          <w:p w14:paraId="00FE3646" w14:textId="77777777" w:rsidR="009D7A96" w:rsidRPr="0051384F" w:rsidRDefault="009D7A96" w:rsidP="00382A9B">
            <w:pPr>
              <w:pStyle w:val="ListParagraph"/>
              <w:numPr>
                <w:ilvl w:val="0"/>
                <w:numId w:val="52"/>
              </w:numPr>
              <w:spacing w:after="0" w:line="240" w:lineRule="auto"/>
              <w:ind w:left="318"/>
              <w:rPr>
                <w:rFonts w:ascii="Times New Roman" w:eastAsia="Times New Roman" w:hAnsi="Times New Roman" w:cs="Times New Roman"/>
                <w:noProof/>
                <w:color w:val="006100"/>
                <w:sz w:val="20"/>
                <w:szCs w:val="20"/>
              </w:rPr>
            </w:pPr>
            <w:r>
              <w:rPr>
                <w:rFonts w:ascii="Times New Roman" w:hAnsi="Times New Roman"/>
                <w:noProof/>
                <w:color w:val="006100"/>
                <w:sz w:val="20"/>
              </w:rPr>
              <w:t>се подобряват методологиите за оценка на риска, използвани при подбора на проверяваните проекти;</w:t>
            </w:r>
          </w:p>
          <w:p w14:paraId="3374D56D" w14:textId="77777777" w:rsidR="009D7A96" w:rsidRPr="0051384F" w:rsidRDefault="009D7A96" w:rsidP="00382A9B">
            <w:pPr>
              <w:pStyle w:val="ListParagraph"/>
              <w:numPr>
                <w:ilvl w:val="0"/>
                <w:numId w:val="52"/>
              </w:numPr>
              <w:spacing w:after="0" w:line="240" w:lineRule="auto"/>
              <w:ind w:left="318"/>
              <w:rPr>
                <w:rFonts w:ascii="Times New Roman" w:eastAsia="Times New Roman" w:hAnsi="Times New Roman" w:cs="Times New Roman"/>
                <w:noProof/>
                <w:color w:val="006100"/>
                <w:sz w:val="20"/>
                <w:szCs w:val="20"/>
              </w:rPr>
            </w:pPr>
            <w:r>
              <w:rPr>
                <w:rFonts w:ascii="Times New Roman" w:hAnsi="Times New Roman"/>
                <w:noProof/>
                <w:color w:val="006100"/>
                <w:sz w:val="20"/>
              </w:rPr>
              <w:t>се въвежда образец за отчитане на резултатите от проверките, обхващащ основните констатации и въпроси, които трябва да бъдат разгледани от изпълнителите; както и</w:t>
            </w:r>
          </w:p>
          <w:p w14:paraId="242C80B4" w14:textId="77777777" w:rsidR="009D7A96" w:rsidRPr="0051384F" w:rsidRDefault="009D7A96" w:rsidP="00382A9B">
            <w:pPr>
              <w:pStyle w:val="ListParagraph"/>
              <w:numPr>
                <w:ilvl w:val="0"/>
                <w:numId w:val="52"/>
              </w:numPr>
              <w:spacing w:after="0" w:line="240" w:lineRule="auto"/>
              <w:ind w:left="318"/>
              <w:rPr>
                <w:rFonts w:ascii="Times New Roman" w:eastAsia="Times New Roman" w:hAnsi="Times New Roman" w:cs="Times New Roman"/>
                <w:noProof/>
                <w:color w:val="006100"/>
                <w:sz w:val="20"/>
                <w:szCs w:val="20"/>
              </w:rPr>
            </w:pPr>
            <w:r>
              <w:rPr>
                <w:rFonts w:ascii="Times New Roman" w:hAnsi="Times New Roman"/>
                <w:noProof/>
                <w:color w:val="006100"/>
                <w:sz w:val="20"/>
              </w:rPr>
              <w:t>се определя и въвежда процедура за редовна отчетност и публикуване на резултатите.</w:t>
            </w:r>
          </w:p>
          <w:p w14:paraId="5A525105" w14:textId="77777777" w:rsidR="009D7A96" w:rsidRPr="0051384F" w:rsidRDefault="009D7A96" w:rsidP="00382A9B">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Първото издание на доклада за резултатите от проверките по актуализираната методика се публикува през 2023 г., като обхваща 2022 г. </w:t>
            </w:r>
          </w:p>
        </w:tc>
      </w:tr>
      <w:tr w:rsidR="007F2B35" w:rsidRPr="005241FC" w14:paraId="3E5F606E" w14:textId="77777777" w:rsidTr="00A80AF7">
        <w:trPr>
          <w:trHeight w:val="1755"/>
          <w:jc w:val="right"/>
        </w:trPr>
        <w:tc>
          <w:tcPr>
            <w:tcW w:w="710" w:type="dxa"/>
            <w:tcBorders>
              <w:top w:val="nil"/>
              <w:left w:val="single" w:sz="4" w:space="0" w:color="000000" w:themeColor="text1"/>
              <w:bottom w:val="single" w:sz="4" w:space="0" w:color="000000" w:themeColor="text1"/>
              <w:right w:val="single" w:sz="4" w:space="0" w:color="000000" w:themeColor="text1"/>
            </w:tcBorders>
            <w:shd w:val="clear" w:color="auto" w:fill="C6EFCE"/>
            <w:noWrap/>
          </w:tcPr>
          <w:p w14:paraId="3846733D" w14:textId="08B01FC9" w:rsidR="00A17CA8" w:rsidRPr="0051384F" w:rsidRDefault="002C094E"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245</w:t>
            </w:r>
          </w:p>
        </w:tc>
        <w:tc>
          <w:tcPr>
            <w:tcW w:w="1286" w:type="dxa"/>
            <w:tcBorders>
              <w:top w:val="nil"/>
              <w:left w:val="nil"/>
              <w:bottom w:val="single" w:sz="4" w:space="0" w:color="000000" w:themeColor="text1"/>
              <w:right w:val="single" w:sz="4" w:space="0" w:color="000000" w:themeColor="text1"/>
            </w:tcBorders>
            <w:shd w:val="clear" w:color="auto" w:fill="C6EFCE"/>
            <w:noWrap/>
          </w:tcPr>
          <w:p w14:paraId="01BFCE25" w14:textId="188C88CD" w:rsidR="00A17CA8" w:rsidRPr="0051384F" w:rsidRDefault="00772A3B"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К10.Р10: Възлагане на обществени поръчки</w:t>
            </w:r>
          </w:p>
        </w:tc>
        <w:tc>
          <w:tcPr>
            <w:tcW w:w="1085" w:type="dxa"/>
            <w:tcBorders>
              <w:top w:val="nil"/>
              <w:left w:val="nil"/>
              <w:bottom w:val="single" w:sz="4" w:space="0" w:color="000000" w:themeColor="text1"/>
              <w:right w:val="single" w:sz="4" w:space="0" w:color="000000" w:themeColor="text1"/>
            </w:tcBorders>
            <w:shd w:val="clear" w:color="auto" w:fill="C6EFCE"/>
            <w:noWrap/>
          </w:tcPr>
          <w:p w14:paraId="365412E5"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734" w:type="dxa"/>
            <w:tcBorders>
              <w:top w:val="nil"/>
              <w:left w:val="nil"/>
              <w:bottom w:val="single" w:sz="4" w:space="0" w:color="000000" w:themeColor="text1"/>
              <w:right w:val="single" w:sz="4" w:space="0" w:color="000000" w:themeColor="text1"/>
            </w:tcBorders>
            <w:shd w:val="clear" w:color="auto" w:fill="C6EFCE"/>
            <w:noWrap/>
          </w:tcPr>
          <w:p w14:paraId="5265B089"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Въвеждане на нови стандартни електронни формуляри за обществените поръчки</w:t>
            </w:r>
          </w:p>
        </w:tc>
        <w:tc>
          <w:tcPr>
            <w:tcW w:w="1417" w:type="dxa"/>
            <w:tcBorders>
              <w:top w:val="nil"/>
              <w:left w:val="nil"/>
              <w:bottom w:val="single" w:sz="4" w:space="0" w:color="000000" w:themeColor="text1"/>
              <w:right w:val="single" w:sz="4" w:space="0" w:color="000000" w:themeColor="text1"/>
            </w:tcBorders>
            <w:shd w:val="clear" w:color="auto" w:fill="C6EFCE"/>
            <w:noWrap/>
          </w:tcPr>
          <w:p w14:paraId="22326458"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Новите стандартни електронни формуляри са налични и тяхното използване е задължително </w:t>
            </w:r>
          </w:p>
        </w:tc>
        <w:tc>
          <w:tcPr>
            <w:tcW w:w="993" w:type="dxa"/>
            <w:tcBorders>
              <w:top w:val="nil"/>
              <w:left w:val="nil"/>
              <w:bottom w:val="single" w:sz="4" w:space="0" w:color="000000" w:themeColor="text1"/>
              <w:right w:val="single" w:sz="4" w:space="0" w:color="000000" w:themeColor="text1"/>
            </w:tcBorders>
            <w:shd w:val="clear" w:color="auto" w:fill="C6EFCE"/>
            <w:noWrap/>
          </w:tcPr>
          <w:p w14:paraId="02403F04"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sz w:val="20"/>
              </w:rPr>
              <w:t xml:space="preserve"> </w:t>
            </w:r>
          </w:p>
        </w:tc>
        <w:tc>
          <w:tcPr>
            <w:tcW w:w="1134" w:type="dxa"/>
            <w:tcBorders>
              <w:top w:val="nil"/>
              <w:left w:val="nil"/>
              <w:bottom w:val="single" w:sz="4" w:space="0" w:color="000000" w:themeColor="text1"/>
              <w:right w:val="single" w:sz="4" w:space="0" w:color="000000" w:themeColor="text1"/>
            </w:tcBorders>
            <w:shd w:val="clear" w:color="auto" w:fill="C6EFCE"/>
            <w:noWrap/>
          </w:tcPr>
          <w:p w14:paraId="75BE3505"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sz w:val="20"/>
              </w:rPr>
              <w:t xml:space="preserve"> </w:t>
            </w:r>
          </w:p>
        </w:tc>
        <w:tc>
          <w:tcPr>
            <w:tcW w:w="1134" w:type="dxa"/>
            <w:tcBorders>
              <w:top w:val="nil"/>
              <w:left w:val="nil"/>
              <w:bottom w:val="single" w:sz="4" w:space="0" w:color="000000" w:themeColor="text1"/>
              <w:right w:val="single" w:sz="4" w:space="0" w:color="000000" w:themeColor="text1"/>
            </w:tcBorders>
            <w:shd w:val="clear" w:color="auto" w:fill="C6EFCE"/>
            <w:noWrap/>
          </w:tcPr>
          <w:p w14:paraId="1D050658"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sz w:val="20"/>
              </w:rPr>
              <w:t xml:space="preserve"> </w:t>
            </w:r>
          </w:p>
        </w:tc>
        <w:tc>
          <w:tcPr>
            <w:tcW w:w="850" w:type="dxa"/>
            <w:tcBorders>
              <w:top w:val="nil"/>
              <w:left w:val="nil"/>
              <w:bottom w:val="single" w:sz="4" w:space="0" w:color="000000" w:themeColor="text1"/>
              <w:right w:val="single" w:sz="4" w:space="0" w:color="000000" w:themeColor="text1"/>
            </w:tcBorders>
            <w:shd w:val="clear" w:color="auto" w:fill="C6EFCE"/>
            <w:noWrap/>
          </w:tcPr>
          <w:p w14:paraId="64D11C62"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T3</w:t>
            </w:r>
          </w:p>
        </w:tc>
        <w:tc>
          <w:tcPr>
            <w:tcW w:w="744" w:type="dxa"/>
            <w:tcBorders>
              <w:top w:val="nil"/>
              <w:left w:val="nil"/>
              <w:bottom w:val="single" w:sz="4" w:space="0" w:color="000000" w:themeColor="text1"/>
              <w:right w:val="single" w:sz="4" w:space="0" w:color="000000" w:themeColor="text1"/>
            </w:tcBorders>
            <w:shd w:val="clear" w:color="auto" w:fill="C6EFCE"/>
            <w:noWrap/>
          </w:tcPr>
          <w:p w14:paraId="453AC134"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2023</w:t>
            </w:r>
          </w:p>
        </w:tc>
        <w:tc>
          <w:tcPr>
            <w:tcW w:w="4359" w:type="dxa"/>
            <w:tcBorders>
              <w:top w:val="nil"/>
              <w:left w:val="nil"/>
              <w:bottom w:val="single" w:sz="4" w:space="0" w:color="000000" w:themeColor="text1"/>
              <w:right w:val="single" w:sz="4" w:space="0" w:color="000000" w:themeColor="text1"/>
            </w:tcBorders>
            <w:shd w:val="clear" w:color="auto" w:fill="C6EFCE"/>
          </w:tcPr>
          <w:p w14:paraId="7A12CD6A" w14:textId="77777777" w:rsidR="00A17CA8" w:rsidRPr="0051384F" w:rsidRDefault="00A17CA8" w:rsidP="00576E40">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В националната система за електронни обществени поръчки се разработват и въвеждат нови стандартни електронни формуляри за изпълнителите. За поръчки със стойност над праговете, посочени в директивите на ЕС за обществените поръчки, електронните формуляри се основават на стандартните електронни формуляри на ЕС за обществените поръчки.</w:t>
            </w:r>
          </w:p>
        </w:tc>
      </w:tr>
      <w:tr w:rsidR="007F2B35" w:rsidRPr="005241FC" w14:paraId="06C85808" w14:textId="77777777" w:rsidTr="00A80AF7">
        <w:trPr>
          <w:trHeight w:val="1755"/>
          <w:jc w:val="right"/>
        </w:trPr>
        <w:tc>
          <w:tcPr>
            <w:tcW w:w="710" w:type="dxa"/>
            <w:tcBorders>
              <w:top w:val="nil"/>
              <w:left w:val="single" w:sz="4" w:space="0" w:color="000000" w:themeColor="text1"/>
              <w:bottom w:val="single" w:sz="4" w:space="0" w:color="000000" w:themeColor="text1"/>
              <w:right w:val="single" w:sz="4" w:space="0" w:color="000000" w:themeColor="text1"/>
            </w:tcBorders>
            <w:shd w:val="clear" w:color="auto" w:fill="C6EFCE"/>
            <w:noWrap/>
          </w:tcPr>
          <w:p w14:paraId="6C033ECA" w14:textId="770B0CFE" w:rsidR="00A17CA8" w:rsidRPr="0051384F" w:rsidRDefault="002C094E"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246</w:t>
            </w:r>
          </w:p>
        </w:tc>
        <w:tc>
          <w:tcPr>
            <w:tcW w:w="1286" w:type="dxa"/>
            <w:tcBorders>
              <w:top w:val="nil"/>
              <w:left w:val="nil"/>
              <w:bottom w:val="single" w:sz="4" w:space="0" w:color="000000" w:themeColor="text1"/>
              <w:right w:val="single" w:sz="4" w:space="0" w:color="000000" w:themeColor="text1"/>
            </w:tcBorders>
            <w:shd w:val="clear" w:color="auto" w:fill="C6EFCE"/>
            <w:noWrap/>
          </w:tcPr>
          <w:p w14:paraId="538CBBA0" w14:textId="4607DB02" w:rsidR="00A17CA8" w:rsidRPr="0051384F" w:rsidRDefault="00772A3B"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К10.Р10: Възлагане на обществени поръчки</w:t>
            </w:r>
          </w:p>
        </w:tc>
        <w:tc>
          <w:tcPr>
            <w:tcW w:w="1085" w:type="dxa"/>
            <w:tcBorders>
              <w:top w:val="nil"/>
              <w:left w:val="nil"/>
              <w:bottom w:val="single" w:sz="4" w:space="0" w:color="000000" w:themeColor="text1"/>
              <w:right w:val="single" w:sz="4" w:space="0" w:color="000000" w:themeColor="text1"/>
            </w:tcBorders>
            <w:shd w:val="clear" w:color="auto" w:fill="C6EFCE"/>
            <w:noWrap/>
          </w:tcPr>
          <w:p w14:paraId="5906C6DC"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Цел</w:t>
            </w:r>
          </w:p>
        </w:tc>
        <w:tc>
          <w:tcPr>
            <w:tcW w:w="1734" w:type="dxa"/>
            <w:tcBorders>
              <w:top w:val="nil"/>
              <w:left w:val="nil"/>
              <w:bottom w:val="single" w:sz="4" w:space="0" w:color="000000" w:themeColor="text1"/>
              <w:right w:val="single" w:sz="4" w:space="0" w:color="000000" w:themeColor="text1"/>
            </w:tcBorders>
            <w:shd w:val="clear" w:color="auto" w:fill="C6EFCE"/>
            <w:noWrap/>
          </w:tcPr>
          <w:p w14:paraId="7407C8AD"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Намаляване на дела на обществените поръчки, възложени въз основа на един-единствен оферент</w:t>
            </w:r>
          </w:p>
        </w:tc>
        <w:tc>
          <w:tcPr>
            <w:tcW w:w="1417" w:type="dxa"/>
            <w:tcBorders>
              <w:top w:val="nil"/>
              <w:left w:val="nil"/>
              <w:bottom w:val="single" w:sz="4" w:space="0" w:color="000000" w:themeColor="text1"/>
              <w:right w:val="single" w:sz="4" w:space="0" w:color="000000" w:themeColor="text1"/>
            </w:tcBorders>
            <w:shd w:val="clear" w:color="auto" w:fill="C6EFCE"/>
            <w:noWrap/>
          </w:tcPr>
          <w:p w14:paraId="69AA7E1F"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993" w:type="dxa"/>
            <w:tcBorders>
              <w:top w:val="nil"/>
              <w:left w:val="nil"/>
              <w:bottom w:val="single" w:sz="4" w:space="0" w:color="000000" w:themeColor="text1"/>
              <w:right w:val="single" w:sz="4" w:space="0" w:color="000000" w:themeColor="text1"/>
            </w:tcBorders>
            <w:shd w:val="clear" w:color="auto" w:fill="C6EFCE"/>
            <w:noWrap/>
          </w:tcPr>
          <w:p w14:paraId="4CB54D0B" w14:textId="7796F24A" w:rsidR="00A17CA8" w:rsidRPr="009A6F66" w:rsidRDefault="702FA0E6" w:rsidP="00576E40">
            <w:pPr>
              <w:spacing w:after="0" w:line="240" w:lineRule="auto"/>
              <w:rPr>
                <w:rFonts w:ascii="Times New Roman" w:hAnsi="Times New Roman" w:cs="Times New Roman"/>
                <w:noProof/>
                <w:sz w:val="18"/>
                <w:szCs w:val="18"/>
              </w:rPr>
            </w:pPr>
            <w:r>
              <w:rPr>
                <w:rFonts w:ascii="Times New Roman" w:hAnsi="Times New Roman"/>
                <w:noProof/>
                <w:color w:val="006100"/>
                <w:sz w:val="18"/>
              </w:rPr>
              <w:t xml:space="preserve"> % (процент)</w:t>
            </w:r>
          </w:p>
        </w:tc>
        <w:tc>
          <w:tcPr>
            <w:tcW w:w="1134" w:type="dxa"/>
            <w:tcBorders>
              <w:top w:val="nil"/>
              <w:left w:val="nil"/>
              <w:bottom w:val="single" w:sz="4" w:space="0" w:color="000000" w:themeColor="text1"/>
              <w:right w:val="single" w:sz="4" w:space="0" w:color="000000" w:themeColor="text1"/>
            </w:tcBorders>
            <w:shd w:val="clear" w:color="auto" w:fill="C6EFCE"/>
            <w:noWrap/>
          </w:tcPr>
          <w:p w14:paraId="62597A68" w14:textId="77777777" w:rsidR="00A17CA8" w:rsidRPr="0051384F" w:rsidRDefault="00A17CA8" w:rsidP="00576E40">
            <w:pPr>
              <w:spacing w:after="0" w:line="240" w:lineRule="auto"/>
              <w:rPr>
                <w:rFonts w:ascii="Times New Roman" w:hAnsi="Times New Roman" w:cs="Times New Roman"/>
                <w:noProof/>
                <w:sz w:val="20"/>
                <w:szCs w:val="20"/>
              </w:rPr>
            </w:pPr>
            <w:r>
              <w:rPr>
                <w:rFonts w:ascii="Times New Roman" w:hAnsi="Times New Roman"/>
                <w:noProof/>
                <w:color w:val="006100"/>
                <w:sz w:val="20"/>
              </w:rPr>
              <w:t>25</w:t>
            </w:r>
          </w:p>
        </w:tc>
        <w:tc>
          <w:tcPr>
            <w:tcW w:w="1134" w:type="dxa"/>
            <w:tcBorders>
              <w:top w:val="nil"/>
              <w:left w:val="nil"/>
              <w:bottom w:val="single" w:sz="4" w:space="0" w:color="000000" w:themeColor="text1"/>
              <w:right w:val="single" w:sz="4" w:space="0" w:color="000000" w:themeColor="text1"/>
            </w:tcBorders>
            <w:shd w:val="clear" w:color="auto" w:fill="C6EFCE"/>
            <w:noWrap/>
          </w:tcPr>
          <w:p w14:paraId="1DB9D8B3" w14:textId="77777777" w:rsidR="00A17CA8" w:rsidRPr="0051384F" w:rsidRDefault="00A17CA8" w:rsidP="00576E40">
            <w:pPr>
              <w:spacing w:after="0" w:line="240" w:lineRule="auto"/>
              <w:rPr>
                <w:rFonts w:ascii="Times New Roman" w:hAnsi="Times New Roman" w:cs="Times New Roman"/>
                <w:noProof/>
                <w:sz w:val="20"/>
                <w:szCs w:val="20"/>
              </w:rPr>
            </w:pPr>
            <w:r>
              <w:rPr>
                <w:rFonts w:ascii="Times New Roman" w:hAnsi="Times New Roman"/>
                <w:noProof/>
                <w:color w:val="006100"/>
                <w:sz w:val="20"/>
              </w:rPr>
              <w:t>24</w:t>
            </w:r>
          </w:p>
        </w:tc>
        <w:tc>
          <w:tcPr>
            <w:tcW w:w="850" w:type="dxa"/>
            <w:tcBorders>
              <w:top w:val="nil"/>
              <w:left w:val="nil"/>
              <w:bottom w:val="single" w:sz="4" w:space="0" w:color="000000" w:themeColor="text1"/>
              <w:right w:val="single" w:sz="4" w:space="0" w:color="000000" w:themeColor="text1"/>
            </w:tcBorders>
            <w:shd w:val="clear" w:color="auto" w:fill="C6EFCE"/>
            <w:noWrap/>
          </w:tcPr>
          <w:p w14:paraId="7DBB1A99"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T4</w:t>
            </w:r>
          </w:p>
        </w:tc>
        <w:tc>
          <w:tcPr>
            <w:tcW w:w="744" w:type="dxa"/>
            <w:tcBorders>
              <w:top w:val="nil"/>
              <w:left w:val="nil"/>
              <w:bottom w:val="single" w:sz="4" w:space="0" w:color="000000" w:themeColor="text1"/>
              <w:right w:val="single" w:sz="4" w:space="0" w:color="000000" w:themeColor="text1"/>
            </w:tcBorders>
            <w:shd w:val="clear" w:color="auto" w:fill="C6EFCE"/>
            <w:noWrap/>
          </w:tcPr>
          <w:p w14:paraId="0DF85C0B"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2023</w:t>
            </w:r>
          </w:p>
        </w:tc>
        <w:tc>
          <w:tcPr>
            <w:tcW w:w="4359" w:type="dxa"/>
            <w:tcBorders>
              <w:top w:val="nil"/>
              <w:left w:val="nil"/>
              <w:bottom w:val="single" w:sz="4" w:space="0" w:color="000000" w:themeColor="text1"/>
              <w:right w:val="single" w:sz="4" w:space="0" w:color="000000" w:themeColor="text1"/>
            </w:tcBorders>
            <w:shd w:val="clear" w:color="auto" w:fill="C6EFCE"/>
          </w:tcPr>
          <w:p w14:paraId="0BEFBA3C" w14:textId="77777777" w:rsidR="00A17CA8" w:rsidRPr="0051384F" w:rsidRDefault="00A17CA8" w:rsidP="00576E40">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Делът на процедурите за възлагане на обществени поръчки с един оферент се измерва като процент от всички тръжни процедури за обществени поръчки, приключени през 2023 г. (включително под прага, определен от съответното законодателство на ЕС в областта на обществените поръчки, в което се определят минимални хармонизирани правила за търгове, чиято парична стойност надвишава определена сума и за които се предполага, че е налице трансграничен интерес). Делът на процедурите за възлагане на обществени поръчки с един оферент за договори с подпомагане от Съюза и договори, финансирани с национални ресурси, се намалява поотделно на 24 %, измерен в съответствие с методиката на информационното табло за вътрешния пазар.</w:t>
            </w:r>
          </w:p>
        </w:tc>
      </w:tr>
      <w:tr w:rsidR="007F2B35" w:rsidRPr="005241FC" w14:paraId="28157962" w14:textId="77777777" w:rsidTr="00A80AF7">
        <w:trPr>
          <w:trHeight w:val="1755"/>
          <w:jc w:val="right"/>
        </w:trPr>
        <w:tc>
          <w:tcPr>
            <w:tcW w:w="710" w:type="dxa"/>
            <w:tcBorders>
              <w:top w:val="nil"/>
              <w:left w:val="single" w:sz="4" w:space="0" w:color="000000" w:themeColor="text1"/>
              <w:bottom w:val="single" w:sz="4" w:space="0" w:color="000000" w:themeColor="text1"/>
              <w:right w:val="single" w:sz="4" w:space="0" w:color="000000" w:themeColor="text1"/>
            </w:tcBorders>
            <w:shd w:val="clear" w:color="auto" w:fill="C6EFCE"/>
            <w:noWrap/>
          </w:tcPr>
          <w:p w14:paraId="4EE5E247" w14:textId="2A75D1D2" w:rsidR="00A17CA8" w:rsidRPr="0051384F" w:rsidRDefault="002C094E"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247</w:t>
            </w:r>
          </w:p>
        </w:tc>
        <w:tc>
          <w:tcPr>
            <w:tcW w:w="1286" w:type="dxa"/>
            <w:tcBorders>
              <w:top w:val="nil"/>
              <w:left w:val="nil"/>
              <w:bottom w:val="single" w:sz="4" w:space="0" w:color="000000" w:themeColor="text1"/>
              <w:right w:val="single" w:sz="4" w:space="0" w:color="000000" w:themeColor="text1"/>
            </w:tcBorders>
            <w:shd w:val="clear" w:color="auto" w:fill="C6EFCE"/>
            <w:noWrap/>
          </w:tcPr>
          <w:p w14:paraId="6426A08C" w14:textId="1410A50E" w:rsidR="00A17CA8" w:rsidRPr="0051384F" w:rsidRDefault="00772A3B"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К10.Р10: Възлагане на обществени поръчки</w:t>
            </w:r>
          </w:p>
        </w:tc>
        <w:tc>
          <w:tcPr>
            <w:tcW w:w="1085" w:type="dxa"/>
            <w:tcBorders>
              <w:top w:val="nil"/>
              <w:left w:val="nil"/>
              <w:bottom w:val="single" w:sz="4" w:space="0" w:color="000000" w:themeColor="text1"/>
              <w:right w:val="single" w:sz="4" w:space="0" w:color="000000" w:themeColor="text1"/>
            </w:tcBorders>
            <w:shd w:val="clear" w:color="auto" w:fill="C6EFCE"/>
            <w:noWrap/>
          </w:tcPr>
          <w:p w14:paraId="38EA0422"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Цел</w:t>
            </w:r>
          </w:p>
        </w:tc>
        <w:tc>
          <w:tcPr>
            <w:tcW w:w="1734" w:type="dxa"/>
            <w:tcBorders>
              <w:top w:val="nil"/>
              <w:left w:val="nil"/>
              <w:bottom w:val="single" w:sz="4" w:space="0" w:color="000000" w:themeColor="text1"/>
              <w:right w:val="single" w:sz="4" w:space="0" w:color="000000" w:themeColor="text1"/>
            </w:tcBorders>
            <w:shd w:val="clear" w:color="auto" w:fill="C6EFCE"/>
            <w:noWrap/>
          </w:tcPr>
          <w:p w14:paraId="04AD6E10"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Ограничаване прилагането на процедури на договаряне без предварително обявление</w:t>
            </w:r>
          </w:p>
        </w:tc>
        <w:tc>
          <w:tcPr>
            <w:tcW w:w="1417" w:type="dxa"/>
            <w:tcBorders>
              <w:top w:val="nil"/>
              <w:left w:val="nil"/>
              <w:bottom w:val="single" w:sz="4" w:space="0" w:color="000000" w:themeColor="text1"/>
              <w:right w:val="single" w:sz="4" w:space="0" w:color="000000" w:themeColor="text1"/>
            </w:tcBorders>
            <w:shd w:val="clear" w:color="auto" w:fill="C6EFCE"/>
            <w:noWrap/>
          </w:tcPr>
          <w:p w14:paraId="0C6409E6"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993" w:type="dxa"/>
            <w:tcBorders>
              <w:top w:val="nil"/>
              <w:left w:val="nil"/>
              <w:bottom w:val="single" w:sz="4" w:space="0" w:color="000000" w:themeColor="text1"/>
              <w:right w:val="single" w:sz="4" w:space="0" w:color="000000" w:themeColor="text1"/>
            </w:tcBorders>
            <w:shd w:val="clear" w:color="auto" w:fill="C6EFCE"/>
            <w:noWrap/>
          </w:tcPr>
          <w:p w14:paraId="74DC64DD" w14:textId="33B1FA21" w:rsidR="00A17CA8" w:rsidRPr="009A6F66" w:rsidRDefault="702FA0E6" w:rsidP="00576E40">
            <w:pP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6100"/>
                <w:sz w:val="18"/>
              </w:rPr>
              <w:t xml:space="preserve"> % (процент)</w:t>
            </w:r>
          </w:p>
        </w:tc>
        <w:tc>
          <w:tcPr>
            <w:tcW w:w="1134" w:type="dxa"/>
            <w:tcBorders>
              <w:top w:val="nil"/>
              <w:left w:val="nil"/>
              <w:bottom w:val="single" w:sz="4" w:space="0" w:color="000000" w:themeColor="text1"/>
              <w:right w:val="single" w:sz="4" w:space="0" w:color="000000" w:themeColor="text1"/>
            </w:tcBorders>
            <w:shd w:val="clear" w:color="auto" w:fill="C6EFCE"/>
            <w:noWrap/>
          </w:tcPr>
          <w:p w14:paraId="461667D9"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29</w:t>
            </w:r>
          </w:p>
        </w:tc>
        <w:tc>
          <w:tcPr>
            <w:tcW w:w="1134" w:type="dxa"/>
            <w:tcBorders>
              <w:top w:val="nil"/>
              <w:left w:val="nil"/>
              <w:bottom w:val="single" w:sz="4" w:space="0" w:color="000000" w:themeColor="text1"/>
              <w:right w:val="single" w:sz="4" w:space="0" w:color="000000" w:themeColor="text1"/>
            </w:tcBorders>
            <w:shd w:val="clear" w:color="auto" w:fill="C6EFCE"/>
            <w:noWrap/>
          </w:tcPr>
          <w:p w14:paraId="649AC985"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18</w:t>
            </w:r>
          </w:p>
        </w:tc>
        <w:tc>
          <w:tcPr>
            <w:tcW w:w="850" w:type="dxa"/>
            <w:tcBorders>
              <w:top w:val="nil"/>
              <w:left w:val="nil"/>
              <w:bottom w:val="single" w:sz="4" w:space="0" w:color="000000" w:themeColor="text1"/>
              <w:right w:val="single" w:sz="4" w:space="0" w:color="000000" w:themeColor="text1"/>
            </w:tcBorders>
            <w:shd w:val="clear" w:color="auto" w:fill="C6EFCE"/>
            <w:noWrap/>
          </w:tcPr>
          <w:p w14:paraId="2131DD6B"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T4</w:t>
            </w:r>
          </w:p>
        </w:tc>
        <w:tc>
          <w:tcPr>
            <w:tcW w:w="744" w:type="dxa"/>
            <w:tcBorders>
              <w:top w:val="nil"/>
              <w:left w:val="nil"/>
              <w:bottom w:val="single" w:sz="4" w:space="0" w:color="000000" w:themeColor="text1"/>
              <w:right w:val="single" w:sz="4" w:space="0" w:color="000000" w:themeColor="text1"/>
            </w:tcBorders>
            <w:shd w:val="clear" w:color="auto" w:fill="C6EFCE"/>
            <w:noWrap/>
          </w:tcPr>
          <w:p w14:paraId="11080D24"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2023</w:t>
            </w:r>
          </w:p>
        </w:tc>
        <w:tc>
          <w:tcPr>
            <w:tcW w:w="4359" w:type="dxa"/>
            <w:tcBorders>
              <w:top w:val="nil"/>
              <w:left w:val="nil"/>
              <w:bottom w:val="single" w:sz="4" w:space="0" w:color="000000" w:themeColor="text1"/>
              <w:right w:val="single" w:sz="4" w:space="0" w:color="000000" w:themeColor="text1"/>
            </w:tcBorders>
            <w:shd w:val="clear" w:color="auto" w:fill="C6EFCE"/>
          </w:tcPr>
          <w:p w14:paraId="7CECEB8D"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Делът на процедурите на договаряне без обявление се измерва като процент от всички тръжни процедури за обществени поръчки, приключени през 2023 г. (включително под прага, определен от съответното законодателство на ЕС в областта на обществените поръчки, в което се определят минимални хармонизирани правила за търгове, чиято парична стойност надвишава определена сума и за които се предполага, че е налице трансграничен интерес). Делът на процедурите на договаряне без обявление за поръчки с подпомагане от Съюза и поръчки, финансирани с национални ресурси, се намалява поотделно на 18 %, измерен в съответствие с методиката на информационното табло за вътрешния пазар.</w:t>
            </w:r>
            <w:r>
              <w:rPr>
                <w:rFonts w:ascii="Times New Roman" w:hAnsi="Times New Roman"/>
                <w:noProof/>
                <w:color w:val="006100"/>
                <w:sz w:val="20"/>
              </w:rPr>
              <w:br/>
            </w:r>
          </w:p>
        </w:tc>
      </w:tr>
      <w:tr w:rsidR="007F2B35" w:rsidRPr="005241FC" w14:paraId="2599F641" w14:textId="77777777" w:rsidTr="00A80AF7">
        <w:trPr>
          <w:trHeight w:val="1755"/>
          <w:jc w:val="right"/>
        </w:trPr>
        <w:tc>
          <w:tcPr>
            <w:tcW w:w="710" w:type="dxa"/>
            <w:tcBorders>
              <w:top w:val="nil"/>
              <w:left w:val="single" w:sz="4" w:space="0" w:color="000000" w:themeColor="text1"/>
              <w:bottom w:val="single" w:sz="4" w:space="0" w:color="000000" w:themeColor="text1"/>
              <w:right w:val="single" w:sz="4" w:space="0" w:color="000000" w:themeColor="text1"/>
            </w:tcBorders>
            <w:shd w:val="clear" w:color="auto" w:fill="C6EFCE"/>
            <w:noWrap/>
          </w:tcPr>
          <w:p w14:paraId="5ADE7380" w14:textId="65A59682" w:rsidR="00A17CA8" w:rsidRPr="0051384F" w:rsidRDefault="002C094E"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248</w:t>
            </w:r>
          </w:p>
        </w:tc>
        <w:tc>
          <w:tcPr>
            <w:tcW w:w="1286" w:type="dxa"/>
            <w:tcBorders>
              <w:top w:val="nil"/>
              <w:left w:val="nil"/>
              <w:bottom w:val="single" w:sz="4" w:space="0" w:color="000000" w:themeColor="text1"/>
              <w:right w:val="single" w:sz="4" w:space="0" w:color="000000" w:themeColor="text1"/>
            </w:tcBorders>
            <w:shd w:val="clear" w:color="auto" w:fill="C6EFCE"/>
            <w:noWrap/>
          </w:tcPr>
          <w:p w14:paraId="2301D99B" w14:textId="046B24A5" w:rsidR="00A17CA8" w:rsidRPr="0051384F" w:rsidRDefault="00772A3B"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К10.Р10: Възлагане на обществени поръчки</w:t>
            </w:r>
          </w:p>
        </w:tc>
        <w:tc>
          <w:tcPr>
            <w:tcW w:w="1085" w:type="dxa"/>
            <w:tcBorders>
              <w:top w:val="nil"/>
              <w:left w:val="nil"/>
              <w:bottom w:val="single" w:sz="4" w:space="0" w:color="000000" w:themeColor="text1"/>
              <w:right w:val="single" w:sz="4" w:space="0" w:color="000000" w:themeColor="text1"/>
            </w:tcBorders>
            <w:shd w:val="clear" w:color="auto" w:fill="C6EFCE"/>
            <w:noWrap/>
          </w:tcPr>
          <w:p w14:paraId="1905DC90"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Цел</w:t>
            </w:r>
          </w:p>
        </w:tc>
        <w:tc>
          <w:tcPr>
            <w:tcW w:w="1734" w:type="dxa"/>
            <w:tcBorders>
              <w:top w:val="nil"/>
              <w:left w:val="nil"/>
              <w:bottom w:val="single" w:sz="4" w:space="0" w:color="000000" w:themeColor="text1"/>
              <w:right w:val="single" w:sz="4" w:space="0" w:color="000000" w:themeColor="text1"/>
            </w:tcBorders>
            <w:shd w:val="clear" w:color="auto" w:fill="C6EFCE"/>
            <w:noWrap/>
          </w:tcPr>
          <w:p w14:paraId="10EB3E35"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Намаляване на дела на обществените поръчки, възложени въз основа на един-единствен оферент</w:t>
            </w:r>
          </w:p>
        </w:tc>
        <w:tc>
          <w:tcPr>
            <w:tcW w:w="1417" w:type="dxa"/>
            <w:tcBorders>
              <w:top w:val="nil"/>
              <w:left w:val="nil"/>
              <w:bottom w:val="single" w:sz="4" w:space="0" w:color="000000" w:themeColor="text1"/>
              <w:right w:val="single" w:sz="4" w:space="0" w:color="000000" w:themeColor="text1"/>
            </w:tcBorders>
            <w:shd w:val="clear" w:color="auto" w:fill="C6EFCE"/>
            <w:noWrap/>
          </w:tcPr>
          <w:p w14:paraId="2BBE2C14"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993" w:type="dxa"/>
            <w:tcBorders>
              <w:top w:val="nil"/>
              <w:left w:val="nil"/>
              <w:bottom w:val="single" w:sz="4" w:space="0" w:color="000000" w:themeColor="text1"/>
              <w:right w:val="single" w:sz="4" w:space="0" w:color="000000" w:themeColor="text1"/>
            </w:tcBorders>
            <w:shd w:val="clear" w:color="auto" w:fill="C6EFCE"/>
            <w:noWrap/>
          </w:tcPr>
          <w:p w14:paraId="39ADD747" w14:textId="549789B9" w:rsidR="00A17CA8" w:rsidRPr="009A6F66" w:rsidRDefault="702FA0E6" w:rsidP="00576E40">
            <w:pP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6100"/>
                <w:sz w:val="18"/>
              </w:rPr>
              <w:t xml:space="preserve"> % (процент)</w:t>
            </w:r>
          </w:p>
        </w:tc>
        <w:tc>
          <w:tcPr>
            <w:tcW w:w="1134" w:type="dxa"/>
            <w:tcBorders>
              <w:top w:val="nil"/>
              <w:left w:val="nil"/>
              <w:bottom w:val="single" w:sz="4" w:space="0" w:color="000000" w:themeColor="text1"/>
              <w:right w:val="single" w:sz="4" w:space="0" w:color="000000" w:themeColor="text1"/>
            </w:tcBorders>
            <w:shd w:val="clear" w:color="auto" w:fill="C6EFCE"/>
            <w:noWrap/>
          </w:tcPr>
          <w:p w14:paraId="5D289ABB"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24</w:t>
            </w:r>
          </w:p>
        </w:tc>
        <w:tc>
          <w:tcPr>
            <w:tcW w:w="1134" w:type="dxa"/>
            <w:tcBorders>
              <w:top w:val="nil"/>
              <w:left w:val="nil"/>
              <w:bottom w:val="single" w:sz="4" w:space="0" w:color="000000" w:themeColor="text1"/>
              <w:right w:val="single" w:sz="4" w:space="0" w:color="000000" w:themeColor="text1"/>
            </w:tcBorders>
            <w:shd w:val="clear" w:color="auto" w:fill="C6EFCE"/>
            <w:noWrap/>
          </w:tcPr>
          <w:p w14:paraId="79C4CCE6"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23</w:t>
            </w:r>
          </w:p>
        </w:tc>
        <w:tc>
          <w:tcPr>
            <w:tcW w:w="850" w:type="dxa"/>
            <w:tcBorders>
              <w:top w:val="nil"/>
              <w:left w:val="nil"/>
              <w:bottom w:val="single" w:sz="4" w:space="0" w:color="000000" w:themeColor="text1"/>
              <w:right w:val="single" w:sz="4" w:space="0" w:color="000000" w:themeColor="text1"/>
            </w:tcBorders>
            <w:shd w:val="clear" w:color="auto" w:fill="C6EFCE"/>
            <w:noWrap/>
          </w:tcPr>
          <w:p w14:paraId="0DF59303"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T4</w:t>
            </w:r>
          </w:p>
        </w:tc>
        <w:tc>
          <w:tcPr>
            <w:tcW w:w="744" w:type="dxa"/>
            <w:tcBorders>
              <w:top w:val="nil"/>
              <w:left w:val="nil"/>
              <w:bottom w:val="single" w:sz="4" w:space="0" w:color="000000" w:themeColor="text1"/>
              <w:right w:val="single" w:sz="4" w:space="0" w:color="000000" w:themeColor="text1"/>
            </w:tcBorders>
            <w:shd w:val="clear" w:color="auto" w:fill="C6EFCE"/>
            <w:noWrap/>
          </w:tcPr>
          <w:p w14:paraId="21158C85"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2024</w:t>
            </w:r>
          </w:p>
        </w:tc>
        <w:tc>
          <w:tcPr>
            <w:tcW w:w="4359" w:type="dxa"/>
            <w:tcBorders>
              <w:top w:val="nil"/>
              <w:left w:val="nil"/>
              <w:bottom w:val="single" w:sz="4" w:space="0" w:color="000000" w:themeColor="text1"/>
              <w:right w:val="single" w:sz="4" w:space="0" w:color="000000" w:themeColor="text1"/>
            </w:tcBorders>
            <w:shd w:val="clear" w:color="auto" w:fill="C6EFCE"/>
          </w:tcPr>
          <w:p w14:paraId="52BC8728" w14:textId="77777777" w:rsidR="00A17CA8" w:rsidRPr="0051384F" w:rsidRDefault="00A17CA8" w:rsidP="00576E40">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Делът на процедурите за възлагане на обществени поръчки с един оферент се измерва като процент от всички тръжни процедури за обществени поръчки, приключени през 2024 г. (включително под прага, определен от съответното законодателство на ЕС в областта на обществените поръчки, в което се определят минимални хармонизирани правила за търгове, чиято парична стойност надвишава определена сума и за които се предполага, че е налице трансграничен интерес). Делът на процедурите за възлагане на обществени поръчки с един оферент за поръчки с подпомагане от Съюза и поръчки, финансирани с национални ресурси, се намалява поотделно на 23 %, измерен в съответствие с методиката на информационното табло за вътрешния пазар.</w:t>
            </w:r>
          </w:p>
        </w:tc>
      </w:tr>
      <w:tr w:rsidR="007F2B35" w:rsidRPr="005241FC" w14:paraId="249EC484" w14:textId="77777777" w:rsidTr="00A80AF7">
        <w:trPr>
          <w:trHeight w:val="1755"/>
          <w:jc w:val="right"/>
        </w:trPr>
        <w:tc>
          <w:tcPr>
            <w:tcW w:w="710" w:type="dxa"/>
            <w:tcBorders>
              <w:top w:val="nil"/>
              <w:left w:val="single" w:sz="4" w:space="0" w:color="000000" w:themeColor="text1"/>
              <w:bottom w:val="single" w:sz="4" w:space="0" w:color="000000" w:themeColor="text1"/>
              <w:right w:val="single" w:sz="4" w:space="0" w:color="000000" w:themeColor="text1"/>
            </w:tcBorders>
            <w:shd w:val="clear" w:color="auto" w:fill="C6EFCE"/>
            <w:noWrap/>
          </w:tcPr>
          <w:p w14:paraId="1E88E499" w14:textId="48DD9F6A" w:rsidR="00A17CA8" w:rsidRPr="0051384F" w:rsidRDefault="002C094E"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249</w:t>
            </w:r>
          </w:p>
        </w:tc>
        <w:tc>
          <w:tcPr>
            <w:tcW w:w="1286" w:type="dxa"/>
            <w:tcBorders>
              <w:top w:val="nil"/>
              <w:left w:val="nil"/>
              <w:bottom w:val="single" w:sz="4" w:space="0" w:color="000000" w:themeColor="text1"/>
              <w:right w:val="single" w:sz="4" w:space="0" w:color="000000" w:themeColor="text1"/>
            </w:tcBorders>
            <w:shd w:val="clear" w:color="auto" w:fill="C6EFCE"/>
            <w:noWrap/>
          </w:tcPr>
          <w:p w14:paraId="04B671EA" w14:textId="2CD9C5AB" w:rsidR="00A17CA8" w:rsidRPr="0051384F" w:rsidRDefault="00772A3B"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К10.Р10: Възлагане на обществени поръчки</w:t>
            </w:r>
          </w:p>
        </w:tc>
        <w:tc>
          <w:tcPr>
            <w:tcW w:w="1085" w:type="dxa"/>
            <w:tcBorders>
              <w:top w:val="nil"/>
              <w:left w:val="nil"/>
              <w:bottom w:val="single" w:sz="4" w:space="0" w:color="000000" w:themeColor="text1"/>
              <w:right w:val="single" w:sz="4" w:space="0" w:color="000000" w:themeColor="text1"/>
            </w:tcBorders>
            <w:shd w:val="clear" w:color="auto" w:fill="C6EFCE"/>
            <w:noWrap/>
          </w:tcPr>
          <w:p w14:paraId="663CD78D"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Цел</w:t>
            </w:r>
          </w:p>
        </w:tc>
        <w:tc>
          <w:tcPr>
            <w:tcW w:w="1734" w:type="dxa"/>
            <w:tcBorders>
              <w:top w:val="nil"/>
              <w:left w:val="nil"/>
              <w:bottom w:val="single" w:sz="4" w:space="0" w:color="000000" w:themeColor="text1"/>
              <w:right w:val="single" w:sz="4" w:space="0" w:color="000000" w:themeColor="text1"/>
            </w:tcBorders>
            <w:shd w:val="clear" w:color="auto" w:fill="C6EFCE"/>
            <w:noWrap/>
          </w:tcPr>
          <w:p w14:paraId="4726293E"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Ограничаване прилагането на процедури на договаряне без предварително обявление</w:t>
            </w:r>
          </w:p>
        </w:tc>
        <w:tc>
          <w:tcPr>
            <w:tcW w:w="1417" w:type="dxa"/>
            <w:tcBorders>
              <w:top w:val="nil"/>
              <w:left w:val="nil"/>
              <w:bottom w:val="single" w:sz="4" w:space="0" w:color="000000" w:themeColor="text1"/>
              <w:right w:val="single" w:sz="4" w:space="0" w:color="000000" w:themeColor="text1"/>
            </w:tcBorders>
            <w:shd w:val="clear" w:color="auto" w:fill="C6EFCE"/>
            <w:noWrap/>
          </w:tcPr>
          <w:p w14:paraId="1E091461"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993" w:type="dxa"/>
            <w:tcBorders>
              <w:top w:val="nil"/>
              <w:left w:val="nil"/>
              <w:bottom w:val="single" w:sz="4" w:space="0" w:color="000000" w:themeColor="text1"/>
              <w:right w:val="single" w:sz="4" w:space="0" w:color="000000" w:themeColor="text1"/>
            </w:tcBorders>
            <w:shd w:val="clear" w:color="auto" w:fill="C6EFCE"/>
            <w:noWrap/>
          </w:tcPr>
          <w:p w14:paraId="5D5F9372" w14:textId="76C6F432" w:rsidR="00A17CA8" w:rsidRPr="009A6F66" w:rsidRDefault="702FA0E6" w:rsidP="00576E40">
            <w:pP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6100"/>
                <w:sz w:val="18"/>
              </w:rPr>
              <w:t xml:space="preserve"> % (процент)</w:t>
            </w:r>
          </w:p>
        </w:tc>
        <w:tc>
          <w:tcPr>
            <w:tcW w:w="1134" w:type="dxa"/>
            <w:tcBorders>
              <w:top w:val="nil"/>
              <w:left w:val="nil"/>
              <w:bottom w:val="single" w:sz="4" w:space="0" w:color="000000" w:themeColor="text1"/>
              <w:right w:val="single" w:sz="4" w:space="0" w:color="000000" w:themeColor="text1"/>
            </w:tcBorders>
            <w:shd w:val="clear" w:color="auto" w:fill="C6EFCE"/>
            <w:noWrap/>
          </w:tcPr>
          <w:p w14:paraId="36A85DD2"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18</w:t>
            </w:r>
          </w:p>
        </w:tc>
        <w:tc>
          <w:tcPr>
            <w:tcW w:w="1134" w:type="dxa"/>
            <w:tcBorders>
              <w:top w:val="nil"/>
              <w:left w:val="nil"/>
              <w:bottom w:val="single" w:sz="4" w:space="0" w:color="000000" w:themeColor="text1"/>
              <w:right w:val="single" w:sz="4" w:space="0" w:color="000000" w:themeColor="text1"/>
            </w:tcBorders>
            <w:shd w:val="clear" w:color="auto" w:fill="C6EFCE"/>
            <w:noWrap/>
          </w:tcPr>
          <w:p w14:paraId="74242038"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12</w:t>
            </w:r>
          </w:p>
        </w:tc>
        <w:tc>
          <w:tcPr>
            <w:tcW w:w="850" w:type="dxa"/>
            <w:tcBorders>
              <w:top w:val="nil"/>
              <w:left w:val="nil"/>
              <w:bottom w:val="single" w:sz="4" w:space="0" w:color="000000" w:themeColor="text1"/>
              <w:right w:val="single" w:sz="4" w:space="0" w:color="000000" w:themeColor="text1"/>
            </w:tcBorders>
            <w:shd w:val="clear" w:color="auto" w:fill="C6EFCE"/>
            <w:noWrap/>
          </w:tcPr>
          <w:p w14:paraId="28F509DE"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T4</w:t>
            </w:r>
          </w:p>
        </w:tc>
        <w:tc>
          <w:tcPr>
            <w:tcW w:w="744" w:type="dxa"/>
            <w:tcBorders>
              <w:top w:val="nil"/>
              <w:left w:val="nil"/>
              <w:bottom w:val="single" w:sz="4" w:space="0" w:color="000000" w:themeColor="text1"/>
              <w:right w:val="single" w:sz="4" w:space="0" w:color="000000" w:themeColor="text1"/>
            </w:tcBorders>
            <w:shd w:val="clear" w:color="auto" w:fill="C6EFCE"/>
            <w:noWrap/>
          </w:tcPr>
          <w:p w14:paraId="5B88577F"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2024</w:t>
            </w:r>
          </w:p>
        </w:tc>
        <w:tc>
          <w:tcPr>
            <w:tcW w:w="4359" w:type="dxa"/>
            <w:tcBorders>
              <w:top w:val="nil"/>
              <w:left w:val="nil"/>
              <w:bottom w:val="single" w:sz="4" w:space="0" w:color="000000" w:themeColor="text1"/>
              <w:right w:val="single" w:sz="4" w:space="0" w:color="000000" w:themeColor="text1"/>
            </w:tcBorders>
            <w:shd w:val="clear" w:color="auto" w:fill="C6EFCE"/>
          </w:tcPr>
          <w:p w14:paraId="189198C7" w14:textId="249E9BA0" w:rsidR="00A17CA8" w:rsidRPr="0051384F" w:rsidRDefault="00A17CA8" w:rsidP="00576E40">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Делът на процедурите на договаряне без обявление се измерва като процент от всички тръжни процедури за обществени поръчки, приключени през 2024 г. (включително под прага, определен от съответното законодателство на ЕС в областта на обществените поръчки, в което се определят минимални хармонизирани правила за търгове, чиято парична стойност надвишава определена сума и за които се предполага, че е налице трансграничен интерес). Делът на процедурите на договаряне без обявление за поръчки с подпомагане от Съюза и поръчки, финансирани с национални ресурси, се намалява поотделно на 12 %, измерен в съответствие с методиката на информационното табло за вътрешния пазар.</w:t>
            </w:r>
          </w:p>
        </w:tc>
      </w:tr>
      <w:tr w:rsidR="007F2B35" w:rsidRPr="005241FC" w14:paraId="63619B79" w14:textId="77777777" w:rsidTr="00A80AF7">
        <w:trPr>
          <w:trHeight w:val="1755"/>
          <w:jc w:val="right"/>
        </w:trPr>
        <w:tc>
          <w:tcPr>
            <w:tcW w:w="710" w:type="dxa"/>
            <w:tcBorders>
              <w:top w:val="nil"/>
              <w:left w:val="single" w:sz="4" w:space="0" w:color="000000" w:themeColor="text1"/>
              <w:bottom w:val="single" w:sz="4" w:space="0" w:color="000000" w:themeColor="text1"/>
              <w:right w:val="single" w:sz="4" w:space="0" w:color="000000" w:themeColor="text1"/>
            </w:tcBorders>
            <w:shd w:val="clear" w:color="auto" w:fill="C6EFCE"/>
            <w:noWrap/>
          </w:tcPr>
          <w:p w14:paraId="79E5B499" w14:textId="6CF21049" w:rsidR="00A17CA8" w:rsidRPr="0051384F" w:rsidRDefault="002C094E"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250</w:t>
            </w:r>
          </w:p>
        </w:tc>
        <w:tc>
          <w:tcPr>
            <w:tcW w:w="1286" w:type="dxa"/>
            <w:tcBorders>
              <w:top w:val="nil"/>
              <w:left w:val="nil"/>
              <w:bottom w:val="single" w:sz="4" w:space="0" w:color="000000" w:themeColor="text1"/>
              <w:right w:val="single" w:sz="4" w:space="0" w:color="000000" w:themeColor="text1"/>
            </w:tcBorders>
            <w:shd w:val="clear" w:color="auto" w:fill="C6EFCE"/>
            <w:noWrap/>
          </w:tcPr>
          <w:p w14:paraId="7C4E37B5" w14:textId="690AB6E0" w:rsidR="00A17CA8" w:rsidRPr="0051384F" w:rsidRDefault="00772A3B"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К10.Р10: Възлагане на обществени поръчки</w:t>
            </w:r>
          </w:p>
        </w:tc>
        <w:tc>
          <w:tcPr>
            <w:tcW w:w="1085" w:type="dxa"/>
            <w:tcBorders>
              <w:top w:val="nil"/>
              <w:left w:val="nil"/>
              <w:bottom w:val="single" w:sz="4" w:space="0" w:color="000000" w:themeColor="text1"/>
              <w:right w:val="single" w:sz="4" w:space="0" w:color="000000" w:themeColor="text1"/>
            </w:tcBorders>
            <w:shd w:val="clear" w:color="auto" w:fill="C6EFCE"/>
            <w:noWrap/>
          </w:tcPr>
          <w:p w14:paraId="5FBC0AC5"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Цел</w:t>
            </w:r>
          </w:p>
        </w:tc>
        <w:tc>
          <w:tcPr>
            <w:tcW w:w="1734" w:type="dxa"/>
            <w:tcBorders>
              <w:top w:val="nil"/>
              <w:left w:val="nil"/>
              <w:bottom w:val="single" w:sz="4" w:space="0" w:color="000000" w:themeColor="text1"/>
              <w:right w:val="single" w:sz="4" w:space="0" w:color="000000" w:themeColor="text1"/>
            </w:tcBorders>
            <w:shd w:val="clear" w:color="auto" w:fill="C6EFCE"/>
            <w:noWrap/>
          </w:tcPr>
          <w:p w14:paraId="4BF616AF"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Ограничаване прилагането на процедури на договаряне без предварително обявление</w:t>
            </w:r>
          </w:p>
        </w:tc>
        <w:tc>
          <w:tcPr>
            <w:tcW w:w="1417" w:type="dxa"/>
            <w:tcBorders>
              <w:top w:val="nil"/>
              <w:left w:val="nil"/>
              <w:bottom w:val="single" w:sz="4" w:space="0" w:color="000000" w:themeColor="text1"/>
              <w:right w:val="single" w:sz="4" w:space="0" w:color="000000" w:themeColor="text1"/>
            </w:tcBorders>
            <w:shd w:val="clear" w:color="auto" w:fill="C6EFCE"/>
            <w:noWrap/>
          </w:tcPr>
          <w:p w14:paraId="3AD11FBA"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993" w:type="dxa"/>
            <w:tcBorders>
              <w:top w:val="nil"/>
              <w:left w:val="nil"/>
              <w:bottom w:val="single" w:sz="4" w:space="0" w:color="000000" w:themeColor="text1"/>
              <w:right w:val="single" w:sz="4" w:space="0" w:color="000000" w:themeColor="text1"/>
            </w:tcBorders>
            <w:shd w:val="clear" w:color="auto" w:fill="C6EFCE"/>
            <w:noWrap/>
          </w:tcPr>
          <w:p w14:paraId="03BAE87B" w14:textId="6E0E7306" w:rsidR="00A17CA8" w:rsidRPr="009A6F66" w:rsidRDefault="702FA0E6" w:rsidP="00576E40">
            <w:pP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6100"/>
                <w:sz w:val="18"/>
              </w:rPr>
              <w:t xml:space="preserve"> % (процент)</w:t>
            </w:r>
          </w:p>
        </w:tc>
        <w:tc>
          <w:tcPr>
            <w:tcW w:w="1134" w:type="dxa"/>
            <w:tcBorders>
              <w:top w:val="nil"/>
              <w:left w:val="nil"/>
              <w:bottom w:val="single" w:sz="4" w:space="0" w:color="000000" w:themeColor="text1"/>
              <w:right w:val="single" w:sz="4" w:space="0" w:color="000000" w:themeColor="text1"/>
            </w:tcBorders>
            <w:shd w:val="clear" w:color="auto" w:fill="C6EFCE"/>
            <w:noWrap/>
          </w:tcPr>
          <w:p w14:paraId="34757C38"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12</w:t>
            </w:r>
          </w:p>
        </w:tc>
        <w:tc>
          <w:tcPr>
            <w:tcW w:w="1134" w:type="dxa"/>
            <w:tcBorders>
              <w:top w:val="nil"/>
              <w:left w:val="nil"/>
              <w:bottom w:val="single" w:sz="4" w:space="0" w:color="000000" w:themeColor="text1"/>
              <w:right w:val="single" w:sz="4" w:space="0" w:color="000000" w:themeColor="text1"/>
            </w:tcBorders>
            <w:shd w:val="clear" w:color="auto" w:fill="C6EFCE"/>
            <w:noWrap/>
          </w:tcPr>
          <w:p w14:paraId="1A2B3967"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7</w:t>
            </w:r>
          </w:p>
        </w:tc>
        <w:tc>
          <w:tcPr>
            <w:tcW w:w="850" w:type="dxa"/>
            <w:tcBorders>
              <w:top w:val="nil"/>
              <w:left w:val="nil"/>
              <w:bottom w:val="single" w:sz="4" w:space="0" w:color="000000" w:themeColor="text1"/>
              <w:right w:val="single" w:sz="4" w:space="0" w:color="000000" w:themeColor="text1"/>
            </w:tcBorders>
            <w:shd w:val="clear" w:color="auto" w:fill="C6EFCE"/>
            <w:noWrap/>
          </w:tcPr>
          <w:p w14:paraId="0745DBB8"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T4</w:t>
            </w:r>
          </w:p>
        </w:tc>
        <w:tc>
          <w:tcPr>
            <w:tcW w:w="744" w:type="dxa"/>
            <w:tcBorders>
              <w:top w:val="nil"/>
              <w:left w:val="nil"/>
              <w:bottom w:val="single" w:sz="4" w:space="0" w:color="000000" w:themeColor="text1"/>
              <w:right w:val="single" w:sz="4" w:space="0" w:color="000000" w:themeColor="text1"/>
            </w:tcBorders>
            <w:shd w:val="clear" w:color="auto" w:fill="C6EFCE"/>
            <w:noWrap/>
          </w:tcPr>
          <w:p w14:paraId="1E0AD745"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2025</w:t>
            </w:r>
          </w:p>
        </w:tc>
        <w:tc>
          <w:tcPr>
            <w:tcW w:w="4359" w:type="dxa"/>
            <w:tcBorders>
              <w:top w:val="nil"/>
              <w:left w:val="nil"/>
              <w:bottom w:val="single" w:sz="4" w:space="0" w:color="000000" w:themeColor="text1"/>
              <w:right w:val="single" w:sz="4" w:space="0" w:color="000000" w:themeColor="text1"/>
            </w:tcBorders>
            <w:shd w:val="clear" w:color="auto" w:fill="C6EFCE"/>
          </w:tcPr>
          <w:p w14:paraId="20F1391A"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Делът на процедурите на договаряне без обявление се измерва като процент от всички тръжни процедури за обществени поръчки, приключени през 2025 г. (включително под прага, определен от съответното законодателство на ЕС в областта на обществените поръчки, в което се определят минимални хармонизирани правила за търгове, чиято парична стойност надвишава определена сума и за които се предполага, че е налице трансграничен интерес). Делът на процедурите на договаряне без обявление за поръчки с подпомагане от Съюза и поръчки, финансирани с национални ресурси, се намалява поотделно на 7 %, измерен в съответствие с методиката на информационното табло за вътрешния пазар.</w:t>
            </w:r>
          </w:p>
          <w:p w14:paraId="6128556A" w14:textId="7D82A006"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r>
      <w:tr w:rsidR="007F2B35" w:rsidRPr="005241FC" w14:paraId="39F6A95C" w14:textId="77777777" w:rsidTr="00A80AF7">
        <w:trPr>
          <w:trHeight w:val="1755"/>
          <w:jc w:val="right"/>
        </w:trPr>
        <w:tc>
          <w:tcPr>
            <w:tcW w:w="710" w:type="dxa"/>
            <w:tcBorders>
              <w:top w:val="nil"/>
              <w:left w:val="single" w:sz="4" w:space="0" w:color="000000" w:themeColor="text1"/>
              <w:bottom w:val="single" w:sz="4" w:space="0" w:color="000000" w:themeColor="text1"/>
              <w:right w:val="single" w:sz="4" w:space="0" w:color="000000" w:themeColor="text1"/>
            </w:tcBorders>
            <w:shd w:val="clear" w:color="auto" w:fill="C6EFCE"/>
            <w:noWrap/>
          </w:tcPr>
          <w:p w14:paraId="509EB13D" w14:textId="5C6B2FBF" w:rsidR="00A17CA8" w:rsidRPr="0051384F" w:rsidRDefault="00C723AC"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251</w:t>
            </w:r>
          </w:p>
        </w:tc>
        <w:tc>
          <w:tcPr>
            <w:tcW w:w="1286" w:type="dxa"/>
            <w:tcBorders>
              <w:top w:val="nil"/>
              <w:left w:val="nil"/>
              <w:bottom w:val="single" w:sz="4" w:space="0" w:color="000000" w:themeColor="text1"/>
              <w:right w:val="single" w:sz="4" w:space="0" w:color="000000" w:themeColor="text1"/>
            </w:tcBorders>
            <w:shd w:val="clear" w:color="auto" w:fill="C6EFCE"/>
            <w:noWrap/>
          </w:tcPr>
          <w:p w14:paraId="730243A7" w14:textId="24412EFE" w:rsidR="00A17CA8" w:rsidRPr="0051384F" w:rsidRDefault="00772A3B"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К10.Р11: Разрастване България</w:t>
            </w:r>
          </w:p>
        </w:tc>
        <w:tc>
          <w:tcPr>
            <w:tcW w:w="1085" w:type="dxa"/>
            <w:tcBorders>
              <w:top w:val="nil"/>
              <w:left w:val="nil"/>
              <w:bottom w:val="single" w:sz="4" w:space="0" w:color="000000" w:themeColor="text1"/>
              <w:right w:val="single" w:sz="4" w:space="0" w:color="000000" w:themeColor="text1"/>
            </w:tcBorders>
            <w:shd w:val="clear" w:color="auto" w:fill="C6EFCE"/>
            <w:noWrap/>
          </w:tcPr>
          <w:p w14:paraId="38EA5D59"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734" w:type="dxa"/>
            <w:tcBorders>
              <w:top w:val="nil"/>
              <w:left w:val="nil"/>
              <w:bottom w:val="single" w:sz="4" w:space="0" w:color="000000" w:themeColor="text1"/>
              <w:right w:val="single" w:sz="4" w:space="0" w:color="000000" w:themeColor="text1"/>
            </w:tcBorders>
            <w:shd w:val="clear" w:color="auto" w:fill="C6EFCE"/>
            <w:noWrap/>
          </w:tcPr>
          <w:p w14:paraId="120BE698"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Въвеждане на процедура и изисквания за издаване и отнемане на Стартъп виза;</w:t>
            </w:r>
          </w:p>
        </w:tc>
        <w:tc>
          <w:tcPr>
            <w:tcW w:w="1417" w:type="dxa"/>
            <w:tcBorders>
              <w:top w:val="nil"/>
              <w:left w:val="nil"/>
              <w:bottom w:val="single" w:sz="4" w:space="0" w:color="000000" w:themeColor="text1"/>
              <w:right w:val="single" w:sz="4" w:space="0" w:color="000000" w:themeColor="text1"/>
            </w:tcBorders>
            <w:shd w:val="clear" w:color="auto" w:fill="C6EFCE"/>
            <w:noWrap/>
          </w:tcPr>
          <w:p w14:paraId="6D99FEBA" w14:textId="74C5F6CD" w:rsidR="00A17CA8" w:rsidRPr="0051384F" w:rsidRDefault="00A17CA8" w:rsidP="003F7EDF">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Законови разпоредби, указващи влизането в сила на приета от Министерския съвет Наредба за реда и изискванията за издаване и отнемане на Стартъп виза</w:t>
            </w:r>
          </w:p>
        </w:tc>
        <w:tc>
          <w:tcPr>
            <w:tcW w:w="993" w:type="dxa"/>
            <w:tcBorders>
              <w:top w:val="nil"/>
              <w:left w:val="nil"/>
              <w:bottom w:val="single" w:sz="4" w:space="0" w:color="000000" w:themeColor="text1"/>
              <w:right w:val="single" w:sz="4" w:space="0" w:color="000000" w:themeColor="text1"/>
            </w:tcBorders>
            <w:shd w:val="clear" w:color="auto" w:fill="C6EFCE"/>
            <w:noWrap/>
          </w:tcPr>
          <w:p w14:paraId="47CE1789"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1134" w:type="dxa"/>
            <w:tcBorders>
              <w:top w:val="nil"/>
              <w:left w:val="nil"/>
              <w:bottom w:val="single" w:sz="4" w:space="0" w:color="000000" w:themeColor="text1"/>
              <w:right w:val="single" w:sz="4" w:space="0" w:color="000000" w:themeColor="text1"/>
            </w:tcBorders>
            <w:shd w:val="clear" w:color="auto" w:fill="C6EFCE"/>
            <w:noWrap/>
          </w:tcPr>
          <w:p w14:paraId="4869C740"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1134" w:type="dxa"/>
            <w:tcBorders>
              <w:top w:val="nil"/>
              <w:left w:val="nil"/>
              <w:bottom w:val="single" w:sz="4" w:space="0" w:color="000000" w:themeColor="text1"/>
              <w:right w:val="single" w:sz="4" w:space="0" w:color="000000" w:themeColor="text1"/>
            </w:tcBorders>
            <w:shd w:val="clear" w:color="auto" w:fill="C6EFCE"/>
            <w:noWrap/>
          </w:tcPr>
          <w:p w14:paraId="1D0DABFB"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850" w:type="dxa"/>
            <w:tcBorders>
              <w:top w:val="nil"/>
              <w:left w:val="nil"/>
              <w:bottom w:val="single" w:sz="4" w:space="0" w:color="000000" w:themeColor="text1"/>
              <w:right w:val="single" w:sz="4" w:space="0" w:color="000000" w:themeColor="text1"/>
            </w:tcBorders>
            <w:shd w:val="clear" w:color="auto" w:fill="C6EFCE"/>
            <w:noWrap/>
          </w:tcPr>
          <w:p w14:paraId="308B8BD5"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T3</w:t>
            </w:r>
          </w:p>
        </w:tc>
        <w:tc>
          <w:tcPr>
            <w:tcW w:w="744" w:type="dxa"/>
            <w:tcBorders>
              <w:top w:val="nil"/>
              <w:left w:val="nil"/>
              <w:bottom w:val="single" w:sz="4" w:space="0" w:color="000000" w:themeColor="text1"/>
              <w:right w:val="single" w:sz="4" w:space="0" w:color="000000" w:themeColor="text1"/>
            </w:tcBorders>
            <w:shd w:val="clear" w:color="auto" w:fill="C6EFCE"/>
            <w:noWrap/>
          </w:tcPr>
          <w:p w14:paraId="74804770"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2022</w:t>
            </w:r>
          </w:p>
        </w:tc>
        <w:tc>
          <w:tcPr>
            <w:tcW w:w="4359" w:type="dxa"/>
            <w:tcBorders>
              <w:top w:val="nil"/>
              <w:left w:val="nil"/>
              <w:bottom w:val="single" w:sz="4" w:space="0" w:color="000000" w:themeColor="text1"/>
              <w:right w:val="single" w:sz="4" w:space="0" w:color="000000" w:themeColor="text1"/>
            </w:tcBorders>
            <w:shd w:val="clear" w:color="auto" w:fill="C6EFCE"/>
          </w:tcPr>
          <w:p w14:paraId="78418474" w14:textId="77777777" w:rsidR="00A17CA8" w:rsidRPr="0051384F" w:rsidRDefault="00A17CA8" w:rsidP="00576E40">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Министерският съвет приема Наредба за реда и изискванията за издаване и отнемане на Стартъп виза в съответствие с член 24п от Закона за чужденците. </w:t>
            </w:r>
          </w:p>
          <w:p w14:paraId="04833E38" w14:textId="77777777" w:rsidR="00A17CA8" w:rsidRPr="0051384F" w:rsidRDefault="00A17CA8" w:rsidP="00576E40">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С наредбата се регламентира създаването на експертен съвет като консултативен орган към министъра на икономиката за даване на становище по подадените проекти, кандидатстване за издаване на удостоверение за високотехнологичен и/или иновативен проект, наречен „Стартъп виза“, както и условията и реда за издаване, удължаване и отнемане на такова удостоверение. </w:t>
            </w:r>
          </w:p>
        </w:tc>
      </w:tr>
      <w:tr w:rsidR="007F2B35" w:rsidRPr="005241FC" w14:paraId="7131FC02" w14:textId="77777777" w:rsidTr="00A80AF7">
        <w:trPr>
          <w:trHeight w:val="1755"/>
          <w:jc w:val="right"/>
        </w:trPr>
        <w:tc>
          <w:tcPr>
            <w:tcW w:w="710" w:type="dxa"/>
            <w:tcBorders>
              <w:top w:val="nil"/>
              <w:left w:val="single" w:sz="4" w:space="0" w:color="000000" w:themeColor="text1"/>
              <w:bottom w:val="single" w:sz="4" w:space="0" w:color="000000" w:themeColor="text1"/>
              <w:right w:val="single" w:sz="4" w:space="0" w:color="000000" w:themeColor="text1"/>
            </w:tcBorders>
            <w:shd w:val="clear" w:color="auto" w:fill="C6EFCE"/>
            <w:noWrap/>
          </w:tcPr>
          <w:p w14:paraId="46CBFF0B" w14:textId="36BEEBFB" w:rsidR="00A17CA8" w:rsidRPr="0051384F" w:rsidRDefault="00C723AC"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252</w:t>
            </w:r>
          </w:p>
        </w:tc>
        <w:tc>
          <w:tcPr>
            <w:tcW w:w="1286" w:type="dxa"/>
            <w:tcBorders>
              <w:top w:val="nil"/>
              <w:left w:val="nil"/>
              <w:bottom w:val="single" w:sz="4" w:space="0" w:color="000000" w:themeColor="text1"/>
              <w:right w:val="single" w:sz="4" w:space="0" w:color="000000" w:themeColor="text1"/>
            </w:tcBorders>
            <w:shd w:val="clear" w:color="auto" w:fill="C6EFCE"/>
            <w:noWrap/>
          </w:tcPr>
          <w:p w14:paraId="1B0433EC" w14:textId="1ADBA2ED" w:rsidR="00A17CA8" w:rsidRPr="0051384F" w:rsidRDefault="00772A3B"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К10.Р11: Разрастване България</w:t>
            </w:r>
          </w:p>
        </w:tc>
        <w:tc>
          <w:tcPr>
            <w:tcW w:w="1085" w:type="dxa"/>
            <w:tcBorders>
              <w:top w:val="nil"/>
              <w:left w:val="nil"/>
              <w:bottom w:val="single" w:sz="4" w:space="0" w:color="000000" w:themeColor="text1"/>
              <w:right w:val="single" w:sz="4" w:space="0" w:color="000000" w:themeColor="text1"/>
            </w:tcBorders>
            <w:shd w:val="clear" w:color="auto" w:fill="C6EFCE"/>
            <w:noWrap/>
          </w:tcPr>
          <w:p w14:paraId="0B489FEE"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734" w:type="dxa"/>
            <w:tcBorders>
              <w:top w:val="nil"/>
              <w:left w:val="nil"/>
              <w:bottom w:val="single" w:sz="4" w:space="0" w:color="000000" w:themeColor="text1"/>
              <w:right w:val="single" w:sz="4" w:space="0" w:color="000000" w:themeColor="text1"/>
            </w:tcBorders>
            <w:shd w:val="clear" w:color="auto" w:fill="C6EFCE"/>
            <w:noWrap/>
          </w:tcPr>
          <w:p w14:paraId="7C2C33F7" w14:textId="12679BB3" w:rsidR="00A17CA8" w:rsidRPr="0051384F" w:rsidRDefault="00A17CA8" w:rsidP="002D15BD">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Влизане в сила на Закона за несъстоятелност на физическите лица </w:t>
            </w:r>
          </w:p>
        </w:tc>
        <w:tc>
          <w:tcPr>
            <w:tcW w:w="1417" w:type="dxa"/>
            <w:tcBorders>
              <w:top w:val="nil"/>
              <w:left w:val="nil"/>
              <w:bottom w:val="single" w:sz="4" w:space="0" w:color="000000" w:themeColor="text1"/>
              <w:right w:val="single" w:sz="4" w:space="0" w:color="000000" w:themeColor="text1"/>
            </w:tcBorders>
            <w:shd w:val="clear" w:color="auto" w:fill="C6EFCE"/>
            <w:noWrap/>
          </w:tcPr>
          <w:p w14:paraId="46D28803" w14:textId="3565FCF8"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разпоредби в Закона за личния фалит, указваща неговото влизане в сила</w:t>
            </w:r>
          </w:p>
        </w:tc>
        <w:tc>
          <w:tcPr>
            <w:tcW w:w="993" w:type="dxa"/>
            <w:tcBorders>
              <w:top w:val="nil"/>
              <w:left w:val="nil"/>
              <w:bottom w:val="single" w:sz="4" w:space="0" w:color="000000" w:themeColor="text1"/>
              <w:right w:val="single" w:sz="4" w:space="0" w:color="000000" w:themeColor="text1"/>
            </w:tcBorders>
            <w:shd w:val="clear" w:color="auto" w:fill="C6EFCE"/>
            <w:noWrap/>
          </w:tcPr>
          <w:p w14:paraId="15B8A98B"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1134" w:type="dxa"/>
            <w:tcBorders>
              <w:top w:val="nil"/>
              <w:left w:val="nil"/>
              <w:bottom w:val="single" w:sz="4" w:space="0" w:color="000000" w:themeColor="text1"/>
              <w:right w:val="single" w:sz="4" w:space="0" w:color="000000" w:themeColor="text1"/>
            </w:tcBorders>
            <w:shd w:val="clear" w:color="auto" w:fill="C6EFCE"/>
            <w:noWrap/>
          </w:tcPr>
          <w:p w14:paraId="684CF3CA"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1134" w:type="dxa"/>
            <w:tcBorders>
              <w:top w:val="nil"/>
              <w:left w:val="nil"/>
              <w:bottom w:val="single" w:sz="4" w:space="0" w:color="000000" w:themeColor="text1"/>
              <w:right w:val="single" w:sz="4" w:space="0" w:color="000000" w:themeColor="text1"/>
            </w:tcBorders>
            <w:shd w:val="clear" w:color="auto" w:fill="C6EFCE"/>
            <w:noWrap/>
          </w:tcPr>
          <w:p w14:paraId="6B31725C"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850" w:type="dxa"/>
            <w:tcBorders>
              <w:top w:val="nil"/>
              <w:left w:val="nil"/>
              <w:bottom w:val="single" w:sz="4" w:space="0" w:color="000000" w:themeColor="text1"/>
              <w:right w:val="single" w:sz="4" w:space="0" w:color="000000" w:themeColor="text1"/>
            </w:tcBorders>
            <w:shd w:val="clear" w:color="auto" w:fill="C6EFCE"/>
            <w:noWrap/>
          </w:tcPr>
          <w:p w14:paraId="62FD156D"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T3</w:t>
            </w:r>
          </w:p>
        </w:tc>
        <w:tc>
          <w:tcPr>
            <w:tcW w:w="744" w:type="dxa"/>
            <w:tcBorders>
              <w:top w:val="nil"/>
              <w:left w:val="nil"/>
              <w:bottom w:val="single" w:sz="4" w:space="0" w:color="000000" w:themeColor="text1"/>
              <w:right w:val="single" w:sz="4" w:space="0" w:color="000000" w:themeColor="text1"/>
            </w:tcBorders>
            <w:shd w:val="clear" w:color="auto" w:fill="C6EFCE"/>
            <w:noWrap/>
          </w:tcPr>
          <w:p w14:paraId="222BE6EB"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2022</w:t>
            </w:r>
          </w:p>
        </w:tc>
        <w:tc>
          <w:tcPr>
            <w:tcW w:w="4359" w:type="dxa"/>
            <w:tcBorders>
              <w:top w:val="nil"/>
              <w:left w:val="nil"/>
              <w:bottom w:val="single" w:sz="4" w:space="0" w:color="000000" w:themeColor="text1"/>
              <w:right w:val="single" w:sz="4" w:space="0" w:color="000000" w:themeColor="text1"/>
            </w:tcBorders>
            <w:shd w:val="clear" w:color="auto" w:fill="C6EFCE"/>
          </w:tcPr>
          <w:p w14:paraId="09468391" w14:textId="77777777" w:rsidR="00A17CA8" w:rsidRPr="0051384F" w:rsidRDefault="00A17CA8" w:rsidP="00576E40">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Със Закона за личния фалит се въвеждат производства по несъстоятелност на физическите лица, които включват погасителен план, ликвидация на имуществото, както и производство по несъстоятелност при липса на доходи и имущество на физическите лица.</w:t>
            </w:r>
          </w:p>
        </w:tc>
      </w:tr>
      <w:tr w:rsidR="007F2B35" w:rsidRPr="005241FC" w14:paraId="36443AE4" w14:textId="77777777" w:rsidTr="00A80AF7">
        <w:trPr>
          <w:trHeight w:val="1755"/>
          <w:jc w:val="right"/>
        </w:trPr>
        <w:tc>
          <w:tcPr>
            <w:tcW w:w="710" w:type="dxa"/>
            <w:tcBorders>
              <w:top w:val="nil"/>
              <w:left w:val="single" w:sz="4" w:space="0" w:color="000000" w:themeColor="text1"/>
              <w:bottom w:val="single" w:sz="4" w:space="0" w:color="000000" w:themeColor="text1"/>
              <w:right w:val="single" w:sz="4" w:space="0" w:color="000000" w:themeColor="text1"/>
            </w:tcBorders>
            <w:shd w:val="clear" w:color="auto" w:fill="C6EFCE"/>
            <w:noWrap/>
          </w:tcPr>
          <w:p w14:paraId="259DCA9F" w14:textId="311FFE35" w:rsidR="00A17CA8" w:rsidRPr="0051384F" w:rsidRDefault="00C723AC"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253</w:t>
            </w:r>
          </w:p>
        </w:tc>
        <w:tc>
          <w:tcPr>
            <w:tcW w:w="1286" w:type="dxa"/>
            <w:tcBorders>
              <w:top w:val="nil"/>
              <w:left w:val="nil"/>
              <w:bottom w:val="single" w:sz="4" w:space="0" w:color="000000" w:themeColor="text1"/>
              <w:right w:val="single" w:sz="4" w:space="0" w:color="000000" w:themeColor="text1"/>
            </w:tcBorders>
            <w:shd w:val="clear" w:color="auto" w:fill="C6EFCE"/>
            <w:noWrap/>
          </w:tcPr>
          <w:p w14:paraId="3172ECD6" w14:textId="5D261A4A" w:rsidR="00A17CA8" w:rsidRPr="0051384F" w:rsidRDefault="00772A3B"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К10.Р11: Разрастване България</w:t>
            </w:r>
          </w:p>
        </w:tc>
        <w:tc>
          <w:tcPr>
            <w:tcW w:w="1085" w:type="dxa"/>
            <w:tcBorders>
              <w:top w:val="nil"/>
              <w:left w:val="nil"/>
              <w:bottom w:val="single" w:sz="4" w:space="0" w:color="000000" w:themeColor="text1"/>
              <w:right w:val="single" w:sz="4" w:space="0" w:color="000000" w:themeColor="text1"/>
            </w:tcBorders>
            <w:shd w:val="clear" w:color="auto" w:fill="C6EFCE"/>
            <w:noWrap/>
          </w:tcPr>
          <w:p w14:paraId="20F494A0"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734" w:type="dxa"/>
            <w:tcBorders>
              <w:top w:val="nil"/>
              <w:left w:val="nil"/>
              <w:bottom w:val="single" w:sz="4" w:space="0" w:color="000000" w:themeColor="text1"/>
              <w:right w:val="single" w:sz="4" w:space="0" w:color="000000" w:themeColor="text1"/>
            </w:tcBorders>
            <w:shd w:val="clear" w:color="auto" w:fill="C6EFCE"/>
            <w:noWrap/>
          </w:tcPr>
          <w:p w14:paraId="61F69185"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Влизане в сила на нова глава в Търговския закон за въвеждането на нова правна форма на търговско дружество</w:t>
            </w:r>
          </w:p>
        </w:tc>
        <w:tc>
          <w:tcPr>
            <w:tcW w:w="1417" w:type="dxa"/>
            <w:tcBorders>
              <w:top w:val="nil"/>
              <w:left w:val="nil"/>
              <w:bottom w:val="single" w:sz="4" w:space="0" w:color="000000" w:themeColor="text1"/>
              <w:right w:val="single" w:sz="4" w:space="0" w:color="000000" w:themeColor="text1"/>
            </w:tcBorders>
            <w:shd w:val="clear" w:color="auto" w:fill="C6EFCE"/>
            <w:noWrap/>
          </w:tcPr>
          <w:p w14:paraId="4B397B86"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Разпоредби в Търговския закон, указващи влизането в сила на измененията</w:t>
            </w:r>
          </w:p>
        </w:tc>
        <w:tc>
          <w:tcPr>
            <w:tcW w:w="993" w:type="dxa"/>
            <w:tcBorders>
              <w:top w:val="nil"/>
              <w:left w:val="nil"/>
              <w:bottom w:val="single" w:sz="4" w:space="0" w:color="000000" w:themeColor="text1"/>
              <w:right w:val="single" w:sz="4" w:space="0" w:color="000000" w:themeColor="text1"/>
            </w:tcBorders>
            <w:shd w:val="clear" w:color="auto" w:fill="C6EFCE"/>
            <w:noWrap/>
          </w:tcPr>
          <w:p w14:paraId="7744A635"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1134" w:type="dxa"/>
            <w:tcBorders>
              <w:top w:val="nil"/>
              <w:left w:val="nil"/>
              <w:bottom w:val="single" w:sz="4" w:space="0" w:color="000000" w:themeColor="text1"/>
              <w:right w:val="single" w:sz="4" w:space="0" w:color="000000" w:themeColor="text1"/>
            </w:tcBorders>
            <w:shd w:val="clear" w:color="auto" w:fill="C6EFCE"/>
            <w:noWrap/>
          </w:tcPr>
          <w:p w14:paraId="1FA939FD"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1134" w:type="dxa"/>
            <w:tcBorders>
              <w:top w:val="nil"/>
              <w:left w:val="nil"/>
              <w:bottom w:val="single" w:sz="4" w:space="0" w:color="000000" w:themeColor="text1"/>
              <w:right w:val="single" w:sz="4" w:space="0" w:color="000000" w:themeColor="text1"/>
            </w:tcBorders>
            <w:shd w:val="clear" w:color="auto" w:fill="C6EFCE"/>
            <w:noWrap/>
          </w:tcPr>
          <w:p w14:paraId="3A2266C4"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850" w:type="dxa"/>
            <w:tcBorders>
              <w:top w:val="nil"/>
              <w:left w:val="nil"/>
              <w:bottom w:val="single" w:sz="4" w:space="0" w:color="000000" w:themeColor="text1"/>
              <w:right w:val="single" w:sz="4" w:space="0" w:color="000000" w:themeColor="text1"/>
            </w:tcBorders>
            <w:shd w:val="clear" w:color="auto" w:fill="C6EFCE"/>
            <w:noWrap/>
          </w:tcPr>
          <w:p w14:paraId="54CD4E76"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T4</w:t>
            </w:r>
          </w:p>
        </w:tc>
        <w:tc>
          <w:tcPr>
            <w:tcW w:w="744" w:type="dxa"/>
            <w:tcBorders>
              <w:top w:val="nil"/>
              <w:left w:val="nil"/>
              <w:bottom w:val="single" w:sz="4" w:space="0" w:color="000000" w:themeColor="text1"/>
              <w:right w:val="single" w:sz="4" w:space="0" w:color="000000" w:themeColor="text1"/>
            </w:tcBorders>
            <w:shd w:val="clear" w:color="auto" w:fill="C6EFCE"/>
            <w:noWrap/>
          </w:tcPr>
          <w:p w14:paraId="6347D5DD"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2022</w:t>
            </w:r>
          </w:p>
        </w:tc>
        <w:tc>
          <w:tcPr>
            <w:tcW w:w="4359" w:type="dxa"/>
            <w:tcBorders>
              <w:top w:val="nil"/>
              <w:left w:val="nil"/>
              <w:bottom w:val="single" w:sz="4" w:space="0" w:color="000000" w:themeColor="text1"/>
              <w:right w:val="single" w:sz="4" w:space="0" w:color="000000" w:themeColor="text1"/>
            </w:tcBorders>
            <w:shd w:val="clear" w:color="auto" w:fill="C6EFCE"/>
          </w:tcPr>
          <w:p w14:paraId="55E466AF"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С измененията в Търговския закон се въвежда глава за нова правна форма на търговско дружество, която позволява използването на по-гъвкави инструменти за развиване на стопанска дейност, включително договори за придобиване, опции за служители (option pools), конвертируеми заеми, права на присъединяване в продажбата на акции (tag-along) или на принудително присъединяване към продажбата на акции на дружество (drag along) и променлив капитал.</w:t>
            </w:r>
          </w:p>
        </w:tc>
      </w:tr>
      <w:tr w:rsidR="007F2B35" w:rsidRPr="005241FC" w14:paraId="558263E9" w14:textId="77777777" w:rsidTr="00A80AF7">
        <w:trPr>
          <w:trHeight w:val="942"/>
          <w:jc w:val="right"/>
        </w:trPr>
        <w:tc>
          <w:tcPr>
            <w:tcW w:w="710" w:type="dxa"/>
            <w:tcBorders>
              <w:top w:val="nil"/>
              <w:left w:val="single" w:sz="4" w:space="0" w:color="000000" w:themeColor="text1"/>
              <w:bottom w:val="single" w:sz="4" w:space="0" w:color="000000" w:themeColor="text1"/>
              <w:right w:val="single" w:sz="4" w:space="0" w:color="000000" w:themeColor="text1"/>
            </w:tcBorders>
            <w:shd w:val="clear" w:color="auto" w:fill="C6EFCE"/>
            <w:noWrap/>
          </w:tcPr>
          <w:p w14:paraId="72940535" w14:textId="2A384D0D" w:rsidR="00A17CA8" w:rsidRPr="0051384F" w:rsidRDefault="00C723AC"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254</w:t>
            </w:r>
          </w:p>
        </w:tc>
        <w:tc>
          <w:tcPr>
            <w:tcW w:w="1286" w:type="dxa"/>
            <w:tcBorders>
              <w:top w:val="nil"/>
              <w:left w:val="nil"/>
              <w:bottom w:val="single" w:sz="4" w:space="0" w:color="000000" w:themeColor="text1"/>
              <w:right w:val="single" w:sz="4" w:space="0" w:color="000000" w:themeColor="text1"/>
            </w:tcBorders>
            <w:shd w:val="clear" w:color="auto" w:fill="C6EFCE"/>
            <w:noWrap/>
          </w:tcPr>
          <w:p w14:paraId="3398ADED" w14:textId="71511C02" w:rsidR="00A17CA8" w:rsidRPr="0051384F" w:rsidRDefault="00772A3B"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К10.Р11: Разрастване България</w:t>
            </w:r>
          </w:p>
        </w:tc>
        <w:tc>
          <w:tcPr>
            <w:tcW w:w="1085" w:type="dxa"/>
            <w:tcBorders>
              <w:top w:val="nil"/>
              <w:left w:val="nil"/>
              <w:bottom w:val="single" w:sz="4" w:space="0" w:color="000000" w:themeColor="text1"/>
              <w:right w:val="single" w:sz="4" w:space="0" w:color="000000" w:themeColor="text1"/>
            </w:tcBorders>
            <w:shd w:val="clear" w:color="auto" w:fill="C6EFCE"/>
            <w:noWrap/>
          </w:tcPr>
          <w:p w14:paraId="035537B1"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734" w:type="dxa"/>
            <w:tcBorders>
              <w:top w:val="nil"/>
              <w:left w:val="nil"/>
              <w:bottom w:val="single" w:sz="4" w:space="0" w:color="000000" w:themeColor="text1"/>
              <w:right w:val="single" w:sz="4" w:space="0" w:color="000000" w:themeColor="text1"/>
            </w:tcBorders>
            <w:shd w:val="clear" w:color="auto" w:fill="C6EFCE"/>
            <w:noWrap/>
          </w:tcPr>
          <w:p w14:paraId="77462590"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Влизане в сила на изменения на Търговския закон за създаване на правна рамка за постигане на ускорена ликвидация на юридически лица</w:t>
            </w:r>
          </w:p>
        </w:tc>
        <w:tc>
          <w:tcPr>
            <w:tcW w:w="1417" w:type="dxa"/>
            <w:tcBorders>
              <w:top w:val="nil"/>
              <w:left w:val="nil"/>
              <w:bottom w:val="single" w:sz="4" w:space="0" w:color="000000" w:themeColor="text1"/>
              <w:right w:val="single" w:sz="4" w:space="0" w:color="000000" w:themeColor="text1"/>
            </w:tcBorders>
            <w:shd w:val="clear" w:color="auto" w:fill="C6EFCE"/>
            <w:noWrap/>
          </w:tcPr>
          <w:p w14:paraId="591C0238"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Разпоредби в Търговския закон, указващи влизането в сила на измененията</w:t>
            </w:r>
          </w:p>
        </w:tc>
        <w:tc>
          <w:tcPr>
            <w:tcW w:w="993" w:type="dxa"/>
            <w:tcBorders>
              <w:top w:val="nil"/>
              <w:left w:val="nil"/>
              <w:bottom w:val="single" w:sz="4" w:space="0" w:color="000000" w:themeColor="text1"/>
              <w:right w:val="single" w:sz="4" w:space="0" w:color="000000" w:themeColor="text1"/>
            </w:tcBorders>
            <w:shd w:val="clear" w:color="auto" w:fill="C6EFCE"/>
            <w:noWrap/>
          </w:tcPr>
          <w:p w14:paraId="228E0752"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1134" w:type="dxa"/>
            <w:tcBorders>
              <w:top w:val="nil"/>
              <w:left w:val="nil"/>
              <w:bottom w:val="single" w:sz="4" w:space="0" w:color="000000" w:themeColor="text1"/>
              <w:right w:val="single" w:sz="4" w:space="0" w:color="000000" w:themeColor="text1"/>
            </w:tcBorders>
            <w:shd w:val="clear" w:color="auto" w:fill="C6EFCE"/>
            <w:noWrap/>
          </w:tcPr>
          <w:p w14:paraId="3DBB9A9F"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1134" w:type="dxa"/>
            <w:tcBorders>
              <w:top w:val="nil"/>
              <w:left w:val="nil"/>
              <w:bottom w:val="single" w:sz="4" w:space="0" w:color="000000" w:themeColor="text1"/>
              <w:right w:val="single" w:sz="4" w:space="0" w:color="000000" w:themeColor="text1"/>
            </w:tcBorders>
            <w:shd w:val="clear" w:color="auto" w:fill="C6EFCE"/>
            <w:noWrap/>
          </w:tcPr>
          <w:p w14:paraId="6127AAB0"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850" w:type="dxa"/>
            <w:tcBorders>
              <w:top w:val="nil"/>
              <w:left w:val="nil"/>
              <w:bottom w:val="single" w:sz="4" w:space="0" w:color="000000" w:themeColor="text1"/>
              <w:right w:val="single" w:sz="4" w:space="0" w:color="000000" w:themeColor="text1"/>
            </w:tcBorders>
            <w:shd w:val="clear" w:color="auto" w:fill="C6EFCE"/>
            <w:noWrap/>
          </w:tcPr>
          <w:p w14:paraId="49CC157A"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T3</w:t>
            </w:r>
          </w:p>
        </w:tc>
        <w:tc>
          <w:tcPr>
            <w:tcW w:w="744" w:type="dxa"/>
            <w:tcBorders>
              <w:top w:val="nil"/>
              <w:left w:val="nil"/>
              <w:bottom w:val="single" w:sz="4" w:space="0" w:color="000000" w:themeColor="text1"/>
              <w:right w:val="single" w:sz="4" w:space="0" w:color="000000" w:themeColor="text1"/>
            </w:tcBorders>
            <w:shd w:val="clear" w:color="auto" w:fill="C6EFCE"/>
            <w:noWrap/>
          </w:tcPr>
          <w:p w14:paraId="3560C69B"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2023</w:t>
            </w:r>
          </w:p>
        </w:tc>
        <w:tc>
          <w:tcPr>
            <w:tcW w:w="4359" w:type="dxa"/>
            <w:tcBorders>
              <w:top w:val="nil"/>
              <w:left w:val="nil"/>
              <w:bottom w:val="single" w:sz="4" w:space="0" w:color="000000" w:themeColor="text1"/>
              <w:right w:val="single" w:sz="4" w:space="0" w:color="000000" w:themeColor="text1"/>
            </w:tcBorders>
            <w:shd w:val="clear" w:color="auto" w:fill="C6EFCE"/>
          </w:tcPr>
          <w:p w14:paraId="5CB0079E"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С измененията се реформира главата относно ликвидацията от Търговския закон с цел улесняване на ликвидацията на:</w:t>
            </w:r>
          </w:p>
          <w:p w14:paraId="68211409" w14:textId="77777777" w:rsidR="00A17CA8" w:rsidRPr="0051384F" w:rsidRDefault="00A17CA8" w:rsidP="00576E40">
            <w:pPr>
              <w:pStyle w:val="ListParagraph"/>
              <w:numPr>
                <w:ilvl w:val="0"/>
                <w:numId w:val="84"/>
              </w:num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дружества без скорошна дейност;</w:t>
            </w:r>
          </w:p>
          <w:p w14:paraId="580A7CBA" w14:textId="77777777" w:rsidR="00A17CA8" w:rsidRPr="0051384F" w:rsidRDefault="00A17CA8" w:rsidP="00576E40">
            <w:pPr>
              <w:pStyle w:val="ListParagraph"/>
              <w:numPr>
                <w:ilvl w:val="0"/>
                <w:numId w:val="84"/>
              </w:num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дружества, които не са регистрирани по ДДС; </w:t>
            </w:r>
          </w:p>
          <w:p w14:paraId="255FD525" w14:textId="77777777" w:rsidR="00A17CA8" w:rsidRPr="0051384F" w:rsidRDefault="00A17CA8" w:rsidP="00576E40">
            <w:pPr>
              <w:pStyle w:val="ListParagraph"/>
              <w:numPr>
                <w:ilvl w:val="0"/>
                <w:numId w:val="84"/>
              </w:num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дружества, които нямат наети служители.</w:t>
            </w:r>
          </w:p>
          <w:p w14:paraId="6880C3A8"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Улесняването на процеса на ликвидация се постига чрез две основни промени:</w:t>
            </w:r>
          </w:p>
          <w:p w14:paraId="2EDEEE5B" w14:textId="77777777" w:rsidR="00A17CA8" w:rsidRPr="0051384F" w:rsidRDefault="00A17CA8" w:rsidP="00576E40">
            <w:pPr>
              <w:pStyle w:val="ListParagraph"/>
              <w:numPr>
                <w:ilvl w:val="0"/>
                <w:numId w:val="85"/>
              </w:num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съкращаване на сроковете на процедурите;</w:t>
            </w:r>
          </w:p>
          <w:p w14:paraId="396AE93C" w14:textId="24A685BF" w:rsidR="00A17CA8" w:rsidRPr="0051384F" w:rsidRDefault="00A17CA8" w:rsidP="00576E40">
            <w:pPr>
              <w:pStyle w:val="ListParagraph"/>
              <w:numPr>
                <w:ilvl w:val="0"/>
                <w:numId w:val="85"/>
              </w:num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въвеждане на „обслужване на едно гише“, като цялата комуникация за целите на ликвидацията ще се осъществява чрез Агенцията по вписванията.</w:t>
            </w:r>
          </w:p>
        </w:tc>
      </w:tr>
      <w:tr w:rsidR="007F2B35" w:rsidRPr="005241FC" w14:paraId="41BB8835" w14:textId="77777777" w:rsidTr="00A80AF7">
        <w:trPr>
          <w:trHeight w:val="1755"/>
          <w:jc w:val="right"/>
        </w:trPr>
        <w:tc>
          <w:tcPr>
            <w:tcW w:w="710" w:type="dxa"/>
            <w:tcBorders>
              <w:top w:val="nil"/>
              <w:left w:val="single" w:sz="4" w:space="0" w:color="000000" w:themeColor="text1"/>
              <w:bottom w:val="single" w:sz="4" w:space="0" w:color="000000" w:themeColor="text1"/>
              <w:right w:val="single" w:sz="4" w:space="0" w:color="000000" w:themeColor="text1"/>
            </w:tcBorders>
            <w:shd w:val="clear" w:color="auto" w:fill="C6EFCE"/>
            <w:noWrap/>
          </w:tcPr>
          <w:p w14:paraId="063FB591" w14:textId="20AD6884" w:rsidR="00A17CA8" w:rsidRPr="0051384F" w:rsidRDefault="00C723AC"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255</w:t>
            </w:r>
          </w:p>
        </w:tc>
        <w:tc>
          <w:tcPr>
            <w:tcW w:w="1286" w:type="dxa"/>
            <w:tcBorders>
              <w:top w:val="nil"/>
              <w:left w:val="nil"/>
              <w:bottom w:val="single" w:sz="4" w:space="0" w:color="000000" w:themeColor="text1"/>
              <w:right w:val="single" w:sz="4" w:space="0" w:color="000000" w:themeColor="text1"/>
            </w:tcBorders>
            <w:shd w:val="clear" w:color="auto" w:fill="C6EFCE"/>
            <w:noWrap/>
          </w:tcPr>
          <w:p w14:paraId="55253FEF" w14:textId="374F6877" w:rsidR="00A17CA8" w:rsidRPr="0051384F" w:rsidRDefault="00772A3B"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К10.Р11: Разрастване България</w:t>
            </w:r>
          </w:p>
        </w:tc>
        <w:tc>
          <w:tcPr>
            <w:tcW w:w="1085" w:type="dxa"/>
            <w:tcBorders>
              <w:top w:val="nil"/>
              <w:left w:val="nil"/>
              <w:bottom w:val="single" w:sz="4" w:space="0" w:color="000000" w:themeColor="text1"/>
              <w:right w:val="single" w:sz="4" w:space="0" w:color="000000" w:themeColor="text1"/>
            </w:tcBorders>
            <w:shd w:val="clear" w:color="auto" w:fill="C6EFCE"/>
            <w:noWrap/>
          </w:tcPr>
          <w:p w14:paraId="11129FE0"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734" w:type="dxa"/>
            <w:tcBorders>
              <w:top w:val="nil"/>
              <w:left w:val="nil"/>
              <w:bottom w:val="single" w:sz="4" w:space="0" w:color="000000" w:themeColor="text1"/>
              <w:right w:val="single" w:sz="4" w:space="0" w:color="000000" w:themeColor="text1"/>
            </w:tcBorders>
            <w:shd w:val="clear" w:color="auto" w:fill="C6EFCE"/>
            <w:noWrap/>
          </w:tcPr>
          <w:p w14:paraId="128C0502"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Влизане в сила на изменения в Кодекса на труда за подобряване на регулаторните условия за дистанционна работа в България</w:t>
            </w:r>
          </w:p>
        </w:tc>
        <w:tc>
          <w:tcPr>
            <w:tcW w:w="1417" w:type="dxa"/>
            <w:tcBorders>
              <w:top w:val="nil"/>
              <w:left w:val="nil"/>
              <w:bottom w:val="single" w:sz="4" w:space="0" w:color="000000" w:themeColor="text1"/>
              <w:right w:val="single" w:sz="4" w:space="0" w:color="000000" w:themeColor="text1"/>
            </w:tcBorders>
            <w:shd w:val="clear" w:color="auto" w:fill="C6EFCE"/>
            <w:noWrap/>
          </w:tcPr>
          <w:p w14:paraId="20A8CCC9"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Разпоредби в Кодекса на труда, указващи влизането в сила на измененията</w:t>
            </w:r>
          </w:p>
        </w:tc>
        <w:tc>
          <w:tcPr>
            <w:tcW w:w="993" w:type="dxa"/>
            <w:tcBorders>
              <w:top w:val="nil"/>
              <w:left w:val="nil"/>
              <w:bottom w:val="single" w:sz="4" w:space="0" w:color="000000" w:themeColor="text1"/>
              <w:right w:val="single" w:sz="4" w:space="0" w:color="000000" w:themeColor="text1"/>
            </w:tcBorders>
            <w:shd w:val="clear" w:color="auto" w:fill="C6EFCE"/>
            <w:noWrap/>
          </w:tcPr>
          <w:p w14:paraId="06C4F132"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1134" w:type="dxa"/>
            <w:tcBorders>
              <w:top w:val="nil"/>
              <w:left w:val="nil"/>
              <w:bottom w:val="single" w:sz="4" w:space="0" w:color="000000" w:themeColor="text1"/>
              <w:right w:val="single" w:sz="4" w:space="0" w:color="000000" w:themeColor="text1"/>
            </w:tcBorders>
            <w:shd w:val="clear" w:color="auto" w:fill="C6EFCE"/>
            <w:noWrap/>
          </w:tcPr>
          <w:p w14:paraId="4C65CB27"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1134" w:type="dxa"/>
            <w:tcBorders>
              <w:top w:val="nil"/>
              <w:left w:val="nil"/>
              <w:bottom w:val="single" w:sz="4" w:space="0" w:color="000000" w:themeColor="text1"/>
              <w:right w:val="single" w:sz="4" w:space="0" w:color="000000" w:themeColor="text1"/>
            </w:tcBorders>
            <w:shd w:val="clear" w:color="auto" w:fill="C6EFCE"/>
            <w:noWrap/>
          </w:tcPr>
          <w:p w14:paraId="782F75A6"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850" w:type="dxa"/>
            <w:tcBorders>
              <w:top w:val="nil"/>
              <w:left w:val="nil"/>
              <w:bottom w:val="single" w:sz="4" w:space="0" w:color="000000" w:themeColor="text1"/>
              <w:right w:val="single" w:sz="4" w:space="0" w:color="000000" w:themeColor="text1"/>
            </w:tcBorders>
            <w:shd w:val="clear" w:color="auto" w:fill="C6EFCE"/>
            <w:noWrap/>
          </w:tcPr>
          <w:p w14:paraId="4FC16361"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T4</w:t>
            </w:r>
          </w:p>
        </w:tc>
        <w:tc>
          <w:tcPr>
            <w:tcW w:w="744" w:type="dxa"/>
            <w:tcBorders>
              <w:top w:val="nil"/>
              <w:left w:val="nil"/>
              <w:bottom w:val="single" w:sz="4" w:space="0" w:color="000000" w:themeColor="text1"/>
              <w:right w:val="single" w:sz="4" w:space="0" w:color="000000" w:themeColor="text1"/>
            </w:tcBorders>
            <w:shd w:val="clear" w:color="auto" w:fill="C6EFCE"/>
            <w:noWrap/>
          </w:tcPr>
          <w:p w14:paraId="490E66AA"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2023</w:t>
            </w:r>
          </w:p>
        </w:tc>
        <w:tc>
          <w:tcPr>
            <w:tcW w:w="4359" w:type="dxa"/>
            <w:tcBorders>
              <w:top w:val="nil"/>
              <w:left w:val="nil"/>
              <w:bottom w:val="single" w:sz="4" w:space="0" w:color="000000" w:themeColor="text1"/>
              <w:right w:val="single" w:sz="4" w:space="0" w:color="000000" w:themeColor="text1"/>
            </w:tcBorders>
            <w:shd w:val="clear" w:color="auto" w:fill="C6EFCE"/>
          </w:tcPr>
          <w:p w14:paraId="48856D36" w14:textId="77777777" w:rsidR="00A17CA8" w:rsidRPr="0051384F" w:rsidRDefault="00A17CA8" w:rsidP="00576E40">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С реформата се изменят правилата за дистанционна работа, установени с Кодекса на труда, за да се осигури по-голяма гъвкавост, включително организацията на здравословни и безопасни условия на труд, отчитането на свършената работа и контрола на работното време.</w:t>
            </w:r>
          </w:p>
        </w:tc>
      </w:tr>
      <w:tr w:rsidR="007F2B35" w:rsidRPr="005241FC" w14:paraId="0AF144E0" w14:textId="77777777" w:rsidTr="00A80AF7">
        <w:trPr>
          <w:trHeight w:val="1755"/>
          <w:jc w:val="right"/>
        </w:trPr>
        <w:tc>
          <w:tcPr>
            <w:tcW w:w="710" w:type="dxa"/>
            <w:tcBorders>
              <w:top w:val="nil"/>
              <w:left w:val="single" w:sz="4" w:space="0" w:color="000000" w:themeColor="text1"/>
              <w:bottom w:val="single" w:sz="4" w:space="0" w:color="000000" w:themeColor="text1"/>
              <w:right w:val="single" w:sz="4" w:space="0" w:color="000000" w:themeColor="text1"/>
            </w:tcBorders>
            <w:shd w:val="clear" w:color="auto" w:fill="C6EFCE"/>
            <w:noWrap/>
          </w:tcPr>
          <w:p w14:paraId="5265400E" w14:textId="4501A10F" w:rsidR="00A17CA8" w:rsidRPr="0051384F" w:rsidRDefault="00C723AC"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256</w:t>
            </w:r>
          </w:p>
        </w:tc>
        <w:tc>
          <w:tcPr>
            <w:tcW w:w="1286" w:type="dxa"/>
            <w:tcBorders>
              <w:top w:val="nil"/>
              <w:left w:val="nil"/>
              <w:bottom w:val="single" w:sz="4" w:space="0" w:color="000000" w:themeColor="text1"/>
              <w:right w:val="single" w:sz="4" w:space="0" w:color="000000" w:themeColor="text1"/>
            </w:tcBorders>
            <w:shd w:val="clear" w:color="auto" w:fill="C6EFCE"/>
            <w:noWrap/>
          </w:tcPr>
          <w:p w14:paraId="11573B05" w14:textId="77957162" w:rsidR="00A17CA8" w:rsidRPr="0051384F" w:rsidRDefault="00772A3B"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К10.Р12: Съвет за икономически анализи</w:t>
            </w:r>
          </w:p>
        </w:tc>
        <w:tc>
          <w:tcPr>
            <w:tcW w:w="1085" w:type="dxa"/>
            <w:tcBorders>
              <w:top w:val="nil"/>
              <w:left w:val="nil"/>
              <w:bottom w:val="single" w:sz="4" w:space="0" w:color="000000" w:themeColor="text1"/>
              <w:right w:val="single" w:sz="4" w:space="0" w:color="000000" w:themeColor="text1"/>
            </w:tcBorders>
            <w:shd w:val="clear" w:color="auto" w:fill="C6EFCE"/>
            <w:noWrap/>
          </w:tcPr>
          <w:p w14:paraId="5A7FF1CD"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734" w:type="dxa"/>
            <w:tcBorders>
              <w:top w:val="nil"/>
              <w:left w:val="nil"/>
              <w:bottom w:val="single" w:sz="4" w:space="0" w:color="000000" w:themeColor="text1"/>
              <w:right w:val="single" w:sz="4" w:space="0" w:color="000000" w:themeColor="text1"/>
            </w:tcBorders>
            <w:shd w:val="clear" w:color="auto" w:fill="C6EFCE"/>
            <w:noWrap/>
          </w:tcPr>
          <w:p w14:paraId="796C2E25"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Институционализиране на Съвета за икономически анализ</w:t>
            </w:r>
          </w:p>
        </w:tc>
        <w:tc>
          <w:tcPr>
            <w:tcW w:w="1417" w:type="dxa"/>
            <w:tcBorders>
              <w:top w:val="nil"/>
              <w:left w:val="nil"/>
              <w:bottom w:val="single" w:sz="4" w:space="0" w:color="000000" w:themeColor="text1"/>
              <w:right w:val="single" w:sz="4" w:space="0" w:color="000000" w:themeColor="text1"/>
            </w:tcBorders>
            <w:shd w:val="clear" w:color="auto" w:fill="C6EFCE"/>
            <w:noWrap/>
          </w:tcPr>
          <w:p w14:paraId="46333821"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Съветът за икономически анализ и неговият секретариат са учредени и действат</w:t>
            </w:r>
          </w:p>
        </w:tc>
        <w:tc>
          <w:tcPr>
            <w:tcW w:w="993" w:type="dxa"/>
            <w:tcBorders>
              <w:top w:val="nil"/>
              <w:left w:val="nil"/>
              <w:bottom w:val="single" w:sz="4" w:space="0" w:color="000000" w:themeColor="text1"/>
              <w:right w:val="single" w:sz="4" w:space="0" w:color="000000" w:themeColor="text1"/>
            </w:tcBorders>
            <w:shd w:val="clear" w:color="auto" w:fill="C6EFCE"/>
            <w:noWrap/>
          </w:tcPr>
          <w:p w14:paraId="35FD190A"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1134" w:type="dxa"/>
            <w:tcBorders>
              <w:top w:val="nil"/>
              <w:left w:val="nil"/>
              <w:bottom w:val="single" w:sz="4" w:space="0" w:color="000000" w:themeColor="text1"/>
              <w:right w:val="single" w:sz="4" w:space="0" w:color="000000" w:themeColor="text1"/>
            </w:tcBorders>
            <w:shd w:val="clear" w:color="auto" w:fill="C6EFCE"/>
            <w:noWrap/>
          </w:tcPr>
          <w:p w14:paraId="49B6604F"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1134" w:type="dxa"/>
            <w:tcBorders>
              <w:top w:val="nil"/>
              <w:left w:val="nil"/>
              <w:bottom w:val="single" w:sz="4" w:space="0" w:color="000000" w:themeColor="text1"/>
              <w:right w:val="single" w:sz="4" w:space="0" w:color="000000" w:themeColor="text1"/>
            </w:tcBorders>
            <w:shd w:val="clear" w:color="auto" w:fill="C6EFCE"/>
            <w:noWrap/>
          </w:tcPr>
          <w:p w14:paraId="7499A212"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850" w:type="dxa"/>
            <w:tcBorders>
              <w:top w:val="nil"/>
              <w:left w:val="nil"/>
              <w:bottom w:val="single" w:sz="4" w:space="0" w:color="000000" w:themeColor="text1"/>
              <w:right w:val="single" w:sz="4" w:space="0" w:color="000000" w:themeColor="text1"/>
            </w:tcBorders>
            <w:shd w:val="clear" w:color="auto" w:fill="C6EFCE"/>
            <w:noWrap/>
          </w:tcPr>
          <w:p w14:paraId="44EB718B"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T3</w:t>
            </w:r>
          </w:p>
        </w:tc>
        <w:tc>
          <w:tcPr>
            <w:tcW w:w="744" w:type="dxa"/>
            <w:tcBorders>
              <w:top w:val="nil"/>
              <w:left w:val="nil"/>
              <w:bottom w:val="single" w:sz="4" w:space="0" w:color="000000" w:themeColor="text1"/>
              <w:right w:val="single" w:sz="4" w:space="0" w:color="000000" w:themeColor="text1"/>
            </w:tcBorders>
            <w:shd w:val="clear" w:color="auto" w:fill="C6EFCE"/>
            <w:noWrap/>
          </w:tcPr>
          <w:p w14:paraId="176FB5A5"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2022</w:t>
            </w:r>
          </w:p>
        </w:tc>
        <w:tc>
          <w:tcPr>
            <w:tcW w:w="4359" w:type="dxa"/>
            <w:tcBorders>
              <w:top w:val="nil"/>
              <w:left w:val="nil"/>
              <w:bottom w:val="single" w:sz="4" w:space="0" w:color="000000" w:themeColor="text1"/>
              <w:right w:val="single" w:sz="4" w:space="0" w:color="000000" w:themeColor="text1"/>
            </w:tcBorders>
            <w:shd w:val="clear" w:color="auto" w:fill="C6EFCE"/>
          </w:tcPr>
          <w:p w14:paraId="701FB1B4" w14:textId="708B3A60" w:rsidR="00A17CA8" w:rsidRPr="0051384F" w:rsidRDefault="00A17CA8" w:rsidP="00576E40">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Съветът за икономически анализи се учредява като консултативен орган и се подпомага от секретариат. Очаква се той да осигури на българското правителство задълбочена академична икономическа експертиза. Основният продукт от неговата дейността ще бъде годишен доклад за състоянието на българската икономика, в който се посочват предизвикателствата и рисковете пред нея, както и възможните решения за преодоляването им. </w:t>
            </w:r>
          </w:p>
        </w:tc>
      </w:tr>
      <w:tr w:rsidR="007F2B35" w:rsidRPr="005241FC" w14:paraId="2FFAD17B" w14:textId="77777777" w:rsidTr="00A80AF7">
        <w:trPr>
          <w:trHeight w:val="1755"/>
          <w:jc w:val="right"/>
        </w:trPr>
        <w:tc>
          <w:tcPr>
            <w:tcW w:w="710" w:type="dxa"/>
            <w:tcBorders>
              <w:top w:val="nil"/>
              <w:left w:val="single" w:sz="4" w:space="0" w:color="000000" w:themeColor="text1"/>
              <w:bottom w:val="single" w:sz="4" w:space="0" w:color="000000" w:themeColor="text1"/>
              <w:right w:val="single" w:sz="4" w:space="0" w:color="000000" w:themeColor="text1"/>
            </w:tcBorders>
            <w:shd w:val="clear" w:color="auto" w:fill="C6EFCE"/>
            <w:noWrap/>
          </w:tcPr>
          <w:p w14:paraId="64EBE9DD" w14:textId="6EA2BD0D" w:rsidR="00A17CA8" w:rsidRPr="0051384F" w:rsidRDefault="00C723AC"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257</w:t>
            </w:r>
          </w:p>
        </w:tc>
        <w:tc>
          <w:tcPr>
            <w:tcW w:w="1286" w:type="dxa"/>
            <w:tcBorders>
              <w:top w:val="nil"/>
              <w:left w:val="nil"/>
              <w:bottom w:val="single" w:sz="4" w:space="0" w:color="000000" w:themeColor="text1"/>
              <w:right w:val="single" w:sz="4" w:space="0" w:color="000000" w:themeColor="text1"/>
            </w:tcBorders>
            <w:shd w:val="clear" w:color="auto" w:fill="C6EFCE"/>
            <w:noWrap/>
          </w:tcPr>
          <w:p w14:paraId="4977AEBB" w14:textId="2BBFF89F" w:rsidR="00A17CA8" w:rsidRPr="0051384F" w:rsidRDefault="00772A3B"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К10.Р12: Съвет за икономически анализи</w:t>
            </w:r>
          </w:p>
        </w:tc>
        <w:tc>
          <w:tcPr>
            <w:tcW w:w="1085" w:type="dxa"/>
            <w:tcBorders>
              <w:top w:val="nil"/>
              <w:left w:val="nil"/>
              <w:bottom w:val="single" w:sz="4" w:space="0" w:color="000000" w:themeColor="text1"/>
              <w:right w:val="single" w:sz="4" w:space="0" w:color="000000" w:themeColor="text1"/>
            </w:tcBorders>
            <w:shd w:val="clear" w:color="auto" w:fill="C6EFCE"/>
            <w:noWrap/>
          </w:tcPr>
          <w:p w14:paraId="0F7727E9"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734" w:type="dxa"/>
            <w:tcBorders>
              <w:top w:val="nil"/>
              <w:left w:val="nil"/>
              <w:bottom w:val="single" w:sz="4" w:space="0" w:color="000000" w:themeColor="text1"/>
              <w:right w:val="single" w:sz="4" w:space="0" w:color="000000" w:themeColor="text1"/>
            </w:tcBorders>
            <w:shd w:val="clear" w:color="auto" w:fill="C6EFCE"/>
            <w:noWrap/>
          </w:tcPr>
          <w:p w14:paraId="6942BF4D"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Приемане на годишен доклад за състоянието на българската икономика</w:t>
            </w:r>
          </w:p>
        </w:tc>
        <w:tc>
          <w:tcPr>
            <w:tcW w:w="1417" w:type="dxa"/>
            <w:tcBorders>
              <w:top w:val="nil"/>
              <w:left w:val="nil"/>
              <w:bottom w:val="single" w:sz="4" w:space="0" w:color="000000" w:themeColor="text1"/>
              <w:right w:val="single" w:sz="4" w:space="0" w:color="000000" w:themeColor="text1"/>
            </w:tcBorders>
            <w:shd w:val="clear" w:color="auto" w:fill="C6EFCE"/>
            <w:noWrap/>
          </w:tcPr>
          <w:p w14:paraId="40B1ECE0"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Първи годишен доклад, приет от Съвета за икономически анализи </w:t>
            </w:r>
          </w:p>
        </w:tc>
        <w:tc>
          <w:tcPr>
            <w:tcW w:w="993" w:type="dxa"/>
            <w:tcBorders>
              <w:top w:val="nil"/>
              <w:left w:val="nil"/>
              <w:bottom w:val="single" w:sz="4" w:space="0" w:color="000000" w:themeColor="text1"/>
              <w:right w:val="single" w:sz="4" w:space="0" w:color="000000" w:themeColor="text1"/>
            </w:tcBorders>
            <w:shd w:val="clear" w:color="auto" w:fill="C6EFCE"/>
            <w:noWrap/>
          </w:tcPr>
          <w:p w14:paraId="04D9298A"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1134" w:type="dxa"/>
            <w:tcBorders>
              <w:top w:val="nil"/>
              <w:left w:val="nil"/>
              <w:bottom w:val="single" w:sz="4" w:space="0" w:color="000000" w:themeColor="text1"/>
              <w:right w:val="single" w:sz="4" w:space="0" w:color="000000" w:themeColor="text1"/>
            </w:tcBorders>
            <w:shd w:val="clear" w:color="auto" w:fill="C6EFCE"/>
            <w:noWrap/>
          </w:tcPr>
          <w:p w14:paraId="1A1B56A5"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1134" w:type="dxa"/>
            <w:tcBorders>
              <w:top w:val="nil"/>
              <w:left w:val="nil"/>
              <w:bottom w:val="single" w:sz="4" w:space="0" w:color="000000" w:themeColor="text1"/>
              <w:right w:val="single" w:sz="4" w:space="0" w:color="000000" w:themeColor="text1"/>
            </w:tcBorders>
            <w:shd w:val="clear" w:color="auto" w:fill="C6EFCE"/>
            <w:noWrap/>
          </w:tcPr>
          <w:p w14:paraId="25D7C4AB"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850" w:type="dxa"/>
            <w:tcBorders>
              <w:top w:val="nil"/>
              <w:left w:val="nil"/>
              <w:bottom w:val="single" w:sz="4" w:space="0" w:color="000000" w:themeColor="text1"/>
              <w:right w:val="single" w:sz="4" w:space="0" w:color="000000" w:themeColor="text1"/>
            </w:tcBorders>
            <w:shd w:val="clear" w:color="auto" w:fill="C6EFCE"/>
            <w:noWrap/>
          </w:tcPr>
          <w:p w14:paraId="61A0ADF5"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T4</w:t>
            </w:r>
          </w:p>
        </w:tc>
        <w:tc>
          <w:tcPr>
            <w:tcW w:w="744" w:type="dxa"/>
            <w:tcBorders>
              <w:top w:val="nil"/>
              <w:left w:val="nil"/>
              <w:bottom w:val="single" w:sz="4" w:space="0" w:color="000000" w:themeColor="text1"/>
              <w:right w:val="single" w:sz="4" w:space="0" w:color="000000" w:themeColor="text1"/>
            </w:tcBorders>
            <w:shd w:val="clear" w:color="auto" w:fill="C6EFCE"/>
            <w:noWrap/>
          </w:tcPr>
          <w:p w14:paraId="6C3E8809"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2023</w:t>
            </w:r>
          </w:p>
        </w:tc>
        <w:tc>
          <w:tcPr>
            <w:tcW w:w="4359" w:type="dxa"/>
            <w:tcBorders>
              <w:top w:val="nil"/>
              <w:left w:val="nil"/>
              <w:bottom w:val="single" w:sz="4" w:space="0" w:color="000000" w:themeColor="text1"/>
              <w:right w:val="single" w:sz="4" w:space="0" w:color="000000" w:themeColor="text1"/>
            </w:tcBorders>
            <w:shd w:val="clear" w:color="auto" w:fill="C6EFCE"/>
          </w:tcPr>
          <w:p w14:paraId="35F5C106" w14:textId="77777777" w:rsidR="00A17CA8" w:rsidRPr="0051384F" w:rsidRDefault="00A17CA8" w:rsidP="00576E40">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Съветът за икономически анализи приема първия си годишен доклад за състоянието на българската икономика, в който се посочват предизвикателствата и рисковете пред нея, както и възможните решения за преодоляването им. </w:t>
            </w:r>
          </w:p>
        </w:tc>
      </w:tr>
      <w:tr w:rsidR="007F2B35" w:rsidRPr="005241FC" w14:paraId="3619D50B" w14:textId="77777777" w:rsidTr="00A80AF7">
        <w:trPr>
          <w:trHeight w:val="1755"/>
          <w:jc w:val="right"/>
        </w:trPr>
        <w:tc>
          <w:tcPr>
            <w:tcW w:w="710" w:type="dxa"/>
            <w:tcBorders>
              <w:top w:val="nil"/>
              <w:left w:val="single" w:sz="4" w:space="0" w:color="000000" w:themeColor="text1"/>
              <w:bottom w:val="single" w:sz="4" w:space="0" w:color="000000" w:themeColor="text1"/>
              <w:right w:val="single" w:sz="4" w:space="0" w:color="000000" w:themeColor="text1"/>
            </w:tcBorders>
            <w:shd w:val="clear" w:color="auto" w:fill="C6EFCE"/>
            <w:noWrap/>
            <w:hideMark/>
          </w:tcPr>
          <w:p w14:paraId="44432E68" w14:textId="3EAF663D" w:rsidR="00A17CA8" w:rsidRPr="0051384F" w:rsidRDefault="00C723AC"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258</w:t>
            </w:r>
          </w:p>
        </w:tc>
        <w:tc>
          <w:tcPr>
            <w:tcW w:w="1286" w:type="dxa"/>
            <w:tcBorders>
              <w:top w:val="nil"/>
              <w:left w:val="nil"/>
              <w:bottom w:val="single" w:sz="4" w:space="0" w:color="000000" w:themeColor="text1"/>
              <w:right w:val="single" w:sz="4" w:space="0" w:color="000000" w:themeColor="text1"/>
            </w:tcBorders>
            <w:shd w:val="clear" w:color="auto" w:fill="C6EFCE"/>
            <w:noWrap/>
            <w:hideMark/>
          </w:tcPr>
          <w:p w14:paraId="605813A3" w14:textId="193FA4BE" w:rsidR="00A17CA8" w:rsidRPr="0051384F" w:rsidRDefault="00772A3B"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К10.И1: Укрепване, доразвитие и надграждане на Единната информационна система на съдилищата</w:t>
            </w:r>
          </w:p>
        </w:tc>
        <w:tc>
          <w:tcPr>
            <w:tcW w:w="1085" w:type="dxa"/>
            <w:tcBorders>
              <w:top w:val="nil"/>
              <w:left w:val="nil"/>
              <w:bottom w:val="single" w:sz="4" w:space="0" w:color="000000" w:themeColor="text1"/>
              <w:right w:val="single" w:sz="4" w:space="0" w:color="000000" w:themeColor="text1"/>
            </w:tcBorders>
            <w:shd w:val="clear" w:color="auto" w:fill="C6EFCE"/>
            <w:noWrap/>
            <w:hideMark/>
          </w:tcPr>
          <w:p w14:paraId="2DF63579"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734" w:type="dxa"/>
            <w:tcBorders>
              <w:top w:val="nil"/>
              <w:left w:val="nil"/>
              <w:bottom w:val="single" w:sz="4" w:space="0" w:color="000000" w:themeColor="text1"/>
              <w:right w:val="single" w:sz="4" w:space="0" w:color="000000" w:themeColor="text1"/>
            </w:tcBorders>
            <w:shd w:val="clear" w:color="auto" w:fill="C6EFCE"/>
            <w:noWrap/>
            <w:hideMark/>
          </w:tcPr>
          <w:p w14:paraId="596E33F4"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Модернизиране на Единната информационна система на съдилищата</w:t>
            </w:r>
          </w:p>
        </w:tc>
        <w:tc>
          <w:tcPr>
            <w:tcW w:w="1417" w:type="dxa"/>
            <w:tcBorders>
              <w:top w:val="nil"/>
              <w:left w:val="nil"/>
              <w:bottom w:val="single" w:sz="4" w:space="0" w:color="000000" w:themeColor="text1"/>
              <w:right w:val="single" w:sz="4" w:space="0" w:color="000000" w:themeColor="text1"/>
            </w:tcBorders>
            <w:shd w:val="clear" w:color="auto" w:fill="C6EFCE"/>
            <w:noWrap/>
            <w:hideMark/>
          </w:tcPr>
          <w:p w14:paraId="73CBFF0A"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Модернизирана и функционираща Единна информационна система на съдилищата</w:t>
            </w:r>
          </w:p>
        </w:tc>
        <w:tc>
          <w:tcPr>
            <w:tcW w:w="993" w:type="dxa"/>
            <w:tcBorders>
              <w:top w:val="nil"/>
              <w:left w:val="nil"/>
              <w:bottom w:val="single" w:sz="4" w:space="0" w:color="000000" w:themeColor="text1"/>
              <w:right w:val="single" w:sz="4" w:space="0" w:color="000000" w:themeColor="text1"/>
            </w:tcBorders>
            <w:shd w:val="clear" w:color="auto" w:fill="C6EFCE"/>
            <w:noWrap/>
            <w:hideMark/>
          </w:tcPr>
          <w:p w14:paraId="740415F2"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1134" w:type="dxa"/>
            <w:tcBorders>
              <w:top w:val="nil"/>
              <w:left w:val="nil"/>
              <w:bottom w:val="single" w:sz="4" w:space="0" w:color="000000" w:themeColor="text1"/>
              <w:right w:val="single" w:sz="4" w:space="0" w:color="000000" w:themeColor="text1"/>
            </w:tcBorders>
            <w:shd w:val="clear" w:color="auto" w:fill="C6EFCE"/>
            <w:noWrap/>
            <w:hideMark/>
          </w:tcPr>
          <w:p w14:paraId="5BCAD3BB"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1134" w:type="dxa"/>
            <w:tcBorders>
              <w:top w:val="nil"/>
              <w:left w:val="nil"/>
              <w:bottom w:val="single" w:sz="4" w:space="0" w:color="000000" w:themeColor="text1"/>
              <w:right w:val="single" w:sz="4" w:space="0" w:color="000000" w:themeColor="text1"/>
            </w:tcBorders>
            <w:shd w:val="clear" w:color="auto" w:fill="C6EFCE"/>
            <w:noWrap/>
            <w:hideMark/>
          </w:tcPr>
          <w:p w14:paraId="0F299FA7"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850" w:type="dxa"/>
            <w:tcBorders>
              <w:top w:val="nil"/>
              <w:left w:val="nil"/>
              <w:bottom w:val="single" w:sz="4" w:space="0" w:color="000000" w:themeColor="text1"/>
              <w:right w:val="single" w:sz="4" w:space="0" w:color="000000" w:themeColor="text1"/>
            </w:tcBorders>
            <w:shd w:val="clear" w:color="auto" w:fill="C6EFCE"/>
            <w:noWrap/>
            <w:hideMark/>
          </w:tcPr>
          <w:p w14:paraId="4ADE80AA"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T4</w:t>
            </w:r>
          </w:p>
        </w:tc>
        <w:tc>
          <w:tcPr>
            <w:tcW w:w="744" w:type="dxa"/>
            <w:tcBorders>
              <w:top w:val="nil"/>
              <w:left w:val="nil"/>
              <w:bottom w:val="single" w:sz="4" w:space="0" w:color="000000" w:themeColor="text1"/>
              <w:right w:val="single" w:sz="4" w:space="0" w:color="000000" w:themeColor="text1"/>
            </w:tcBorders>
            <w:shd w:val="clear" w:color="auto" w:fill="C6EFCE"/>
            <w:noWrap/>
            <w:hideMark/>
          </w:tcPr>
          <w:p w14:paraId="54FAE009"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2023</w:t>
            </w:r>
          </w:p>
        </w:tc>
        <w:tc>
          <w:tcPr>
            <w:tcW w:w="4359" w:type="dxa"/>
            <w:tcBorders>
              <w:top w:val="nil"/>
              <w:left w:val="nil"/>
              <w:bottom w:val="single" w:sz="4" w:space="0" w:color="000000" w:themeColor="text1"/>
              <w:right w:val="single" w:sz="4" w:space="0" w:color="000000" w:themeColor="text1"/>
            </w:tcBorders>
            <w:shd w:val="clear" w:color="auto" w:fill="C6EFCE"/>
            <w:hideMark/>
          </w:tcPr>
          <w:p w14:paraId="377190C9"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Единната информационна система на съдилищата се модернизира, за да се даде възможност на гражданите и предприятията да комуникират и обменят електронни документи със съдебната власт изцяло онлайн. </w:t>
            </w:r>
          </w:p>
          <w:p w14:paraId="1ACC4EDB"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Модернизирането на Единната информационна система на съдилищата включва:</w:t>
            </w:r>
          </w:p>
          <w:p w14:paraId="2AF9E740" w14:textId="77777777" w:rsidR="00A17CA8" w:rsidRPr="0051384F" w:rsidRDefault="00A17CA8" w:rsidP="00576E40">
            <w:pPr>
              <w:pStyle w:val="ListParagraph"/>
              <w:numPr>
                <w:ilvl w:val="0"/>
                <w:numId w:val="86"/>
              </w:numPr>
              <w:spacing w:after="0" w:line="240" w:lineRule="auto"/>
              <w:ind w:left="318"/>
              <w:rPr>
                <w:rFonts w:ascii="Times New Roman" w:eastAsia="Times New Roman" w:hAnsi="Times New Roman" w:cs="Times New Roman"/>
                <w:noProof/>
                <w:color w:val="006100"/>
                <w:sz w:val="20"/>
                <w:szCs w:val="20"/>
              </w:rPr>
            </w:pPr>
            <w:r>
              <w:rPr>
                <w:rFonts w:ascii="Times New Roman" w:hAnsi="Times New Roman"/>
                <w:noProof/>
                <w:color w:val="006100"/>
                <w:sz w:val="20"/>
              </w:rPr>
              <w:t>нов модул за електронно разпределение и електронна обработка на заповедните дела;</w:t>
            </w:r>
          </w:p>
          <w:p w14:paraId="502944DC" w14:textId="77777777" w:rsidR="00A17CA8" w:rsidRPr="0051384F" w:rsidRDefault="00A17CA8" w:rsidP="00576E40">
            <w:pPr>
              <w:pStyle w:val="ListParagraph"/>
              <w:numPr>
                <w:ilvl w:val="0"/>
                <w:numId w:val="86"/>
              </w:numPr>
              <w:spacing w:after="0" w:line="240" w:lineRule="auto"/>
              <w:ind w:left="318"/>
              <w:rPr>
                <w:rFonts w:ascii="Times New Roman" w:eastAsia="Times New Roman" w:hAnsi="Times New Roman" w:cs="Times New Roman"/>
                <w:noProof/>
                <w:color w:val="006100"/>
                <w:sz w:val="20"/>
                <w:szCs w:val="20"/>
              </w:rPr>
            </w:pPr>
            <w:r>
              <w:rPr>
                <w:rFonts w:ascii="Times New Roman" w:hAnsi="Times New Roman"/>
                <w:noProof/>
                <w:color w:val="006100"/>
                <w:sz w:val="20"/>
              </w:rPr>
              <w:t>нов модул за администриране на процедурите по медиация;</w:t>
            </w:r>
          </w:p>
          <w:p w14:paraId="5A43981E" w14:textId="77777777" w:rsidR="00A17CA8" w:rsidRPr="0051384F" w:rsidRDefault="00A17CA8" w:rsidP="00576E40">
            <w:pPr>
              <w:pStyle w:val="ListParagraph"/>
              <w:numPr>
                <w:ilvl w:val="0"/>
                <w:numId w:val="86"/>
              </w:numPr>
              <w:spacing w:after="0" w:line="240" w:lineRule="auto"/>
              <w:ind w:left="318"/>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поръчка и доставка на компютърното оборудване, необходимо на съдилищата, за да извършват своята работа изцяло онлайн — 3000 настолни персонални компютъра с монитори и 2200 лаптопа; </w:t>
            </w:r>
          </w:p>
          <w:p w14:paraId="6E2F9BD3" w14:textId="77777777" w:rsidR="00A17CA8" w:rsidRPr="001A780C" w:rsidRDefault="00A17CA8" w:rsidP="00576E40">
            <w:pPr>
              <w:pStyle w:val="ListParagraph"/>
              <w:numPr>
                <w:ilvl w:val="0"/>
                <w:numId w:val="86"/>
              </w:numPr>
              <w:spacing w:after="0" w:line="240" w:lineRule="auto"/>
              <w:ind w:left="318"/>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пускането в експлоатация на два нови центъра за основни данни и един нов център за архивни данни. </w:t>
            </w:r>
          </w:p>
          <w:p w14:paraId="65C0F23C" w14:textId="2F1B2310"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Модернизирането е в съответствие с принципа „цифров по подразбиране“ и принципа на еднократност.</w:t>
            </w:r>
          </w:p>
        </w:tc>
      </w:tr>
      <w:tr w:rsidR="007F2B35" w:rsidRPr="005241FC" w14:paraId="0CA11A00" w14:textId="77777777" w:rsidTr="00A80AF7">
        <w:trPr>
          <w:trHeight w:val="1260"/>
          <w:jc w:val="right"/>
        </w:trPr>
        <w:tc>
          <w:tcPr>
            <w:tcW w:w="710" w:type="dxa"/>
            <w:tcBorders>
              <w:top w:val="nil"/>
              <w:left w:val="single" w:sz="4" w:space="0" w:color="000000" w:themeColor="text1"/>
              <w:bottom w:val="single" w:sz="4" w:space="0" w:color="000000" w:themeColor="text1"/>
              <w:right w:val="single" w:sz="4" w:space="0" w:color="000000" w:themeColor="text1"/>
            </w:tcBorders>
            <w:shd w:val="clear" w:color="auto" w:fill="C6EFCE"/>
            <w:noWrap/>
          </w:tcPr>
          <w:p w14:paraId="180EDA65" w14:textId="1833B128" w:rsidR="00A17CA8" w:rsidRPr="0051384F" w:rsidRDefault="00C723AC"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259</w:t>
            </w:r>
          </w:p>
        </w:tc>
        <w:tc>
          <w:tcPr>
            <w:tcW w:w="1286" w:type="dxa"/>
            <w:tcBorders>
              <w:top w:val="nil"/>
              <w:left w:val="nil"/>
              <w:bottom w:val="single" w:sz="4" w:space="0" w:color="000000" w:themeColor="text1"/>
              <w:right w:val="single" w:sz="4" w:space="0" w:color="000000" w:themeColor="text1"/>
            </w:tcBorders>
            <w:shd w:val="clear" w:color="auto" w:fill="C6EFCE"/>
            <w:noWrap/>
          </w:tcPr>
          <w:p w14:paraId="0CDD0E8A" w14:textId="542DF5D0" w:rsidR="00A17CA8" w:rsidRPr="0051384F" w:rsidRDefault="00772A3B"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К10.И2: Цифровизация на ключови съдопроизводствени процеси в системата на административното правораздаване</w:t>
            </w:r>
          </w:p>
        </w:tc>
        <w:tc>
          <w:tcPr>
            <w:tcW w:w="1085" w:type="dxa"/>
            <w:tcBorders>
              <w:top w:val="nil"/>
              <w:left w:val="nil"/>
              <w:bottom w:val="single" w:sz="4" w:space="0" w:color="000000" w:themeColor="text1"/>
              <w:right w:val="single" w:sz="4" w:space="0" w:color="000000" w:themeColor="text1"/>
            </w:tcBorders>
            <w:shd w:val="clear" w:color="auto" w:fill="C6EFCE"/>
            <w:noWrap/>
          </w:tcPr>
          <w:p w14:paraId="1783804E"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Цел</w:t>
            </w:r>
          </w:p>
        </w:tc>
        <w:tc>
          <w:tcPr>
            <w:tcW w:w="1734" w:type="dxa"/>
            <w:tcBorders>
              <w:top w:val="nil"/>
              <w:left w:val="nil"/>
              <w:bottom w:val="single" w:sz="4" w:space="0" w:color="000000" w:themeColor="text1"/>
              <w:right w:val="single" w:sz="4" w:space="0" w:color="000000" w:themeColor="text1"/>
            </w:tcBorders>
            <w:shd w:val="clear" w:color="auto" w:fill="C6EFCE"/>
            <w:noWrap/>
          </w:tcPr>
          <w:p w14:paraId="2ADDDE58"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Въвеждане на система за електронно призоваване и уведомяване</w:t>
            </w:r>
          </w:p>
        </w:tc>
        <w:tc>
          <w:tcPr>
            <w:tcW w:w="1417" w:type="dxa"/>
            <w:tcBorders>
              <w:top w:val="nil"/>
              <w:left w:val="nil"/>
              <w:bottom w:val="single" w:sz="4" w:space="0" w:color="000000" w:themeColor="text1"/>
              <w:right w:val="single" w:sz="4" w:space="0" w:color="000000" w:themeColor="text1"/>
            </w:tcBorders>
            <w:shd w:val="clear" w:color="auto" w:fill="C6EFCE"/>
            <w:noWrap/>
          </w:tcPr>
          <w:p w14:paraId="1CA79DAD"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993" w:type="dxa"/>
            <w:tcBorders>
              <w:top w:val="nil"/>
              <w:left w:val="nil"/>
              <w:bottom w:val="single" w:sz="4" w:space="0" w:color="000000" w:themeColor="text1"/>
              <w:right w:val="single" w:sz="4" w:space="0" w:color="000000" w:themeColor="text1"/>
            </w:tcBorders>
            <w:shd w:val="clear" w:color="auto" w:fill="C6EFCE"/>
            <w:noWrap/>
          </w:tcPr>
          <w:p w14:paraId="6558C92A" w14:textId="53F8AD88" w:rsidR="00A17CA8" w:rsidRPr="009A6F66" w:rsidRDefault="702FA0E6" w:rsidP="00576E40">
            <w:pP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6100"/>
                <w:sz w:val="18"/>
              </w:rPr>
              <w:t xml:space="preserve"> % (процент)</w:t>
            </w:r>
          </w:p>
        </w:tc>
        <w:tc>
          <w:tcPr>
            <w:tcW w:w="1134" w:type="dxa"/>
            <w:tcBorders>
              <w:top w:val="nil"/>
              <w:left w:val="nil"/>
              <w:bottom w:val="single" w:sz="4" w:space="0" w:color="000000" w:themeColor="text1"/>
              <w:right w:val="single" w:sz="4" w:space="0" w:color="000000" w:themeColor="text1"/>
            </w:tcBorders>
            <w:shd w:val="clear" w:color="auto" w:fill="C6EFCE"/>
            <w:noWrap/>
          </w:tcPr>
          <w:p w14:paraId="1A2A4FDD"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0</w:t>
            </w:r>
          </w:p>
        </w:tc>
        <w:tc>
          <w:tcPr>
            <w:tcW w:w="1134" w:type="dxa"/>
            <w:tcBorders>
              <w:top w:val="nil"/>
              <w:left w:val="nil"/>
              <w:bottom w:val="single" w:sz="4" w:space="0" w:color="000000" w:themeColor="text1"/>
              <w:right w:val="single" w:sz="4" w:space="0" w:color="000000" w:themeColor="text1"/>
            </w:tcBorders>
            <w:shd w:val="clear" w:color="auto" w:fill="C6EFCE"/>
            <w:noWrap/>
          </w:tcPr>
          <w:p w14:paraId="64469192"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25</w:t>
            </w:r>
          </w:p>
        </w:tc>
        <w:tc>
          <w:tcPr>
            <w:tcW w:w="850" w:type="dxa"/>
            <w:tcBorders>
              <w:top w:val="nil"/>
              <w:left w:val="nil"/>
              <w:bottom w:val="single" w:sz="4" w:space="0" w:color="000000" w:themeColor="text1"/>
              <w:right w:val="single" w:sz="4" w:space="0" w:color="000000" w:themeColor="text1"/>
            </w:tcBorders>
            <w:shd w:val="clear" w:color="auto" w:fill="C6EFCE"/>
            <w:noWrap/>
          </w:tcPr>
          <w:p w14:paraId="024B8867"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T2</w:t>
            </w:r>
          </w:p>
        </w:tc>
        <w:tc>
          <w:tcPr>
            <w:tcW w:w="744" w:type="dxa"/>
            <w:tcBorders>
              <w:top w:val="nil"/>
              <w:left w:val="nil"/>
              <w:bottom w:val="single" w:sz="4" w:space="0" w:color="000000" w:themeColor="text1"/>
              <w:right w:val="single" w:sz="4" w:space="0" w:color="000000" w:themeColor="text1"/>
            </w:tcBorders>
            <w:shd w:val="clear" w:color="auto" w:fill="C6EFCE"/>
            <w:noWrap/>
          </w:tcPr>
          <w:p w14:paraId="26BC7C49" w14:textId="76C5A591"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2023</w:t>
            </w:r>
          </w:p>
        </w:tc>
        <w:tc>
          <w:tcPr>
            <w:tcW w:w="4359" w:type="dxa"/>
            <w:tcBorders>
              <w:top w:val="nil"/>
              <w:left w:val="nil"/>
              <w:bottom w:val="single" w:sz="4" w:space="0" w:color="000000" w:themeColor="text1"/>
              <w:right w:val="single" w:sz="4" w:space="0" w:color="000000" w:themeColor="text1"/>
            </w:tcBorders>
            <w:shd w:val="clear" w:color="auto" w:fill="C6EFCE"/>
            <w:noWrap/>
          </w:tcPr>
          <w:p w14:paraId="27F8BE16" w14:textId="77777777" w:rsidR="00A17CA8" w:rsidRPr="0051384F" w:rsidRDefault="00A17CA8" w:rsidP="00576E40">
            <w:pPr>
              <w:spacing w:after="0" w:line="240" w:lineRule="auto"/>
              <w:jc w:val="both"/>
              <w:rPr>
                <w:rFonts w:ascii="Times New Roman" w:eastAsia="Calibri" w:hAnsi="Times New Roman" w:cs="Times New Roman"/>
                <w:noProof/>
                <w:sz w:val="20"/>
                <w:szCs w:val="20"/>
              </w:rPr>
            </w:pPr>
            <w:r>
              <w:rPr>
                <w:rFonts w:ascii="Times New Roman" w:hAnsi="Times New Roman"/>
                <w:noProof/>
                <w:color w:val="006100"/>
                <w:sz w:val="20"/>
              </w:rPr>
              <w:t>След като в Единната деловодно-информационна система бъде въведен модул, целящ внедряване, автоматизиране и подобряване на ефективността на процеса на връчване на призовки в електронна форма, 25 % от всички призовки ще се подават по електронен път.</w:t>
            </w:r>
          </w:p>
        </w:tc>
      </w:tr>
      <w:tr w:rsidR="007F2B35" w:rsidRPr="005241FC" w14:paraId="20818DAF" w14:textId="77777777" w:rsidTr="00A80AF7">
        <w:trPr>
          <w:trHeight w:val="1260"/>
          <w:jc w:val="right"/>
        </w:trPr>
        <w:tc>
          <w:tcPr>
            <w:tcW w:w="710" w:type="dxa"/>
            <w:tcBorders>
              <w:top w:val="nil"/>
              <w:left w:val="single" w:sz="4" w:space="0" w:color="000000" w:themeColor="text1"/>
              <w:bottom w:val="single" w:sz="4" w:space="0" w:color="000000" w:themeColor="text1"/>
              <w:right w:val="single" w:sz="4" w:space="0" w:color="000000" w:themeColor="text1"/>
            </w:tcBorders>
            <w:shd w:val="clear" w:color="auto" w:fill="C6EFCE"/>
            <w:noWrap/>
          </w:tcPr>
          <w:p w14:paraId="1B6F3AD5" w14:textId="2391BD2D" w:rsidR="00A17CA8" w:rsidRPr="0051384F" w:rsidRDefault="00C723AC"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260</w:t>
            </w:r>
          </w:p>
        </w:tc>
        <w:tc>
          <w:tcPr>
            <w:tcW w:w="1286" w:type="dxa"/>
            <w:tcBorders>
              <w:top w:val="nil"/>
              <w:left w:val="nil"/>
              <w:bottom w:val="single" w:sz="4" w:space="0" w:color="000000" w:themeColor="text1"/>
              <w:right w:val="single" w:sz="4" w:space="0" w:color="000000" w:themeColor="text1"/>
            </w:tcBorders>
            <w:shd w:val="clear" w:color="auto" w:fill="C6EFCE"/>
            <w:noWrap/>
          </w:tcPr>
          <w:p w14:paraId="1530C623" w14:textId="387D0B80" w:rsidR="00A17CA8" w:rsidRPr="0051384F" w:rsidRDefault="00772A3B"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К10.И2: Цифровизация на ключови съдопроизводствени процеси в системата на административното правораздаване</w:t>
            </w:r>
          </w:p>
        </w:tc>
        <w:tc>
          <w:tcPr>
            <w:tcW w:w="1085" w:type="dxa"/>
            <w:tcBorders>
              <w:top w:val="nil"/>
              <w:left w:val="nil"/>
              <w:bottom w:val="single" w:sz="4" w:space="0" w:color="000000" w:themeColor="text1"/>
              <w:right w:val="single" w:sz="4" w:space="0" w:color="000000" w:themeColor="text1"/>
            </w:tcBorders>
            <w:shd w:val="clear" w:color="auto" w:fill="C6EFCE"/>
            <w:noWrap/>
          </w:tcPr>
          <w:p w14:paraId="0B2DEE81"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734" w:type="dxa"/>
            <w:tcBorders>
              <w:top w:val="nil"/>
              <w:left w:val="nil"/>
              <w:bottom w:val="single" w:sz="4" w:space="0" w:color="000000" w:themeColor="text1"/>
              <w:right w:val="single" w:sz="4" w:space="0" w:color="000000" w:themeColor="text1"/>
            </w:tcBorders>
            <w:shd w:val="clear" w:color="auto" w:fill="C6EFCE"/>
            <w:noWrap/>
          </w:tcPr>
          <w:p w14:paraId="7C2390C5"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Въвеждане в действие на информационен модул, който дава възможност за цифрово дистанционно подаване и получаване на електронни документи по съдебни дела от страните и техните законни представители</w:t>
            </w:r>
          </w:p>
        </w:tc>
        <w:tc>
          <w:tcPr>
            <w:tcW w:w="1417" w:type="dxa"/>
            <w:tcBorders>
              <w:top w:val="nil"/>
              <w:left w:val="nil"/>
              <w:bottom w:val="single" w:sz="4" w:space="0" w:color="000000" w:themeColor="text1"/>
              <w:right w:val="single" w:sz="4" w:space="0" w:color="000000" w:themeColor="text1"/>
            </w:tcBorders>
            <w:shd w:val="clear" w:color="auto" w:fill="C6EFCE"/>
            <w:noWrap/>
          </w:tcPr>
          <w:p w14:paraId="7B75C176"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Въвеждане в експлоатация на информационен модул, позволяващ дистанционно подаване и получаване на електронни документи </w:t>
            </w:r>
          </w:p>
        </w:tc>
        <w:tc>
          <w:tcPr>
            <w:tcW w:w="993" w:type="dxa"/>
            <w:tcBorders>
              <w:top w:val="nil"/>
              <w:left w:val="nil"/>
              <w:bottom w:val="single" w:sz="4" w:space="0" w:color="000000" w:themeColor="text1"/>
              <w:right w:val="single" w:sz="4" w:space="0" w:color="000000" w:themeColor="text1"/>
            </w:tcBorders>
            <w:shd w:val="clear" w:color="auto" w:fill="C6EFCE"/>
            <w:noWrap/>
          </w:tcPr>
          <w:p w14:paraId="6F8BBB48"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1134" w:type="dxa"/>
            <w:tcBorders>
              <w:top w:val="nil"/>
              <w:left w:val="nil"/>
              <w:bottom w:val="single" w:sz="4" w:space="0" w:color="000000" w:themeColor="text1"/>
              <w:right w:val="single" w:sz="4" w:space="0" w:color="000000" w:themeColor="text1"/>
            </w:tcBorders>
            <w:shd w:val="clear" w:color="auto" w:fill="C6EFCE"/>
            <w:noWrap/>
          </w:tcPr>
          <w:p w14:paraId="5E9CBD41"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1134" w:type="dxa"/>
            <w:tcBorders>
              <w:top w:val="nil"/>
              <w:left w:val="nil"/>
              <w:bottom w:val="single" w:sz="4" w:space="0" w:color="000000" w:themeColor="text1"/>
              <w:right w:val="single" w:sz="4" w:space="0" w:color="000000" w:themeColor="text1"/>
            </w:tcBorders>
            <w:shd w:val="clear" w:color="auto" w:fill="C6EFCE"/>
            <w:noWrap/>
          </w:tcPr>
          <w:p w14:paraId="3E154972"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850" w:type="dxa"/>
            <w:tcBorders>
              <w:top w:val="nil"/>
              <w:left w:val="nil"/>
              <w:bottom w:val="single" w:sz="4" w:space="0" w:color="000000" w:themeColor="text1"/>
              <w:right w:val="single" w:sz="4" w:space="0" w:color="000000" w:themeColor="text1"/>
            </w:tcBorders>
            <w:shd w:val="clear" w:color="auto" w:fill="C6EFCE"/>
            <w:noWrap/>
          </w:tcPr>
          <w:p w14:paraId="51AF644B"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T4</w:t>
            </w:r>
          </w:p>
        </w:tc>
        <w:tc>
          <w:tcPr>
            <w:tcW w:w="744" w:type="dxa"/>
            <w:tcBorders>
              <w:top w:val="nil"/>
              <w:left w:val="nil"/>
              <w:bottom w:val="single" w:sz="4" w:space="0" w:color="000000" w:themeColor="text1"/>
              <w:right w:val="single" w:sz="4" w:space="0" w:color="000000" w:themeColor="text1"/>
            </w:tcBorders>
            <w:shd w:val="clear" w:color="auto" w:fill="C6EFCE"/>
            <w:noWrap/>
          </w:tcPr>
          <w:p w14:paraId="50A76ED5"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2024</w:t>
            </w:r>
          </w:p>
        </w:tc>
        <w:tc>
          <w:tcPr>
            <w:tcW w:w="4359" w:type="dxa"/>
            <w:tcBorders>
              <w:top w:val="nil"/>
              <w:left w:val="nil"/>
              <w:bottom w:val="single" w:sz="4" w:space="0" w:color="000000" w:themeColor="text1"/>
              <w:right w:val="single" w:sz="4" w:space="0" w:color="000000" w:themeColor="text1"/>
            </w:tcBorders>
            <w:shd w:val="clear" w:color="auto" w:fill="C6EFCE"/>
            <w:noWrap/>
          </w:tcPr>
          <w:p w14:paraId="4253B633" w14:textId="77777777" w:rsidR="00A17CA8" w:rsidRPr="0051384F" w:rsidDel="00A658C9" w:rsidRDefault="00A17CA8" w:rsidP="00576E40">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Новият информационен модул осигурява на гражданите и заинтересованите страни дистанционен достъп до електронни услуги. Той позволява на гражданите и заинтересованите страни да имат електронен достъп до материалите по делото и да представят документи, включително документи за образуване на съдебно производство, документи, свързани с вече образувани съдебни производства, както и документи, които не се отнасят до съдебни производства.</w:t>
            </w:r>
          </w:p>
        </w:tc>
      </w:tr>
      <w:tr w:rsidR="007F2B35" w:rsidRPr="005241FC" w14:paraId="319E1FCC" w14:textId="77777777" w:rsidTr="00A80AF7">
        <w:trPr>
          <w:trHeight w:val="1260"/>
          <w:jc w:val="right"/>
        </w:trPr>
        <w:tc>
          <w:tcPr>
            <w:tcW w:w="710" w:type="dxa"/>
            <w:tcBorders>
              <w:top w:val="nil"/>
              <w:left w:val="single" w:sz="4" w:space="0" w:color="000000" w:themeColor="text1"/>
              <w:bottom w:val="single" w:sz="4" w:space="0" w:color="000000" w:themeColor="text1"/>
              <w:right w:val="single" w:sz="4" w:space="0" w:color="000000" w:themeColor="text1"/>
            </w:tcBorders>
            <w:shd w:val="clear" w:color="auto" w:fill="C6EFCE"/>
            <w:noWrap/>
          </w:tcPr>
          <w:p w14:paraId="25252D2C" w14:textId="1C85C05E" w:rsidR="00A17CA8" w:rsidRPr="0051384F" w:rsidRDefault="00C723AC"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261</w:t>
            </w:r>
          </w:p>
        </w:tc>
        <w:tc>
          <w:tcPr>
            <w:tcW w:w="1286" w:type="dxa"/>
            <w:tcBorders>
              <w:top w:val="nil"/>
              <w:left w:val="nil"/>
              <w:bottom w:val="single" w:sz="4" w:space="0" w:color="000000" w:themeColor="text1"/>
              <w:right w:val="single" w:sz="4" w:space="0" w:color="000000" w:themeColor="text1"/>
            </w:tcBorders>
            <w:shd w:val="clear" w:color="auto" w:fill="C6EFCE"/>
            <w:noWrap/>
          </w:tcPr>
          <w:p w14:paraId="1E42A61C" w14:textId="3DBC0A17" w:rsidR="00A17CA8" w:rsidRPr="0051384F" w:rsidRDefault="00772A3B"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К10.И2: Цифровизация на ключови съдопроизводствени процеси в системата на административното правораздаване</w:t>
            </w:r>
          </w:p>
        </w:tc>
        <w:tc>
          <w:tcPr>
            <w:tcW w:w="1085" w:type="dxa"/>
            <w:tcBorders>
              <w:top w:val="nil"/>
              <w:left w:val="nil"/>
              <w:bottom w:val="single" w:sz="4" w:space="0" w:color="000000" w:themeColor="text1"/>
              <w:right w:val="single" w:sz="4" w:space="0" w:color="000000" w:themeColor="text1"/>
            </w:tcBorders>
            <w:shd w:val="clear" w:color="auto" w:fill="C6EFCE"/>
            <w:noWrap/>
          </w:tcPr>
          <w:p w14:paraId="7DEB51B1"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734" w:type="dxa"/>
            <w:tcBorders>
              <w:top w:val="nil"/>
              <w:left w:val="nil"/>
              <w:bottom w:val="single" w:sz="4" w:space="0" w:color="000000" w:themeColor="text1"/>
              <w:right w:val="single" w:sz="4" w:space="0" w:color="000000" w:themeColor="text1"/>
            </w:tcBorders>
            <w:shd w:val="clear" w:color="auto" w:fill="C6EFCE"/>
            <w:noWrap/>
          </w:tcPr>
          <w:p w14:paraId="47A9E51E"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Въвеждане в експлоатация на информационен модул за дистанционни съдебни заседания и осигуряване на необходимия хардуер за дистанционни съдебни заседания </w:t>
            </w:r>
          </w:p>
        </w:tc>
        <w:tc>
          <w:tcPr>
            <w:tcW w:w="1417" w:type="dxa"/>
            <w:tcBorders>
              <w:top w:val="nil"/>
              <w:left w:val="nil"/>
              <w:bottom w:val="single" w:sz="4" w:space="0" w:color="000000" w:themeColor="text1"/>
              <w:right w:val="single" w:sz="4" w:space="0" w:color="000000" w:themeColor="text1"/>
            </w:tcBorders>
            <w:shd w:val="clear" w:color="auto" w:fill="C6EFCE"/>
            <w:noWrap/>
          </w:tcPr>
          <w:p w14:paraId="5BC78670"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Пуснат в експлоатация информационен модул за дистанционни заседания, като необходимият за целта хардуер е осигурен</w:t>
            </w:r>
          </w:p>
        </w:tc>
        <w:tc>
          <w:tcPr>
            <w:tcW w:w="993" w:type="dxa"/>
            <w:tcBorders>
              <w:top w:val="nil"/>
              <w:left w:val="nil"/>
              <w:bottom w:val="single" w:sz="4" w:space="0" w:color="000000" w:themeColor="text1"/>
              <w:right w:val="single" w:sz="4" w:space="0" w:color="000000" w:themeColor="text1"/>
            </w:tcBorders>
            <w:shd w:val="clear" w:color="auto" w:fill="C6EFCE"/>
            <w:noWrap/>
          </w:tcPr>
          <w:p w14:paraId="107D6F07"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1134" w:type="dxa"/>
            <w:tcBorders>
              <w:top w:val="nil"/>
              <w:left w:val="nil"/>
              <w:bottom w:val="single" w:sz="4" w:space="0" w:color="000000" w:themeColor="text1"/>
              <w:right w:val="single" w:sz="4" w:space="0" w:color="000000" w:themeColor="text1"/>
            </w:tcBorders>
            <w:shd w:val="clear" w:color="auto" w:fill="C6EFCE"/>
            <w:noWrap/>
          </w:tcPr>
          <w:p w14:paraId="37190814"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1134" w:type="dxa"/>
            <w:tcBorders>
              <w:top w:val="nil"/>
              <w:left w:val="nil"/>
              <w:bottom w:val="single" w:sz="4" w:space="0" w:color="000000" w:themeColor="text1"/>
              <w:right w:val="single" w:sz="4" w:space="0" w:color="000000" w:themeColor="text1"/>
            </w:tcBorders>
            <w:shd w:val="clear" w:color="auto" w:fill="C6EFCE"/>
            <w:noWrap/>
          </w:tcPr>
          <w:p w14:paraId="5657CB5E"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850" w:type="dxa"/>
            <w:tcBorders>
              <w:top w:val="nil"/>
              <w:left w:val="nil"/>
              <w:bottom w:val="single" w:sz="4" w:space="0" w:color="000000" w:themeColor="text1"/>
              <w:right w:val="single" w:sz="4" w:space="0" w:color="000000" w:themeColor="text1"/>
            </w:tcBorders>
            <w:shd w:val="clear" w:color="auto" w:fill="C6EFCE"/>
            <w:noWrap/>
          </w:tcPr>
          <w:p w14:paraId="0121C8C4"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T4</w:t>
            </w:r>
          </w:p>
        </w:tc>
        <w:tc>
          <w:tcPr>
            <w:tcW w:w="744" w:type="dxa"/>
            <w:tcBorders>
              <w:top w:val="nil"/>
              <w:left w:val="nil"/>
              <w:bottom w:val="single" w:sz="4" w:space="0" w:color="000000" w:themeColor="text1"/>
              <w:right w:val="single" w:sz="4" w:space="0" w:color="000000" w:themeColor="text1"/>
            </w:tcBorders>
            <w:shd w:val="clear" w:color="auto" w:fill="C6EFCE"/>
            <w:noWrap/>
          </w:tcPr>
          <w:p w14:paraId="081FC519"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2024</w:t>
            </w:r>
          </w:p>
        </w:tc>
        <w:tc>
          <w:tcPr>
            <w:tcW w:w="4359" w:type="dxa"/>
            <w:tcBorders>
              <w:top w:val="nil"/>
              <w:left w:val="nil"/>
              <w:bottom w:val="single" w:sz="4" w:space="0" w:color="000000" w:themeColor="text1"/>
              <w:right w:val="single" w:sz="4" w:space="0" w:color="000000" w:themeColor="text1"/>
            </w:tcBorders>
            <w:shd w:val="clear" w:color="auto" w:fill="C6EFCE"/>
            <w:noWrap/>
          </w:tcPr>
          <w:p w14:paraId="45D904E8" w14:textId="4E34228C"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Информационният модул дава възможност за провеждане на заседания от разстояние. В 28-те административни съдилища на страната се осигурява необходимият хардуер за дистанционни съдебни заседания и се въвежда уеб базиран интерфейс за дистанционни заседания.</w:t>
            </w:r>
          </w:p>
        </w:tc>
      </w:tr>
      <w:tr w:rsidR="007F2B35" w:rsidRPr="005241FC" w14:paraId="046D6918" w14:textId="77777777" w:rsidTr="00A80AF7">
        <w:trPr>
          <w:trHeight w:val="840"/>
          <w:jc w:val="right"/>
        </w:trPr>
        <w:tc>
          <w:tcPr>
            <w:tcW w:w="710" w:type="dxa"/>
            <w:tcBorders>
              <w:top w:val="nil"/>
              <w:left w:val="single" w:sz="4" w:space="0" w:color="000000" w:themeColor="text1"/>
              <w:bottom w:val="single" w:sz="4" w:space="0" w:color="000000" w:themeColor="text1"/>
              <w:right w:val="single" w:sz="4" w:space="0" w:color="000000" w:themeColor="text1"/>
            </w:tcBorders>
            <w:shd w:val="clear" w:color="auto" w:fill="C6EFCE"/>
            <w:noWrap/>
          </w:tcPr>
          <w:p w14:paraId="1A36994C" w14:textId="003B5F93" w:rsidR="00A17CA8" w:rsidRPr="0051384F" w:rsidRDefault="00C723AC"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262</w:t>
            </w:r>
          </w:p>
        </w:tc>
        <w:tc>
          <w:tcPr>
            <w:tcW w:w="1286" w:type="dxa"/>
            <w:tcBorders>
              <w:top w:val="nil"/>
              <w:left w:val="nil"/>
              <w:bottom w:val="single" w:sz="4" w:space="0" w:color="000000" w:themeColor="text1"/>
              <w:right w:val="single" w:sz="4" w:space="0" w:color="000000" w:themeColor="text1"/>
            </w:tcBorders>
            <w:shd w:val="clear" w:color="auto" w:fill="C6EFCE"/>
            <w:noWrap/>
          </w:tcPr>
          <w:p w14:paraId="3BA3B753" w14:textId="28F74EAC" w:rsidR="00A17CA8" w:rsidRPr="0051384F" w:rsidRDefault="00772A3B"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К10.И2: Цифровизация на ключови съдопроизводствени процеси в системата на административното правораздаване</w:t>
            </w:r>
          </w:p>
        </w:tc>
        <w:tc>
          <w:tcPr>
            <w:tcW w:w="1085" w:type="dxa"/>
            <w:tcBorders>
              <w:top w:val="nil"/>
              <w:left w:val="nil"/>
              <w:bottom w:val="single" w:sz="4" w:space="0" w:color="000000" w:themeColor="text1"/>
              <w:right w:val="single" w:sz="4" w:space="0" w:color="000000" w:themeColor="text1"/>
            </w:tcBorders>
            <w:shd w:val="clear" w:color="auto" w:fill="C6EFCE"/>
            <w:noWrap/>
          </w:tcPr>
          <w:p w14:paraId="12BCC645"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734" w:type="dxa"/>
            <w:tcBorders>
              <w:top w:val="nil"/>
              <w:left w:val="nil"/>
              <w:bottom w:val="single" w:sz="4" w:space="0" w:color="000000" w:themeColor="text1"/>
              <w:right w:val="single" w:sz="4" w:space="0" w:color="000000" w:themeColor="text1"/>
            </w:tcBorders>
            <w:shd w:val="clear" w:color="auto" w:fill="C6EFCE"/>
            <w:noWrap/>
          </w:tcPr>
          <w:p w14:paraId="6F0EF3BF"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Закупуване и внедряване на хардуер за съхранение на данни в център за данни на Висшия съдебен съвет </w:t>
            </w:r>
          </w:p>
        </w:tc>
        <w:tc>
          <w:tcPr>
            <w:tcW w:w="1417" w:type="dxa"/>
            <w:tcBorders>
              <w:top w:val="nil"/>
              <w:left w:val="nil"/>
              <w:bottom w:val="single" w:sz="4" w:space="0" w:color="000000" w:themeColor="text1"/>
              <w:right w:val="single" w:sz="4" w:space="0" w:color="000000" w:themeColor="text1"/>
            </w:tcBorders>
            <w:shd w:val="clear" w:color="auto" w:fill="C6EFCE"/>
            <w:noWrap/>
          </w:tcPr>
          <w:p w14:paraId="2BA9C672"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Хардуерът за съхранение на данни е в експлоатация</w:t>
            </w:r>
          </w:p>
        </w:tc>
        <w:tc>
          <w:tcPr>
            <w:tcW w:w="993" w:type="dxa"/>
            <w:tcBorders>
              <w:top w:val="nil"/>
              <w:left w:val="nil"/>
              <w:bottom w:val="single" w:sz="4" w:space="0" w:color="000000" w:themeColor="text1"/>
              <w:right w:val="single" w:sz="4" w:space="0" w:color="000000" w:themeColor="text1"/>
            </w:tcBorders>
            <w:shd w:val="clear" w:color="auto" w:fill="C6EFCE"/>
            <w:noWrap/>
          </w:tcPr>
          <w:p w14:paraId="2B2ED829"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lang w:eastAsia="en-GB"/>
              </w:rPr>
            </w:pPr>
          </w:p>
        </w:tc>
        <w:tc>
          <w:tcPr>
            <w:tcW w:w="1134" w:type="dxa"/>
            <w:tcBorders>
              <w:top w:val="nil"/>
              <w:left w:val="nil"/>
              <w:bottom w:val="single" w:sz="4" w:space="0" w:color="000000" w:themeColor="text1"/>
              <w:right w:val="single" w:sz="4" w:space="0" w:color="000000" w:themeColor="text1"/>
            </w:tcBorders>
            <w:shd w:val="clear" w:color="auto" w:fill="C6EFCE"/>
            <w:noWrap/>
          </w:tcPr>
          <w:p w14:paraId="3F276114"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lang w:eastAsia="en-GB"/>
              </w:rPr>
            </w:pPr>
          </w:p>
        </w:tc>
        <w:tc>
          <w:tcPr>
            <w:tcW w:w="1134" w:type="dxa"/>
            <w:tcBorders>
              <w:top w:val="nil"/>
              <w:left w:val="nil"/>
              <w:bottom w:val="single" w:sz="4" w:space="0" w:color="000000" w:themeColor="text1"/>
              <w:right w:val="single" w:sz="4" w:space="0" w:color="000000" w:themeColor="text1"/>
            </w:tcBorders>
            <w:shd w:val="clear" w:color="auto" w:fill="C6EFCE"/>
            <w:noWrap/>
          </w:tcPr>
          <w:p w14:paraId="64C42158"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lang w:eastAsia="en-GB"/>
              </w:rPr>
            </w:pPr>
          </w:p>
        </w:tc>
        <w:tc>
          <w:tcPr>
            <w:tcW w:w="850" w:type="dxa"/>
            <w:tcBorders>
              <w:top w:val="nil"/>
              <w:left w:val="nil"/>
              <w:bottom w:val="single" w:sz="4" w:space="0" w:color="000000" w:themeColor="text1"/>
              <w:right w:val="single" w:sz="4" w:space="0" w:color="000000" w:themeColor="text1"/>
            </w:tcBorders>
            <w:shd w:val="clear" w:color="auto" w:fill="C6EFCE"/>
            <w:noWrap/>
          </w:tcPr>
          <w:p w14:paraId="53400815"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T4</w:t>
            </w:r>
          </w:p>
        </w:tc>
        <w:tc>
          <w:tcPr>
            <w:tcW w:w="744" w:type="dxa"/>
            <w:tcBorders>
              <w:top w:val="nil"/>
              <w:left w:val="nil"/>
              <w:bottom w:val="single" w:sz="4" w:space="0" w:color="000000" w:themeColor="text1"/>
              <w:right w:val="single" w:sz="4" w:space="0" w:color="000000" w:themeColor="text1"/>
            </w:tcBorders>
            <w:shd w:val="clear" w:color="auto" w:fill="C6EFCE"/>
            <w:noWrap/>
          </w:tcPr>
          <w:p w14:paraId="5A82E2AC"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2025</w:t>
            </w:r>
          </w:p>
        </w:tc>
        <w:tc>
          <w:tcPr>
            <w:tcW w:w="4359" w:type="dxa"/>
            <w:tcBorders>
              <w:top w:val="nil"/>
              <w:left w:val="nil"/>
              <w:bottom w:val="single" w:sz="4" w:space="0" w:color="000000" w:themeColor="text1"/>
              <w:right w:val="single" w:sz="4" w:space="0" w:color="000000" w:themeColor="text1"/>
            </w:tcBorders>
            <w:shd w:val="clear" w:color="auto" w:fill="C6EFCE"/>
            <w:noWrap/>
          </w:tcPr>
          <w:p w14:paraId="6A3EC08A"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Хардуерът за съхранение на данни се закупува и пуска в експлоатация в центъра за данни на Висшия съдебен съвет. Съществуващият хардуер за съхранение на данни се заменя и поставя в резервен режим. </w:t>
            </w:r>
          </w:p>
        </w:tc>
      </w:tr>
      <w:tr w:rsidR="007F2B35" w:rsidRPr="005241FC" w14:paraId="61E29AA0" w14:textId="77777777" w:rsidTr="00A80AF7">
        <w:trPr>
          <w:trHeight w:val="840"/>
          <w:jc w:val="right"/>
        </w:trPr>
        <w:tc>
          <w:tcPr>
            <w:tcW w:w="710" w:type="dxa"/>
            <w:tcBorders>
              <w:top w:val="nil"/>
              <w:left w:val="single" w:sz="4" w:space="0" w:color="000000" w:themeColor="text1"/>
              <w:bottom w:val="single" w:sz="4" w:space="0" w:color="000000" w:themeColor="text1"/>
              <w:right w:val="single" w:sz="4" w:space="0" w:color="000000" w:themeColor="text1"/>
            </w:tcBorders>
            <w:shd w:val="clear" w:color="auto" w:fill="C6EFCE"/>
            <w:noWrap/>
            <w:hideMark/>
          </w:tcPr>
          <w:p w14:paraId="746573F7" w14:textId="295FEAB1" w:rsidR="00A17CA8" w:rsidRPr="0051384F" w:rsidRDefault="00C723AC"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263</w:t>
            </w:r>
          </w:p>
        </w:tc>
        <w:tc>
          <w:tcPr>
            <w:tcW w:w="1286" w:type="dxa"/>
            <w:tcBorders>
              <w:top w:val="nil"/>
              <w:left w:val="nil"/>
              <w:bottom w:val="single" w:sz="4" w:space="0" w:color="000000" w:themeColor="text1"/>
              <w:right w:val="single" w:sz="4" w:space="0" w:color="000000" w:themeColor="text1"/>
            </w:tcBorders>
            <w:shd w:val="clear" w:color="auto" w:fill="C6EFCE"/>
            <w:noWrap/>
            <w:hideMark/>
          </w:tcPr>
          <w:p w14:paraId="731EB80C" w14:textId="3C5010F3" w:rsidR="00A17CA8" w:rsidRPr="0051384F" w:rsidRDefault="00772A3B"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К10.И3: Трансформация на съществуващата в прокуратурата информационна и комуникационна инфраструктура</w:t>
            </w:r>
          </w:p>
        </w:tc>
        <w:tc>
          <w:tcPr>
            <w:tcW w:w="1085" w:type="dxa"/>
            <w:tcBorders>
              <w:top w:val="nil"/>
              <w:left w:val="nil"/>
              <w:bottom w:val="single" w:sz="4" w:space="0" w:color="000000" w:themeColor="text1"/>
              <w:right w:val="single" w:sz="4" w:space="0" w:color="000000" w:themeColor="text1"/>
            </w:tcBorders>
            <w:shd w:val="clear" w:color="auto" w:fill="C6EFCE"/>
            <w:noWrap/>
            <w:hideMark/>
          </w:tcPr>
          <w:p w14:paraId="7C87A528"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734" w:type="dxa"/>
            <w:tcBorders>
              <w:top w:val="nil"/>
              <w:left w:val="nil"/>
              <w:bottom w:val="single" w:sz="4" w:space="0" w:color="000000" w:themeColor="text1"/>
              <w:right w:val="single" w:sz="4" w:space="0" w:color="000000" w:themeColor="text1"/>
            </w:tcBorders>
            <w:shd w:val="clear" w:color="auto" w:fill="C6EFCE"/>
            <w:noWrap/>
          </w:tcPr>
          <w:p w14:paraId="7AD7F905"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Модернизирането на съществуващата в прокуратурата информационна и комуникационна инфраструктура е приключило</w:t>
            </w:r>
          </w:p>
          <w:p w14:paraId="4A794102"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1417" w:type="dxa"/>
            <w:tcBorders>
              <w:top w:val="nil"/>
              <w:left w:val="nil"/>
              <w:bottom w:val="single" w:sz="4" w:space="0" w:color="000000" w:themeColor="text1"/>
              <w:right w:val="single" w:sz="4" w:space="0" w:color="000000" w:themeColor="text1"/>
            </w:tcBorders>
            <w:shd w:val="clear" w:color="auto" w:fill="C6EFCE"/>
            <w:noWrap/>
            <w:hideMark/>
          </w:tcPr>
          <w:p w14:paraId="28BFBDDF"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Модернизирана информационна и комуникационна инфраструктура в прокуратурата</w:t>
            </w:r>
          </w:p>
        </w:tc>
        <w:tc>
          <w:tcPr>
            <w:tcW w:w="993" w:type="dxa"/>
            <w:tcBorders>
              <w:top w:val="nil"/>
              <w:left w:val="nil"/>
              <w:bottom w:val="single" w:sz="4" w:space="0" w:color="000000" w:themeColor="text1"/>
              <w:right w:val="single" w:sz="4" w:space="0" w:color="000000" w:themeColor="text1"/>
            </w:tcBorders>
            <w:shd w:val="clear" w:color="auto" w:fill="C6EFCE"/>
            <w:noWrap/>
          </w:tcPr>
          <w:p w14:paraId="5EE3ED2D"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1134" w:type="dxa"/>
            <w:tcBorders>
              <w:top w:val="nil"/>
              <w:left w:val="nil"/>
              <w:bottom w:val="single" w:sz="4" w:space="0" w:color="000000" w:themeColor="text1"/>
              <w:right w:val="single" w:sz="4" w:space="0" w:color="000000" w:themeColor="text1"/>
            </w:tcBorders>
            <w:shd w:val="clear" w:color="auto" w:fill="C6EFCE"/>
            <w:noWrap/>
          </w:tcPr>
          <w:p w14:paraId="690EB707"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1134" w:type="dxa"/>
            <w:tcBorders>
              <w:top w:val="nil"/>
              <w:left w:val="nil"/>
              <w:bottom w:val="single" w:sz="4" w:space="0" w:color="000000" w:themeColor="text1"/>
              <w:right w:val="single" w:sz="4" w:space="0" w:color="000000" w:themeColor="text1"/>
            </w:tcBorders>
            <w:shd w:val="clear" w:color="auto" w:fill="C6EFCE"/>
            <w:noWrap/>
          </w:tcPr>
          <w:p w14:paraId="74908605"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850" w:type="dxa"/>
            <w:tcBorders>
              <w:top w:val="nil"/>
              <w:left w:val="nil"/>
              <w:bottom w:val="single" w:sz="4" w:space="0" w:color="000000" w:themeColor="text1"/>
              <w:right w:val="single" w:sz="4" w:space="0" w:color="000000" w:themeColor="text1"/>
            </w:tcBorders>
            <w:shd w:val="clear" w:color="auto" w:fill="C6EFCE"/>
            <w:noWrap/>
            <w:hideMark/>
          </w:tcPr>
          <w:p w14:paraId="67725F08"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T4</w:t>
            </w:r>
          </w:p>
        </w:tc>
        <w:tc>
          <w:tcPr>
            <w:tcW w:w="744" w:type="dxa"/>
            <w:tcBorders>
              <w:top w:val="nil"/>
              <w:left w:val="nil"/>
              <w:bottom w:val="single" w:sz="4" w:space="0" w:color="000000" w:themeColor="text1"/>
              <w:right w:val="single" w:sz="4" w:space="0" w:color="000000" w:themeColor="text1"/>
            </w:tcBorders>
            <w:shd w:val="clear" w:color="auto" w:fill="C6EFCE"/>
            <w:noWrap/>
            <w:hideMark/>
          </w:tcPr>
          <w:p w14:paraId="29B4A16E"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2024</w:t>
            </w:r>
          </w:p>
        </w:tc>
        <w:tc>
          <w:tcPr>
            <w:tcW w:w="4359" w:type="dxa"/>
            <w:tcBorders>
              <w:top w:val="nil"/>
              <w:left w:val="nil"/>
              <w:bottom w:val="single" w:sz="4" w:space="0" w:color="000000" w:themeColor="text1"/>
              <w:right w:val="single" w:sz="4" w:space="0" w:color="000000" w:themeColor="text1"/>
            </w:tcBorders>
            <w:shd w:val="clear" w:color="auto" w:fill="C6EFCE"/>
            <w:noWrap/>
            <w:hideMark/>
          </w:tcPr>
          <w:p w14:paraId="11A1C58A" w14:textId="7A45AC64"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Модернизирането на вътрешната информационна и комуникационна инфраструктура повишава цифровизацията на процесите и сигурността на обмена на данни в рамките на прокуратурата, като:</w:t>
            </w:r>
          </w:p>
          <w:p w14:paraId="2FC8322F" w14:textId="77777777" w:rsidR="00A17CA8" w:rsidRPr="002E1892" w:rsidRDefault="00A17CA8" w:rsidP="00576E40">
            <w:pPr>
              <w:pStyle w:val="ListParagraph"/>
              <w:numPr>
                <w:ilvl w:val="0"/>
                <w:numId w:val="87"/>
              </w:num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осигурява възможност за засилен обмен на вътрешни данни в електронна форма в рамките на прокуратурата;</w:t>
            </w:r>
          </w:p>
          <w:p w14:paraId="2E3A0DB7" w14:textId="77777777" w:rsidR="00A17CA8" w:rsidRPr="0051384F" w:rsidRDefault="00A17CA8" w:rsidP="00576E40">
            <w:pPr>
              <w:pStyle w:val="ListParagraph"/>
              <w:numPr>
                <w:ilvl w:val="0"/>
                <w:numId w:val="87"/>
              </w:num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осигурява сигурен достъп от разстояние и електронна идентификация;</w:t>
            </w:r>
          </w:p>
          <w:p w14:paraId="042CFAC1" w14:textId="77777777" w:rsidR="00A17CA8" w:rsidRPr="0051384F" w:rsidRDefault="00A17CA8" w:rsidP="00576E40">
            <w:pPr>
              <w:pStyle w:val="ListParagraph"/>
              <w:numPr>
                <w:ilvl w:val="0"/>
                <w:numId w:val="87"/>
              </w:num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въвежда автоматичен обмен на електронни данни с други правоприлагащи органи в България;</w:t>
            </w:r>
          </w:p>
          <w:p w14:paraId="4C9C6659" w14:textId="77777777" w:rsidR="00A17CA8" w:rsidRPr="0051384F" w:rsidRDefault="00A17CA8" w:rsidP="00576E40">
            <w:pPr>
              <w:pStyle w:val="ListParagraph"/>
              <w:numPr>
                <w:ilvl w:val="0"/>
                <w:numId w:val="87"/>
              </w:num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интегрира вътрешната инфраструктура с Единния портал за електронно правосъдие; </w:t>
            </w:r>
          </w:p>
          <w:p w14:paraId="270F52EE" w14:textId="77777777" w:rsidR="00A17CA8" w:rsidRPr="0051384F" w:rsidRDefault="00A17CA8" w:rsidP="00576E40">
            <w:pPr>
              <w:pStyle w:val="ListParagraph"/>
              <w:numPr>
                <w:ilvl w:val="0"/>
                <w:numId w:val="87"/>
              </w:num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повишава нивото на киберсигурност и улеснява спазването на изискванията за защита на данните.</w:t>
            </w:r>
          </w:p>
          <w:p w14:paraId="52B76D22"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r>
      <w:tr w:rsidR="007F2B35" w:rsidRPr="005241FC" w14:paraId="7C1BBAF5" w14:textId="77777777" w:rsidTr="00A80AF7">
        <w:trPr>
          <w:trHeight w:val="840"/>
          <w:jc w:val="right"/>
        </w:trPr>
        <w:tc>
          <w:tcPr>
            <w:tcW w:w="710" w:type="dxa"/>
            <w:tcBorders>
              <w:top w:val="nil"/>
              <w:left w:val="single" w:sz="4" w:space="0" w:color="000000" w:themeColor="text1"/>
              <w:bottom w:val="single" w:sz="4" w:space="0" w:color="000000" w:themeColor="text1"/>
              <w:right w:val="single" w:sz="4" w:space="0" w:color="000000" w:themeColor="text1"/>
            </w:tcBorders>
            <w:shd w:val="clear" w:color="auto" w:fill="C6EFCE"/>
            <w:noWrap/>
          </w:tcPr>
          <w:p w14:paraId="4D52CDD5" w14:textId="4FD3A075" w:rsidR="00A17CA8" w:rsidRPr="0051384F" w:rsidRDefault="00C723AC"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264</w:t>
            </w:r>
          </w:p>
        </w:tc>
        <w:tc>
          <w:tcPr>
            <w:tcW w:w="1286" w:type="dxa"/>
            <w:tcBorders>
              <w:top w:val="nil"/>
              <w:left w:val="nil"/>
              <w:bottom w:val="single" w:sz="4" w:space="0" w:color="000000" w:themeColor="text1"/>
              <w:right w:val="single" w:sz="4" w:space="0" w:color="000000" w:themeColor="text1"/>
            </w:tcBorders>
            <w:shd w:val="clear" w:color="auto" w:fill="C6EFCE"/>
            <w:noWrap/>
          </w:tcPr>
          <w:p w14:paraId="7CAF38D2" w14:textId="63FE758F" w:rsidR="00A17CA8" w:rsidRPr="0051384F" w:rsidRDefault="00772A3B"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К10.И4: Подобряване на качеството и устойчивостта на политиките в сферата на сигурността</w:t>
            </w:r>
          </w:p>
        </w:tc>
        <w:tc>
          <w:tcPr>
            <w:tcW w:w="1085" w:type="dxa"/>
            <w:tcBorders>
              <w:top w:val="nil"/>
              <w:left w:val="nil"/>
              <w:bottom w:val="single" w:sz="4" w:space="0" w:color="000000" w:themeColor="text1"/>
              <w:right w:val="single" w:sz="4" w:space="0" w:color="000000" w:themeColor="text1"/>
            </w:tcBorders>
            <w:shd w:val="clear" w:color="auto" w:fill="C6EFCE"/>
            <w:noWrap/>
          </w:tcPr>
          <w:p w14:paraId="6923C553"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Цел</w:t>
            </w:r>
          </w:p>
        </w:tc>
        <w:tc>
          <w:tcPr>
            <w:tcW w:w="1734" w:type="dxa"/>
            <w:tcBorders>
              <w:top w:val="nil"/>
              <w:left w:val="nil"/>
              <w:bottom w:val="single" w:sz="4" w:space="0" w:color="000000" w:themeColor="text1"/>
              <w:right w:val="single" w:sz="4" w:space="0" w:color="000000" w:themeColor="text1"/>
            </w:tcBorders>
            <w:shd w:val="clear" w:color="auto" w:fill="C6EFCE"/>
            <w:noWrap/>
          </w:tcPr>
          <w:p w14:paraId="1C55F6DE"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Интелигентни системи за видеонаблюдение, инсталирани и функциониращи в обекти на градската инфраструктура</w:t>
            </w:r>
          </w:p>
        </w:tc>
        <w:tc>
          <w:tcPr>
            <w:tcW w:w="1417" w:type="dxa"/>
            <w:tcBorders>
              <w:top w:val="nil"/>
              <w:left w:val="nil"/>
              <w:bottom w:val="single" w:sz="4" w:space="0" w:color="000000" w:themeColor="text1"/>
              <w:right w:val="single" w:sz="4" w:space="0" w:color="000000" w:themeColor="text1"/>
            </w:tcBorders>
            <w:shd w:val="clear" w:color="auto" w:fill="C6EFCE"/>
            <w:noWrap/>
          </w:tcPr>
          <w:p w14:paraId="28EC63D6"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993" w:type="dxa"/>
            <w:tcBorders>
              <w:top w:val="nil"/>
              <w:left w:val="nil"/>
              <w:bottom w:val="single" w:sz="4" w:space="0" w:color="000000" w:themeColor="text1"/>
              <w:right w:val="single" w:sz="4" w:space="0" w:color="000000" w:themeColor="text1"/>
            </w:tcBorders>
            <w:shd w:val="clear" w:color="auto" w:fill="C6EFCE"/>
            <w:noWrap/>
          </w:tcPr>
          <w:p w14:paraId="0FBEE3A2"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Брой</w:t>
            </w:r>
          </w:p>
        </w:tc>
        <w:tc>
          <w:tcPr>
            <w:tcW w:w="1134" w:type="dxa"/>
            <w:tcBorders>
              <w:top w:val="nil"/>
              <w:left w:val="nil"/>
              <w:bottom w:val="single" w:sz="4" w:space="0" w:color="000000" w:themeColor="text1"/>
              <w:right w:val="single" w:sz="4" w:space="0" w:color="000000" w:themeColor="text1"/>
            </w:tcBorders>
            <w:shd w:val="clear" w:color="auto" w:fill="C6EFCE"/>
            <w:noWrap/>
          </w:tcPr>
          <w:p w14:paraId="292F7DFE"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0</w:t>
            </w:r>
          </w:p>
        </w:tc>
        <w:tc>
          <w:tcPr>
            <w:tcW w:w="1134" w:type="dxa"/>
            <w:tcBorders>
              <w:top w:val="nil"/>
              <w:left w:val="nil"/>
              <w:bottom w:val="single" w:sz="4" w:space="0" w:color="000000" w:themeColor="text1"/>
              <w:right w:val="single" w:sz="4" w:space="0" w:color="000000" w:themeColor="text1"/>
            </w:tcBorders>
            <w:shd w:val="clear" w:color="auto" w:fill="C6EFCE"/>
            <w:noWrap/>
          </w:tcPr>
          <w:p w14:paraId="1E013F55"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18</w:t>
            </w:r>
          </w:p>
        </w:tc>
        <w:tc>
          <w:tcPr>
            <w:tcW w:w="850" w:type="dxa"/>
            <w:tcBorders>
              <w:top w:val="nil"/>
              <w:left w:val="nil"/>
              <w:bottom w:val="single" w:sz="4" w:space="0" w:color="000000" w:themeColor="text1"/>
              <w:right w:val="single" w:sz="4" w:space="0" w:color="000000" w:themeColor="text1"/>
            </w:tcBorders>
            <w:shd w:val="clear" w:color="auto" w:fill="C6EFCE"/>
            <w:noWrap/>
          </w:tcPr>
          <w:p w14:paraId="30E7735A"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T2</w:t>
            </w:r>
          </w:p>
        </w:tc>
        <w:tc>
          <w:tcPr>
            <w:tcW w:w="744" w:type="dxa"/>
            <w:tcBorders>
              <w:top w:val="nil"/>
              <w:left w:val="nil"/>
              <w:bottom w:val="single" w:sz="4" w:space="0" w:color="000000" w:themeColor="text1"/>
              <w:right w:val="single" w:sz="4" w:space="0" w:color="000000" w:themeColor="text1"/>
            </w:tcBorders>
            <w:shd w:val="clear" w:color="auto" w:fill="C6EFCE"/>
            <w:noWrap/>
          </w:tcPr>
          <w:p w14:paraId="3A410482" w14:textId="77777777" w:rsidR="00A17CA8" w:rsidRPr="00301CCA"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2023</w:t>
            </w:r>
          </w:p>
        </w:tc>
        <w:tc>
          <w:tcPr>
            <w:tcW w:w="4359" w:type="dxa"/>
            <w:tcBorders>
              <w:top w:val="nil"/>
              <w:left w:val="nil"/>
              <w:bottom w:val="single" w:sz="4" w:space="0" w:color="000000" w:themeColor="text1"/>
              <w:right w:val="single" w:sz="4" w:space="0" w:color="000000" w:themeColor="text1"/>
            </w:tcBorders>
            <w:shd w:val="clear" w:color="auto" w:fill="C6EFCE"/>
            <w:noWrap/>
          </w:tcPr>
          <w:p w14:paraId="6B56CDA2"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Модернизирани системи за видеонаблюдение с функционалност за разпознаване на номера на превозното средство, вградени и функциониращи на най-малко 18 пътни кръстовища по околовръстния път на София.</w:t>
            </w:r>
          </w:p>
        </w:tc>
      </w:tr>
      <w:tr w:rsidR="007F2B35" w:rsidRPr="005241FC" w14:paraId="1010BDA8" w14:textId="77777777" w:rsidTr="00A80AF7">
        <w:trPr>
          <w:trHeight w:val="750"/>
          <w:jc w:val="right"/>
        </w:trPr>
        <w:tc>
          <w:tcPr>
            <w:tcW w:w="710" w:type="dxa"/>
            <w:tcBorders>
              <w:top w:val="nil"/>
              <w:left w:val="single" w:sz="4" w:space="0" w:color="000000" w:themeColor="text1"/>
              <w:bottom w:val="single" w:sz="4" w:space="0" w:color="000000" w:themeColor="text1"/>
              <w:right w:val="single" w:sz="4" w:space="0" w:color="000000" w:themeColor="text1"/>
            </w:tcBorders>
            <w:shd w:val="clear" w:color="auto" w:fill="C6EFCE"/>
            <w:noWrap/>
            <w:hideMark/>
          </w:tcPr>
          <w:p w14:paraId="4EE033A0" w14:textId="0CBBCC33" w:rsidR="00A17CA8" w:rsidRPr="0051384F" w:rsidRDefault="00C723AC"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265</w:t>
            </w:r>
          </w:p>
        </w:tc>
        <w:tc>
          <w:tcPr>
            <w:tcW w:w="1286" w:type="dxa"/>
            <w:tcBorders>
              <w:top w:val="nil"/>
              <w:left w:val="nil"/>
              <w:bottom w:val="single" w:sz="4" w:space="0" w:color="000000" w:themeColor="text1"/>
              <w:right w:val="single" w:sz="4" w:space="0" w:color="000000" w:themeColor="text1"/>
            </w:tcBorders>
            <w:shd w:val="clear" w:color="auto" w:fill="C6EFCE"/>
            <w:noWrap/>
            <w:hideMark/>
          </w:tcPr>
          <w:p w14:paraId="0A296D40" w14:textId="2D655DDA" w:rsidR="00A17CA8" w:rsidRPr="0051384F" w:rsidRDefault="00772A3B"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К10.И4: Подобряване на качеството и устойчивостта на политиките в сферата на сигурността</w:t>
            </w:r>
          </w:p>
        </w:tc>
        <w:tc>
          <w:tcPr>
            <w:tcW w:w="1085" w:type="dxa"/>
            <w:tcBorders>
              <w:top w:val="nil"/>
              <w:left w:val="nil"/>
              <w:bottom w:val="single" w:sz="4" w:space="0" w:color="000000" w:themeColor="text1"/>
              <w:right w:val="single" w:sz="4" w:space="0" w:color="000000" w:themeColor="text1"/>
            </w:tcBorders>
            <w:shd w:val="clear" w:color="auto" w:fill="C6EFCE"/>
            <w:noWrap/>
            <w:hideMark/>
          </w:tcPr>
          <w:p w14:paraId="7250E7D8"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734" w:type="dxa"/>
            <w:tcBorders>
              <w:top w:val="nil"/>
              <w:left w:val="nil"/>
              <w:bottom w:val="single" w:sz="4" w:space="0" w:color="000000" w:themeColor="text1"/>
              <w:right w:val="single" w:sz="4" w:space="0" w:color="000000" w:themeColor="text1"/>
            </w:tcBorders>
            <w:shd w:val="clear" w:color="auto" w:fill="C6EFCE"/>
            <w:noWrap/>
            <w:hideMark/>
          </w:tcPr>
          <w:p w14:paraId="24DB4122"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Създадена и функционираща национална интелигентна система за сигурност</w:t>
            </w:r>
          </w:p>
        </w:tc>
        <w:tc>
          <w:tcPr>
            <w:tcW w:w="1417" w:type="dxa"/>
            <w:tcBorders>
              <w:top w:val="nil"/>
              <w:left w:val="nil"/>
              <w:bottom w:val="single" w:sz="4" w:space="0" w:color="000000" w:themeColor="text1"/>
              <w:right w:val="single" w:sz="4" w:space="0" w:color="000000" w:themeColor="text1"/>
            </w:tcBorders>
            <w:shd w:val="clear" w:color="auto" w:fill="C6EFCE"/>
            <w:noWrap/>
            <w:hideMark/>
          </w:tcPr>
          <w:p w14:paraId="0A5E6BFA"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Доставен и инсталиран хардуер и софтуер за модернизиране на Интегрираната автоматизирана система за сигурност и на Географската информационна система </w:t>
            </w:r>
          </w:p>
        </w:tc>
        <w:tc>
          <w:tcPr>
            <w:tcW w:w="993" w:type="dxa"/>
            <w:tcBorders>
              <w:top w:val="nil"/>
              <w:left w:val="nil"/>
              <w:bottom w:val="single" w:sz="4" w:space="0" w:color="000000" w:themeColor="text1"/>
              <w:right w:val="single" w:sz="4" w:space="0" w:color="000000" w:themeColor="text1"/>
            </w:tcBorders>
            <w:shd w:val="clear" w:color="auto" w:fill="C6EFCE"/>
            <w:noWrap/>
            <w:hideMark/>
          </w:tcPr>
          <w:p w14:paraId="63611941"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1134" w:type="dxa"/>
            <w:tcBorders>
              <w:top w:val="nil"/>
              <w:left w:val="nil"/>
              <w:bottom w:val="single" w:sz="4" w:space="0" w:color="000000" w:themeColor="text1"/>
              <w:right w:val="single" w:sz="4" w:space="0" w:color="000000" w:themeColor="text1"/>
            </w:tcBorders>
            <w:shd w:val="clear" w:color="auto" w:fill="C6EFCE"/>
            <w:noWrap/>
            <w:hideMark/>
          </w:tcPr>
          <w:p w14:paraId="1F12BEBD"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1134" w:type="dxa"/>
            <w:tcBorders>
              <w:top w:val="nil"/>
              <w:left w:val="nil"/>
              <w:bottom w:val="single" w:sz="4" w:space="0" w:color="000000" w:themeColor="text1"/>
              <w:right w:val="single" w:sz="4" w:space="0" w:color="000000" w:themeColor="text1"/>
            </w:tcBorders>
            <w:shd w:val="clear" w:color="auto" w:fill="C6EFCE"/>
            <w:noWrap/>
            <w:hideMark/>
          </w:tcPr>
          <w:p w14:paraId="2D2C1042"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850" w:type="dxa"/>
            <w:tcBorders>
              <w:top w:val="nil"/>
              <w:left w:val="nil"/>
              <w:bottom w:val="single" w:sz="4" w:space="0" w:color="000000" w:themeColor="text1"/>
              <w:right w:val="single" w:sz="4" w:space="0" w:color="000000" w:themeColor="text1"/>
            </w:tcBorders>
            <w:shd w:val="clear" w:color="auto" w:fill="C6EFCE"/>
            <w:noWrap/>
            <w:hideMark/>
          </w:tcPr>
          <w:p w14:paraId="0E788547"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T4</w:t>
            </w:r>
          </w:p>
        </w:tc>
        <w:tc>
          <w:tcPr>
            <w:tcW w:w="744" w:type="dxa"/>
            <w:tcBorders>
              <w:top w:val="nil"/>
              <w:left w:val="nil"/>
              <w:bottom w:val="single" w:sz="4" w:space="0" w:color="000000" w:themeColor="text1"/>
              <w:right w:val="single" w:sz="4" w:space="0" w:color="000000" w:themeColor="text1"/>
            </w:tcBorders>
            <w:shd w:val="clear" w:color="auto" w:fill="C6EFCE"/>
            <w:noWrap/>
            <w:hideMark/>
          </w:tcPr>
          <w:p w14:paraId="409DAB57"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2023</w:t>
            </w:r>
          </w:p>
        </w:tc>
        <w:tc>
          <w:tcPr>
            <w:tcW w:w="4359" w:type="dxa"/>
            <w:tcBorders>
              <w:top w:val="nil"/>
              <w:left w:val="nil"/>
              <w:bottom w:val="single" w:sz="4" w:space="0" w:color="000000" w:themeColor="text1"/>
              <w:right w:val="single" w:sz="4" w:space="0" w:color="000000" w:themeColor="text1"/>
            </w:tcBorders>
            <w:shd w:val="clear" w:color="auto" w:fill="C6EFCE"/>
            <w:hideMark/>
          </w:tcPr>
          <w:p w14:paraId="7BC30B6F" w14:textId="77777777" w:rsidR="00A17CA8" w:rsidRPr="0051384F" w:rsidRDefault="00A17CA8" w:rsidP="00576E40">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Националната интелигентна система за сигурност се изгражда чрез модернизиране на съществуващите Интегрирана автоматизирана система за сигурност (ИАСС) и Географска информационна система (ГИС) към Министерството на вътрешните работи. Очаква се модернизирането на ИАСС да даде възможност за осъществяване на връзки между общинските и регионалните системи за сигурност, както и с други автоматизирани информационни системи, както в Министерството на вътрешните работи, така и извън него, като например системите на общините и държавните институции, обекти от критичната инфраструктура и обекти от национално значение, метрото в София, Българските държавни железници, частни институции със значим статут - банки, болници, стадиони.</w:t>
            </w:r>
          </w:p>
          <w:p w14:paraId="049A9192"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p w14:paraId="38CF4569"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Модернизирането включва, наред с другото:</w:t>
            </w:r>
          </w:p>
          <w:p w14:paraId="02A6AFE7" w14:textId="77777777" w:rsidR="00A17CA8" w:rsidRPr="0051384F" w:rsidRDefault="00A17CA8" w:rsidP="00576E40">
            <w:pPr>
              <w:pStyle w:val="ListParagraph"/>
              <w:numPr>
                <w:ilvl w:val="0"/>
                <w:numId w:val="88"/>
              </w:num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подобрения на ИАСС, даващи възможности за видео анализ и анализ на данни и интегриране на данни от автоматизирани информационни системи;</w:t>
            </w:r>
          </w:p>
          <w:p w14:paraId="38B4EDBA" w14:textId="39F6F567" w:rsidR="00A17CA8" w:rsidRPr="0051384F" w:rsidRDefault="00A17CA8" w:rsidP="00576E40">
            <w:pPr>
              <w:pStyle w:val="ListParagraph"/>
              <w:numPr>
                <w:ilvl w:val="0"/>
                <w:numId w:val="88"/>
              </w:num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подобрения на платформата на ГИС, в т.ч. допълнителни функционалности и аналитични компоненти (включително 3D карти с височина на сградите за пространствен анализ) и интегриране в реално време на данни от други ключови държавни агенции и институции.</w:t>
            </w:r>
          </w:p>
        </w:tc>
      </w:tr>
      <w:tr w:rsidR="007F2B35" w:rsidRPr="005241FC" w14:paraId="566A97FE" w14:textId="77777777" w:rsidTr="00A80AF7">
        <w:trPr>
          <w:trHeight w:val="750"/>
          <w:jc w:val="right"/>
        </w:trPr>
        <w:tc>
          <w:tcPr>
            <w:tcW w:w="710" w:type="dxa"/>
            <w:tcBorders>
              <w:top w:val="nil"/>
              <w:left w:val="single" w:sz="4" w:space="0" w:color="000000" w:themeColor="text1"/>
              <w:bottom w:val="single" w:sz="4" w:space="0" w:color="000000" w:themeColor="text1"/>
              <w:right w:val="single" w:sz="4" w:space="0" w:color="000000" w:themeColor="text1"/>
            </w:tcBorders>
            <w:shd w:val="clear" w:color="auto" w:fill="C6EFCE"/>
            <w:noWrap/>
          </w:tcPr>
          <w:p w14:paraId="6D489BA3" w14:textId="4CA6942F" w:rsidR="00A17CA8" w:rsidRPr="0051384F" w:rsidRDefault="00C723AC"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266</w:t>
            </w:r>
          </w:p>
        </w:tc>
        <w:tc>
          <w:tcPr>
            <w:tcW w:w="1286" w:type="dxa"/>
            <w:tcBorders>
              <w:top w:val="nil"/>
              <w:left w:val="nil"/>
              <w:bottom w:val="single" w:sz="4" w:space="0" w:color="000000" w:themeColor="text1"/>
              <w:right w:val="single" w:sz="4" w:space="0" w:color="000000" w:themeColor="text1"/>
            </w:tcBorders>
            <w:shd w:val="clear" w:color="auto" w:fill="C6EFCE"/>
            <w:noWrap/>
          </w:tcPr>
          <w:p w14:paraId="1587B29B" w14:textId="0630E0DF" w:rsidR="00A17CA8" w:rsidRPr="0051384F" w:rsidRDefault="00772A3B"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К10.И4: Подобряване на качеството и устойчивостта на политиките в сферата на сигурността</w:t>
            </w:r>
          </w:p>
        </w:tc>
        <w:tc>
          <w:tcPr>
            <w:tcW w:w="1085" w:type="dxa"/>
            <w:tcBorders>
              <w:top w:val="nil"/>
              <w:left w:val="nil"/>
              <w:bottom w:val="single" w:sz="4" w:space="0" w:color="000000" w:themeColor="text1"/>
              <w:right w:val="single" w:sz="4" w:space="0" w:color="000000" w:themeColor="text1"/>
            </w:tcBorders>
            <w:shd w:val="clear" w:color="auto" w:fill="C6EFCE"/>
            <w:noWrap/>
          </w:tcPr>
          <w:p w14:paraId="11DB977D"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Цел</w:t>
            </w:r>
          </w:p>
        </w:tc>
        <w:tc>
          <w:tcPr>
            <w:tcW w:w="1734" w:type="dxa"/>
            <w:tcBorders>
              <w:top w:val="nil"/>
              <w:left w:val="nil"/>
              <w:bottom w:val="single" w:sz="4" w:space="0" w:color="000000" w:themeColor="text1"/>
              <w:right w:val="single" w:sz="4" w:space="0" w:color="000000" w:themeColor="text1"/>
            </w:tcBorders>
            <w:shd w:val="clear" w:color="auto" w:fill="C6EFCE"/>
            <w:noWrap/>
          </w:tcPr>
          <w:p w14:paraId="304F4C36"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Придобиване на полицейски автомобили със системи за видеонаблюдение за предотвратяване на корупционно поведение и практики</w:t>
            </w:r>
          </w:p>
        </w:tc>
        <w:tc>
          <w:tcPr>
            <w:tcW w:w="1417" w:type="dxa"/>
            <w:tcBorders>
              <w:top w:val="nil"/>
              <w:left w:val="nil"/>
              <w:bottom w:val="single" w:sz="4" w:space="0" w:color="000000" w:themeColor="text1"/>
              <w:right w:val="single" w:sz="4" w:space="0" w:color="000000" w:themeColor="text1"/>
            </w:tcBorders>
            <w:shd w:val="clear" w:color="auto" w:fill="C6EFCE"/>
            <w:noWrap/>
          </w:tcPr>
          <w:p w14:paraId="6D2B7720"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993" w:type="dxa"/>
            <w:tcBorders>
              <w:top w:val="nil"/>
              <w:left w:val="nil"/>
              <w:bottom w:val="single" w:sz="4" w:space="0" w:color="000000" w:themeColor="text1"/>
              <w:right w:val="single" w:sz="4" w:space="0" w:color="000000" w:themeColor="text1"/>
            </w:tcBorders>
            <w:shd w:val="clear" w:color="auto" w:fill="C6EFCE"/>
            <w:noWrap/>
          </w:tcPr>
          <w:p w14:paraId="3785F9B7"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Брой</w:t>
            </w:r>
          </w:p>
        </w:tc>
        <w:tc>
          <w:tcPr>
            <w:tcW w:w="1134" w:type="dxa"/>
            <w:tcBorders>
              <w:top w:val="nil"/>
              <w:left w:val="nil"/>
              <w:bottom w:val="single" w:sz="4" w:space="0" w:color="000000" w:themeColor="text1"/>
              <w:right w:val="single" w:sz="4" w:space="0" w:color="000000" w:themeColor="text1"/>
            </w:tcBorders>
            <w:shd w:val="clear" w:color="auto" w:fill="C6EFCE"/>
            <w:noWrap/>
          </w:tcPr>
          <w:p w14:paraId="29C9BB52"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1300</w:t>
            </w:r>
          </w:p>
        </w:tc>
        <w:tc>
          <w:tcPr>
            <w:tcW w:w="1134" w:type="dxa"/>
            <w:tcBorders>
              <w:top w:val="nil"/>
              <w:left w:val="nil"/>
              <w:bottom w:val="single" w:sz="4" w:space="0" w:color="000000" w:themeColor="text1"/>
              <w:right w:val="single" w:sz="4" w:space="0" w:color="000000" w:themeColor="text1"/>
            </w:tcBorders>
            <w:shd w:val="clear" w:color="auto" w:fill="C6EFCE"/>
            <w:noWrap/>
          </w:tcPr>
          <w:p w14:paraId="3B240A76"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1600</w:t>
            </w:r>
          </w:p>
        </w:tc>
        <w:tc>
          <w:tcPr>
            <w:tcW w:w="850" w:type="dxa"/>
            <w:tcBorders>
              <w:top w:val="nil"/>
              <w:left w:val="nil"/>
              <w:bottom w:val="single" w:sz="4" w:space="0" w:color="000000" w:themeColor="text1"/>
              <w:right w:val="single" w:sz="4" w:space="0" w:color="000000" w:themeColor="text1"/>
            </w:tcBorders>
            <w:shd w:val="clear" w:color="auto" w:fill="C6EFCE"/>
            <w:noWrap/>
          </w:tcPr>
          <w:p w14:paraId="70B22A41"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T4</w:t>
            </w:r>
          </w:p>
        </w:tc>
        <w:tc>
          <w:tcPr>
            <w:tcW w:w="744" w:type="dxa"/>
            <w:tcBorders>
              <w:top w:val="nil"/>
              <w:left w:val="nil"/>
              <w:bottom w:val="single" w:sz="4" w:space="0" w:color="000000" w:themeColor="text1"/>
              <w:right w:val="single" w:sz="4" w:space="0" w:color="000000" w:themeColor="text1"/>
            </w:tcBorders>
            <w:shd w:val="clear" w:color="auto" w:fill="C6EFCE"/>
            <w:noWrap/>
          </w:tcPr>
          <w:p w14:paraId="7E0BF433"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2024</w:t>
            </w:r>
          </w:p>
        </w:tc>
        <w:tc>
          <w:tcPr>
            <w:tcW w:w="4359" w:type="dxa"/>
            <w:tcBorders>
              <w:top w:val="nil"/>
              <w:left w:val="nil"/>
              <w:bottom w:val="single" w:sz="4" w:space="0" w:color="000000" w:themeColor="text1"/>
              <w:right w:val="single" w:sz="4" w:space="0" w:color="000000" w:themeColor="text1"/>
            </w:tcBorders>
            <w:shd w:val="clear" w:color="auto" w:fill="C6EFCE"/>
          </w:tcPr>
          <w:p w14:paraId="2BA43AA5" w14:textId="5DF380FF" w:rsidR="00A17CA8" w:rsidRPr="0051384F" w:rsidRDefault="00A17CA8" w:rsidP="00576E40">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Закупуване и доставка на 300 нови патрулни превозни средства и превозни средства на пътната полиция, оборудвани със системи за видеонаблюдение. По-конкретно се очаква да бъдат закупени най-малко 280 автомобила и 20 превозни средства с висока проходимост/с повишена проходимост, оборудвани с видеонаблюдение, които ще бъдат доставени на областните дирекции на Министерството на вътрешните работи, включително на Столична дирекция на вътрешните работи. Очаква се новите превозни средства да отговарят на актуалните екологични стандарти в ЕС по отношение на емисиите на вредни газове. </w:t>
            </w:r>
          </w:p>
        </w:tc>
      </w:tr>
      <w:tr w:rsidR="007F2B35" w:rsidRPr="005241FC" w14:paraId="24483A8A" w14:textId="77777777" w:rsidTr="00A80AF7">
        <w:trPr>
          <w:trHeight w:val="1590"/>
          <w:jc w:val="right"/>
        </w:trPr>
        <w:tc>
          <w:tcPr>
            <w:tcW w:w="710" w:type="dxa"/>
            <w:tcBorders>
              <w:top w:val="nil"/>
              <w:left w:val="single" w:sz="4" w:space="0" w:color="000000" w:themeColor="text1"/>
              <w:bottom w:val="single" w:sz="4" w:space="0" w:color="000000" w:themeColor="text1"/>
              <w:right w:val="single" w:sz="4" w:space="0" w:color="000000" w:themeColor="text1"/>
            </w:tcBorders>
            <w:shd w:val="clear" w:color="auto" w:fill="C6EFCE"/>
            <w:noWrap/>
          </w:tcPr>
          <w:p w14:paraId="5255D320" w14:textId="02AB47C8" w:rsidR="00A17CA8" w:rsidRPr="0051384F" w:rsidRDefault="00C723AC"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267</w:t>
            </w:r>
          </w:p>
        </w:tc>
        <w:tc>
          <w:tcPr>
            <w:tcW w:w="1286" w:type="dxa"/>
            <w:tcBorders>
              <w:top w:val="nil"/>
              <w:left w:val="nil"/>
              <w:bottom w:val="single" w:sz="4" w:space="0" w:color="000000" w:themeColor="text1"/>
              <w:right w:val="single" w:sz="4" w:space="0" w:color="000000" w:themeColor="text1"/>
            </w:tcBorders>
            <w:shd w:val="clear" w:color="auto" w:fill="C6EFCE"/>
            <w:noWrap/>
          </w:tcPr>
          <w:p w14:paraId="41914306" w14:textId="004935AA" w:rsidR="00A17CA8" w:rsidRPr="0051384F" w:rsidRDefault="00772A3B"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К10.И4: Подобряване на качеството и устойчивостта на политиките в сферата на сигурността</w:t>
            </w:r>
          </w:p>
        </w:tc>
        <w:tc>
          <w:tcPr>
            <w:tcW w:w="1085" w:type="dxa"/>
            <w:tcBorders>
              <w:top w:val="nil"/>
              <w:left w:val="nil"/>
              <w:bottom w:val="single" w:sz="4" w:space="0" w:color="000000" w:themeColor="text1"/>
              <w:right w:val="single" w:sz="4" w:space="0" w:color="000000" w:themeColor="text1"/>
            </w:tcBorders>
            <w:shd w:val="clear" w:color="auto" w:fill="C6EFCE"/>
            <w:noWrap/>
          </w:tcPr>
          <w:p w14:paraId="7CC51332"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Цел</w:t>
            </w:r>
          </w:p>
        </w:tc>
        <w:tc>
          <w:tcPr>
            <w:tcW w:w="1734" w:type="dxa"/>
            <w:tcBorders>
              <w:top w:val="nil"/>
              <w:left w:val="nil"/>
              <w:bottom w:val="single" w:sz="4" w:space="0" w:color="000000" w:themeColor="text1"/>
              <w:right w:val="single" w:sz="4" w:space="0" w:color="000000" w:themeColor="text1"/>
            </w:tcBorders>
            <w:shd w:val="clear" w:color="auto" w:fill="C6EFCE"/>
            <w:noWrap/>
          </w:tcPr>
          <w:p w14:paraId="2F7E5316" w14:textId="485625ED"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Снабдяване на полицейските служители с телесни камери </w:t>
            </w:r>
          </w:p>
        </w:tc>
        <w:tc>
          <w:tcPr>
            <w:tcW w:w="1417" w:type="dxa"/>
            <w:tcBorders>
              <w:top w:val="nil"/>
              <w:left w:val="nil"/>
              <w:bottom w:val="single" w:sz="4" w:space="0" w:color="000000" w:themeColor="text1"/>
              <w:right w:val="single" w:sz="4" w:space="0" w:color="000000" w:themeColor="text1"/>
            </w:tcBorders>
            <w:shd w:val="clear" w:color="auto" w:fill="C6EFCE"/>
            <w:noWrap/>
          </w:tcPr>
          <w:p w14:paraId="1C463874"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993" w:type="dxa"/>
            <w:tcBorders>
              <w:top w:val="nil"/>
              <w:left w:val="nil"/>
              <w:bottom w:val="single" w:sz="4" w:space="0" w:color="000000" w:themeColor="text1"/>
              <w:right w:val="single" w:sz="4" w:space="0" w:color="000000" w:themeColor="text1"/>
            </w:tcBorders>
            <w:shd w:val="clear" w:color="auto" w:fill="C6EFCE"/>
            <w:noWrap/>
          </w:tcPr>
          <w:p w14:paraId="4CF07C3A"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Брой</w:t>
            </w:r>
          </w:p>
        </w:tc>
        <w:tc>
          <w:tcPr>
            <w:tcW w:w="1134" w:type="dxa"/>
            <w:tcBorders>
              <w:top w:val="nil"/>
              <w:left w:val="nil"/>
              <w:bottom w:val="single" w:sz="4" w:space="0" w:color="000000" w:themeColor="text1"/>
              <w:right w:val="single" w:sz="4" w:space="0" w:color="000000" w:themeColor="text1"/>
            </w:tcBorders>
            <w:shd w:val="clear" w:color="auto" w:fill="C6EFCE"/>
            <w:noWrap/>
          </w:tcPr>
          <w:p w14:paraId="40DA9EDA"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0</w:t>
            </w:r>
          </w:p>
        </w:tc>
        <w:tc>
          <w:tcPr>
            <w:tcW w:w="1134" w:type="dxa"/>
            <w:tcBorders>
              <w:top w:val="nil"/>
              <w:left w:val="nil"/>
              <w:bottom w:val="single" w:sz="4" w:space="0" w:color="000000" w:themeColor="text1"/>
              <w:right w:val="single" w:sz="4" w:space="0" w:color="000000" w:themeColor="text1"/>
            </w:tcBorders>
            <w:shd w:val="clear" w:color="auto" w:fill="C6EFCE"/>
            <w:noWrap/>
          </w:tcPr>
          <w:p w14:paraId="1E0CEC9C"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1146</w:t>
            </w:r>
          </w:p>
        </w:tc>
        <w:tc>
          <w:tcPr>
            <w:tcW w:w="850" w:type="dxa"/>
            <w:tcBorders>
              <w:top w:val="nil"/>
              <w:left w:val="nil"/>
              <w:bottom w:val="single" w:sz="4" w:space="0" w:color="000000" w:themeColor="text1"/>
              <w:right w:val="single" w:sz="4" w:space="0" w:color="000000" w:themeColor="text1"/>
            </w:tcBorders>
            <w:shd w:val="clear" w:color="auto" w:fill="C6EFCE"/>
            <w:noWrap/>
          </w:tcPr>
          <w:p w14:paraId="70DDE739"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T4</w:t>
            </w:r>
          </w:p>
        </w:tc>
        <w:tc>
          <w:tcPr>
            <w:tcW w:w="744" w:type="dxa"/>
            <w:tcBorders>
              <w:top w:val="nil"/>
              <w:left w:val="nil"/>
              <w:bottom w:val="single" w:sz="4" w:space="0" w:color="000000" w:themeColor="text1"/>
              <w:right w:val="single" w:sz="4" w:space="0" w:color="000000" w:themeColor="text1"/>
            </w:tcBorders>
            <w:shd w:val="clear" w:color="auto" w:fill="C6EFCE"/>
            <w:noWrap/>
          </w:tcPr>
          <w:p w14:paraId="0BFC6BA6"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2024</w:t>
            </w:r>
          </w:p>
        </w:tc>
        <w:tc>
          <w:tcPr>
            <w:tcW w:w="4359" w:type="dxa"/>
            <w:tcBorders>
              <w:top w:val="nil"/>
              <w:left w:val="nil"/>
              <w:bottom w:val="single" w:sz="4" w:space="0" w:color="000000" w:themeColor="text1"/>
              <w:right w:val="single" w:sz="4" w:space="0" w:color="000000" w:themeColor="text1"/>
            </w:tcBorders>
            <w:shd w:val="clear" w:color="auto" w:fill="C6EFCE"/>
            <w:noWrap/>
          </w:tcPr>
          <w:p w14:paraId="6DBA6F2E" w14:textId="77777777" w:rsidR="00A17CA8" w:rsidRPr="0051384F" w:rsidRDefault="00A17CA8" w:rsidP="00576E40">
            <w:pPr>
              <w:rPr>
                <w:rFonts w:ascii="Times New Roman" w:eastAsia="Times New Roman" w:hAnsi="Times New Roman" w:cs="Times New Roman"/>
                <w:noProof/>
                <w:color w:val="006100"/>
                <w:sz w:val="20"/>
                <w:szCs w:val="20"/>
              </w:rPr>
            </w:pPr>
            <w:r>
              <w:rPr>
                <w:rFonts w:ascii="Times New Roman" w:hAnsi="Times New Roman"/>
                <w:noProof/>
                <w:color w:val="006100"/>
                <w:sz w:val="20"/>
              </w:rPr>
              <w:t>Оборудване на 1146 патрулни полицая с камери, носени на тялото.</w:t>
            </w:r>
          </w:p>
        </w:tc>
      </w:tr>
      <w:tr w:rsidR="007F2B35" w:rsidRPr="005241FC" w14:paraId="2048BF8E" w14:textId="77777777" w:rsidTr="00A80AF7">
        <w:trPr>
          <w:trHeight w:val="323"/>
          <w:jc w:val="right"/>
        </w:trPr>
        <w:tc>
          <w:tcPr>
            <w:tcW w:w="710" w:type="dxa"/>
            <w:tcBorders>
              <w:top w:val="nil"/>
              <w:left w:val="single" w:sz="4" w:space="0" w:color="000000" w:themeColor="text1"/>
              <w:bottom w:val="single" w:sz="4" w:space="0" w:color="000000" w:themeColor="text1"/>
              <w:right w:val="single" w:sz="4" w:space="0" w:color="000000" w:themeColor="text1"/>
            </w:tcBorders>
            <w:shd w:val="clear" w:color="auto" w:fill="C6EFCE"/>
            <w:noWrap/>
            <w:hideMark/>
          </w:tcPr>
          <w:p w14:paraId="0A79BBDF" w14:textId="07EB42B0" w:rsidR="00A17CA8" w:rsidRPr="0051384F" w:rsidRDefault="00C723AC"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270</w:t>
            </w:r>
          </w:p>
        </w:tc>
        <w:tc>
          <w:tcPr>
            <w:tcW w:w="1286" w:type="dxa"/>
            <w:tcBorders>
              <w:top w:val="nil"/>
              <w:left w:val="nil"/>
              <w:bottom w:val="single" w:sz="4" w:space="0" w:color="000000" w:themeColor="text1"/>
              <w:right w:val="single" w:sz="4" w:space="0" w:color="000000" w:themeColor="text1"/>
            </w:tcBorders>
            <w:shd w:val="clear" w:color="auto" w:fill="C6EFCE"/>
            <w:noWrap/>
            <w:hideMark/>
          </w:tcPr>
          <w:p w14:paraId="7B29228A" w14:textId="37B64429" w:rsidR="00A17CA8" w:rsidRPr="0051384F" w:rsidRDefault="00772A3B"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К10.И6: Подкрепа на пилотна фаза за въвеждане на строително информационното моделиране</w:t>
            </w:r>
          </w:p>
        </w:tc>
        <w:tc>
          <w:tcPr>
            <w:tcW w:w="1085" w:type="dxa"/>
            <w:tcBorders>
              <w:top w:val="nil"/>
              <w:left w:val="nil"/>
              <w:bottom w:val="single" w:sz="4" w:space="0" w:color="000000" w:themeColor="text1"/>
              <w:right w:val="single" w:sz="4" w:space="0" w:color="000000" w:themeColor="text1"/>
            </w:tcBorders>
            <w:shd w:val="clear" w:color="auto" w:fill="C6EFCE"/>
            <w:noWrap/>
            <w:hideMark/>
          </w:tcPr>
          <w:p w14:paraId="741F01BD"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734" w:type="dxa"/>
            <w:tcBorders>
              <w:top w:val="nil"/>
              <w:left w:val="nil"/>
              <w:bottom w:val="single" w:sz="4" w:space="0" w:color="000000" w:themeColor="text1"/>
              <w:right w:val="single" w:sz="4" w:space="0" w:color="000000" w:themeColor="text1"/>
            </w:tcBorders>
            <w:shd w:val="clear" w:color="auto" w:fill="C6EFCE"/>
            <w:noWrap/>
            <w:hideMark/>
          </w:tcPr>
          <w:p w14:paraId="6492A85E"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Създаден е уебсайт с онлайн курсове и материали за онлайн обучение по строително-информационно управление за експерти от частния сектор.</w:t>
            </w:r>
          </w:p>
        </w:tc>
        <w:tc>
          <w:tcPr>
            <w:tcW w:w="1417" w:type="dxa"/>
            <w:tcBorders>
              <w:top w:val="nil"/>
              <w:left w:val="nil"/>
              <w:bottom w:val="single" w:sz="4" w:space="0" w:color="000000" w:themeColor="text1"/>
              <w:right w:val="single" w:sz="4" w:space="0" w:color="000000" w:themeColor="text1"/>
            </w:tcBorders>
            <w:shd w:val="clear" w:color="auto" w:fill="C6EFCE"/>
            <w:noWrap/>
            <w:hideMark/>
          </w:tcPr>
          <w:p w14:paraId="69520FF6" w14:textId="77777777" w:rsidR="00A17CA8" w:rsidRPr="0051384F" w:rsidRDefault="00A17CA8" w:rsidP="00576E40">
            <w:pPr>
              <w:spacing w:after="24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Функциониращ уебсайт с онлайн курсове и материали, необходими на експертите от частния сектор, за да се научат как да прилагат СИМ </w:t>
            </w:r>
          </w:p>
        </w:tc>
        <w:tc>
          <w:tcPr>
            <w:tcW w:w="993" w:type="dxa"/>
            <w:tcBorders>
              <w:top w:val="nil"/>
              <w:left w:val="nil"/>
              <w:bottom w:val="single" w:sz="4" w:space="0" w:color="000000" w:themeColor="text1"/>
              <w:right w:val="single" w:sz="4" w:space="0" w:color="000000" w:themeColor="text1"/>
            </w:tcBorders>
            <w:shd w:val="clear" w:color="auto" w:fill="C6EFCE"/>
            <w:noWrap/>
          </w:tcPr>
          <w:p w14:paraId="0C3B4D34"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1134" w:type="dxa"/>
            <w:tcBorders>
              <w:top w:val="nil"/>
              <w:left w:val="nil"/>
              <w:bottom w:val="single" w:sz="4" w:space="0" w:color="000000" w:themeColor="text1"/>
              <w:right w:val="single" w:sz="4" w:space="0" w:color="000000" w:themeColor="text1"/>
            </w:tcBorders>
            <w:shd w:val="clear" w:color="auto" w:fill="C6EFCE"/>
            <w:noWrap/>
          </w:tcPr>
          <w:p w14:paraId="5A0D6888"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1134" w:type="dxa"/>
            <w:tcBorders>
              <w:top w:val="nil"/>
              <w:left w:val="nil"/>
              <w:bottom w:val="single" w:sz="4" w:space="0" w:color="000000" w:themeColor="text1"/>
              <w:right w:val="single" w:sz="4" w:space="0" w:color="000000" w:themeColor="text1"/>
            </w:tcBorders>
            <w:shd w:val="clear" w:color="auto" w:fill="C6EFCE"/>
            <w:noWrap/>
          </w:tcPr>
          <w:p w14:paraId="4F6FFC6D"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850" w:type="dxa"/>
            <w:tcBorders>
              <w:top w:val="nil"/>
              <w:left w:val="nil"/>
              <w:bottom w:val="single" w:sz="4" w:space="0" w:color="000000" w:themeColor="text1"/>
              <w:right w:val="single" w:sz="4" w:space="0" w:color="000000" w:themeColor="text1"/>
            </w:tcBorders>
            <w:shd w:val="clear" w:color="auto" w:fill="C6EFCE"/>
            <w:noWrap/>
            <w:hideMark/>
          </w:tcPr>
          <w:p w14:paraId="1633C555"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T2</w:t>
            </w:r>
          </w:p>
        </w:tc>
        <w:tc>
          <w:tcPr>
            <w:tcW w:w="744" w:type="dxa"/>
            <w:tcBorders>
              <w:top w:val="nil"/>
              <w:left w:val="nil"/>
              <w:bottom w:val="single" w:sz="4" w:space="0" w:color="000000" w:themeColor="text1"/>
              <w:right w:val="single" w:sz="4" w:space="0" w:color="000000" w:themeColor="text1"/>
            </w:tcBorders>
            <w:shd w:val="clear" w:color="auto" w:fill="C6EFCE"/>
            <w:noWrap/>
            <w:hideMark/>
          </w:tcPr>
          <w:p w14:paraId="5B25F849"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2026</w:t>
            </w:r>
          </w:p>
        </w:tc>
        <w:tc>
          <w:tcPr>
            <w:tcW w:w="4359" w:type="dxa"/>
            <w:tcBorders>
              <w:top w:val="nil"/>
              <w:left w:val="nil"/>
              <w:bottom w:val="single" w:sz="4" w:space="0" w:color="000000" w:themeColor="text1"/>
              <w:right w:val="single" w:sz="4" w:space="0" w:color="000000" w:themeColor="text1"/>
            </w:tcBorders>
            <w:shd w:val="clear" w:color="auto" w:fill="C6EFCE"/>
            <w:noWrap/>
            <w:hideMark/>
          </w:tcPr>
          <w:p w14:paraId="5AB30161" w14:textId="77777777" w:rsidR="00A17CA8" w:rsidRPr="0051384F" w:rsidRDefault="00A17CA8" w:rsidP="00576E40">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Изгражда се уебсайт с онлайн курсове и материали за онлайн обучение за експерти от частния сектор. Онлайн курсовете се разделят на два вида. Единия трябва да е на разположение на консултантите и да е насочен към техните специфични нужди в процеса на СИМ. Вторият вид обучения са насочени към нуждите на проектантските бюра и строителните дружества и акцентират върху използването на необходимия софтуер и практическите приложения. Очаква се материалите да допълнят наличните онлайн курсове.</w:t>
            </w:r>
          </w:p>
        </w:tc>
      </w:tr>
      <w:tr w:rsidR="007F2B35" w:rsidRPr="005241FC" w14:paraId="43643C42" w14:textId="77777777" w:rsidTr="00A80AF7">
        <w:trPr>
          <w:trHeight w:val="323"/>
          <w:jc w:val="right"/>
        </w:trPr>
        <w:tc>
          <w:tcPr>
            <w:tcW w:w="710" w:type="dxa"/>
            <w:tcBorders>
              <w:top w:val="nil"/>
              <w:left w:val="single" w:sz="4" w:space="0" w:color="000000" w:themeColor="text1"/>
              <w:bottom w:val="single" w:sz="4" w:space="0" w:color="000000" w:themeColor="text1"/>
              <w:right w:val="single" w:sz="4" w:space="0" w:color="000000" w:themeColor="text1"/>
            </w:tcBorders>
            <w:shd w:val="clear" w:color="auto" w:fill="C6EFCE"/>
            <w:noWrap/>
            <w:hideMark/>
          </w:tcPr>
          <w:p w14:paraId="21E971D8" w14:textId="63AF4A33" w:rsidR="00A17CA8" w:rsidRPr="0051384F" w:rsidRDefault="00C723AC"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271</w:t>
            </w:r>
          </w:p>
        </w:tc>
        <w:tc>
          <w:tcPr>
            <w:tcW w:w="1286" w:type="dxa"/>
            <w:tcBorders>
              <w:top w:val="nil"/>
              <w:left w:val="nil"/>
              <w:bottom w:val="single" w:sz="4" w:space="0" w:color="000000" w:themeColor="text1"/>
              <w:right w:val="single" w:sz="4" w:space="0" w:color="000000" w:themeColor="text1"/>
            </w:tcBorders>
            <w:shd w:val="clear" w:color="auto" w:fill="C6EFCE"/>
            <w:noWrap/>
            <w:hideMark/>
          </w:tcPr>
          <w:p w14:paraId="13C13B58" w14:textId="19025868" w:rsidR="00A17CA8" w:rsidRPr="0051384F" w:rsidRDefault="00772A3B"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К10.И6: Подкрепа на пилотна фаза за въвеждане на строително информационното моделиране</w:t>
            </w:r>
          </w:p>
        </w:tc>
        <w:tc>
          <w:tcPr>
            <w:tcW w:w="1085" w:type="dxa"/>
            <w:tcBorders>
              <w:top w:val="nil"/>
              <w:left w:val="nil"/>
              <w:bottom w:val="single" w:sz="4" w:space="0" w:color="000000" w:themeColor="text1"/>
              <w:right w:val="single" w:sz="4" w:space="0" w:color="000000" w:themeColor="text1"/>
            </w:tcBorders>
            <w:shd w:val="clear" w:color="auto" w:fill="C6EFCE"/>
            <w:noWrap/>
            <w:hideMark/>
          </w:tcPr>
          <w:p w14:paraId="770E6A92"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Цел</w:t>
            </w:r>
          </w:p>
        </w:tc>
        <w:tc>
          <w:tcPr>
            <w:tcW w:w="1734" w:type="dxa"/>
            <w:tcBorders>
              <w:top w:val="nil"/>
              <w:left w:val="nil"/>
              <w:bottom w:val="single" w:sz="4" w:space="0" w:color="000000" w:themeColor="text1"/>
              <w:right w:val="single" w:sz="4" w:space="0" w:color="000000" w:themeColor="text1"/>
            </w:tcBorders>
            <w:shd w:val="clear" w:color="auto" w:fill="C6EFCE"/>
            <w:noWrap/>
            <w:hideMark/>
          </w:tcPr>
          <w:p w14:paraId="7F1B4770" w14:textId="6D2E3194"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Осигуряване на напълно оборудвани работни станции за строително-информационно моделиране и обучение </w:t>
            </w:r>
          </w:p>
        </w:tc>
        <w:tc>
          <w:tcPr>
            <w:tcW w:w="1417" w:type="dxa"/>
            <w:tcBorders>
              <w:top w:val="nil"/>
              <w:left w:val="nil"/>
              <w:bottom w:val="single" w:sz="4" w:space="0" w:color="000000" w:themeColor="text1"/>
              <w:right w:val="single" w:sz="4" w:space="0" w:color="000000" w:themeColor="text1"/>
            </w:tcBorders>
            <w:shd w:val="clear" w:color="auto" w:fill="C6EFCE"/>
            <w:noWrap/>
            <w:hideMark/>
          </w:tcPr>
          <w:p w14:paraId="5490A32D"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993" w:type="dxa"/>
            <w:tcBorders>
              <w:top w:val="nil"/>
              <w:left w:val="nil"/>
              <w:bottom w:val="single" w:sz="4" w:space="0" w:color="000000" w:themeColor="text1"/>
              <w:right w:val="single" w:sz="4" w:space="0" w:color="000000" w:themeColor="text1"/>
            </w:tcBorders>
            <w:shd w:val="clear" w:color="auto" w:fill="C6EFCE"/>
            <w:noWrap/>
            <w:hideMark/>
          </w:tcPr>
          <w:p w14:paraId="4BD0C931"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Брой</w:t>
            </w:r>
          </w:p>
        </w:tc>
        <w:tc>
          <w:tcPr>
            <w:tcW w:w="1134" w:type="dxa"/>
            <w:tcBorders>
              <w:top w:val="nil"/>
              <w:left w:val="nil"/>
              <w:bottom w:val="single" w:sz="4" w:space="0" w:color="000000" w:themeColor="text1"/>
              <w:right w:val="single" w:sz="4" w:space="0" w:color="000000" w:themeColor="text1"/>
            </w:tcBorders>
            <w:shd w:val="clear" w:color="auto" w:fill="C6EFCE"/>
            <w:noWrap/>
            <w:hideMark/>
          </w:tcPr>
          <w:p w14:paraId="23C34075"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0</w:t>
            </w:r>
          </w:p>
        </w:tc>
        <w:tc>
          <w:tcPr>
            <w:tcW w:w="1134" w:type="dxa"/>
            <w:tcBorders>
              <w:top w:val="nil"/>
              <w:left w:val="nil"/>
              <w:bottom w:val="single" w:sz="4" w:space="0" w:color="000000" w:themeColor="text1"/>
              <w:right w:val="single" w:sz="4" w:space="0" w:color="000000" w:themeColor="text1"/>
            </w:tcBorders>
            <w:shd w:val="clear" w:color="auto" w:fill="C6EFCE"/>
            <w:noWrap/>
            <w:hideMark/>
          </w:tcPr>
          <w:p w14:paraId="148C9250"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300</w:t>
            </w:r>
          </w:p>
        </w:tc>
        <w:tc>
          <w:tcPr>
            <w:tcW w:w="850" w:type="dxa"/>
            <w:tcBorders>
              <w:top w:val="nil"/>
              <w:left w:val="nil"/>
              <w:bottom w:val="single" w:sz="4" w:space="0" w:color="000000" w:themeColor="text1"/>
              <w:right w:val="single" w:sz="4" w:space="0" w:color="000000" w:themeColor="text1"/>
            </w:tcBorders>
            <w:shd w:val="clear" w:color="auto" w:fill="C6EFCE"/>
            <w:noWrap/>
            <w:hideMark/>
          </w:tcPr>
          <w:p w14:paraId="6FD5B750"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T2</w:t>
            </w:r>
          </w:p>
        </w:tc>
        <w:tc>
          <w:tcPr>
            <w:tcW w:w="744" w:type="dxa"/>
            <w:tcBorders>
              <w:top w:val="nil"/>
              <w:left w:val="nil"/>
              <w:bottom w:val="single" w:sz="4" w:space="0" w:color="000000" w:themeColor="text1"/>
              <w:right w:val="single" w:sz="4" w:space="0" w:color="000000" w:themeColor="text1"/>
            </w:tcBorders>
            <w:shd w:val="clear" w:color="auto" w:fill="C6EFCE"/>
            <w:noWrap/>
            <w:hideMark/>
          </w:tcPr>
          <w:p w14:paraId="74E6775D"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2026</w:t>
            </w:r>
          </w:p>
        </w:tc>
        <w:tc>
          <w:tcPr>
            <w:tcW w:w="4359" w:type="dxa"/>
            <w:tcBorders>
              <w:top w:val="nil"/>
              <w:left w:val="nil"/>
              <w:bottom w:val="single" w:sz="4" w:space="0" w:color="000000" w:themeColor="text1"/>
              <w:right w:val="single" w:sz="4" w:space="0" w:color="000000" w:themeColor="text1"/>
            </w:tcBorders>
            <w:shd w:val="clear" w:color="auto" w:fill="C6EFCE"/>
            <w:noWrap/>
            <w:hideMark/>
          </w:tcPr>
          <w:p w14:paraId="29051786" w14:textId="078DE87A" w:rsidR="00A17CA8" w:rsidRPr="0051384F" w:rsidRDefault="00A17CA8" w:rsidP="00576E40">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След провеждане на конкурентна тръжна процедура за възлагане на обществена поръчка общо 300 работни станции ще бъдат снабдени с необходимия хардуер и софтуер за прилагането на СИМ в общинската, регионалната и държавната администрация. Ще се проведат специализирани обучения на експертите от държавната администрация, които се занимават със СИМ. Очаква се 300 експерти от 28 областни администрации, 28 големи общини и 3 министерства да бъдат обучени за работа със софтуера за преглед на СИМ по проекти и планове.</w:t>
            </w:r>
          </w:p>
        </w:tc>
      </w:tr>
      <w:tr w:rsidR="007F2B35" w:rsidRPr="005241FC" w14:paraId="1BFCCB9E" w14:textId="77777777" w:rsidTr="00A80AF7">
        <w:trPr>
          <w:trHeight w:val="323"/>
          <w:jc w:val="right"/>
        </w:trPr>
        <w:tc>
          <w:tcPr>
            <w:tcW w:w="710" w:type="dxa"/>
            <w:tcBorders>
              <w:top w:val="nil"/>
              <w:left w:val="single" w:sz="4" w:space="0" w:color="000000" w:themeColor="text1"/>
              <w:bottom w:val="single" w:sz="4" w:space="0" w:color="000000" w:themeColor="text1"/>
              <w:right w:val="single" w:sz="4" w:space="0" w:color="000000" w:themeColor="text1"/>
            </w:tcBorders>
            <w:shd w:val="clear" w:color="auto" w:fill="C6EFCE"/>
            <w:noWrap/>
            <w:hideMark/>
          </w:tcPr>
          <w:p w14:paraId="77687BE0" w14:textId="209D929C" w:rsidR="00A17CA8" w:rsidRPr="0051384F" w:rsidRDefault="00C723AC"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272</w:t>
            </w:r>
          </w:p>
        </w:tc>
        <w:tc>
          <w:tcPr>
            <w:tcW w:w="1286" w:type="dxa"/>
            <w:tcBorders>
              <w:top w:val="nil"/>
              <w:left w:val="nil"/>
              <w:bottom w:val="single" w:sz="4" w:space="0" w:color="000000" w:themeColor="text1"/>
              <w:right w:val="single" w:sz="4" w:space="0" w:color="000000" w:themeColor="text1"/>
            </w:tcBorders>
            <w:shd w:val="clear" w:color="auto" w:fill="C6EFCE"/>
            <w:noWrap/>
            <w:hideMark/>
          </w:tcPr>
          <w:p w14:paraId="7E6540A6" w14:textId="3EC2B134" w:rsidR="00A17CA8" w:rsidRPr="0051384F" w:rsidRDefault="00772A3B"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К10.И6: Подкрепа на пилотна фаза за въвеждане на строително информационното моделиране</w:t>
            </w:r>
          </w:p>
        </w:tc>
        <w:tc>
          <w:tcPr>
            <w:tcW w:w="1085" w:type="dxa"/>
            <w:tcBorders>
              <w:top w:val="nil"/>
              <w:left w:val="nil"/>
              <w:bottom w:val="single" w:sz="4" w:space="0" w:color="000000" w:themeColor="text1"/>
              <w:right w:val="single" w:sz="4" w:space="0" w:color="000000" w:themeColor="text1"/>
            </w:tcBorders>
            <w:shd w:val="clear" w:color="auto" w:fill="C6EFCE"/>
            <w:noWrap/>
            <w:hideMark/>
          </w:tcPr>
          <w:p w14:paraId="0D6E1F50"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734" w:type="dxa"/>
            <w:tcBorders>
              <w:top w:val="nil"/>
              <w:left w:val="nil"/>
              <w:bottom w:val="single" w:sz="4" w:space="0" w:color="000000" w:themeColor="text1"/>
              <w:right w:val="single" w:sz="4" w:space="0" w:color="000000" w:themeColor="text1"/>
            </w:tcBorders>
            <w:shd w:val="clear" w:color="auto" w:fill="C6EFCE"/>
            <w:noWrap/>
            <w:hideMark/>
          </w:tcPr>
          <w:p w14:paraId="54B3EF0B"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Създаване и експлоатация на интегриран модул за строително-информационно моделиране за Единната информационна система по устройство на територията, инвестиционно проектиране и разрешаване на строителството</w:t>
            </w:r>
          </w:p>
        </w:tc>
        <w:tc>
          <w:tcPr>
            <w:tcW w:w="1417" w:type="dxa"/>
            <w:tcBorders>
              <w:top w:val="nil"/>
              <w:left w:val="nil"/>
              <w:bottom w:val="single" w:sz="4" w:space="0" w:color="000000" w:themeColor="text1"/>
              <w:right w:val="single" w:sz="4" w:space="0" w:color="000000" w:themeColor="text1"/>
            </w:tcBorders>
            <w:shd w:val="clear" w:color="auto" w:fill="C6EFCE"/>
            <w:noWrap/>
            <w:hideMark/>
          </w:tcPr>
          <w:p w14:paraId="15E64E91" w14:textId="0DF9DD3B"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Функциониращ и интегриран СИМ модул за Единната информационна система по устройство на територията, инвестиционно проектиране и разрешаване на строителството, който позволява проектите да бъдат подавани към модели за СИМ в съответствие с националния модел за СИМ </w:t>
            </w:r>
          </w:p>
        </w:tc>
        <w:tc>
          <w:tcPr>
            <w:tcW w:w="993" w:type="dxa"/>
            <w:tcBorders>
              <w:top w:val="nil"/>
              <w:left w:val="nil"/>
              <w:bottom w:val="single" w:sz="4" w:space="0" w:color="000000" w:themeColor="text1"/>
              <w:right w:val="single" w:sz="4" w:space="0" w:color="000000" w:themeColor="text1"/>
            </w:tcBorders>
            <w:shd w:val="clear" w:color="auto" w:fill="C6EFCE"/>
            <w:noWrap/>
          </w:tcPr>
          <w:p w14:paraId="3F60D4C9"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1134" w:type="dxa"/>
            <w:tcBorders>
              <w:top w:val="nil"/>
              <w:left w:val="nil"/>
              <w:bottom w:val="single" w:sz="4" w:space="0" w:color="000000" w:themeColor="text1"/>
              <w:right w:val="single" w:sz="4" w:space="0" w:color="000000" w:themeColor="text1"/>
            </w:tcBorders>
            <w:shd w:val="clear" w:color="auto" w:fill="C6EFCE"/>
            <w:noWrap/>
          </w:tcPr>
          <w:p w14:paraId="00D00122"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1134" w:type="dxa"/>
            <w:tcBorders>
              <w:top w:val="nil"/>
              <w:left w:val="nil"/>
              <w:bottom w:val="single" w:sz="4" w:space="0" w:color="000000" w:themeColor="text1"/>
              <w:right w:val="single" w:sz="4" w:space="0" w:color="000000" w:themeColor="text1"/>
            </w:tcBorders>
            <w:shd w:val="clear" w:color="auto" w:fill="C6EFCE"/>
            <w:noWrap/>
          </w:tcPr>
          <w:p w14:paraId="46C82E39"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850" w:type="dxa"/>
            <w:tcBorders>
              <w:top w:val="nil"/>
              <w:left w:val="nil"/>
              <w:bottom w:val="single" w:sz="4" w:space="0" w:color="000000" w:themeColor="text1"/>
              <w:right w:val="single" w:sz="4" w:space="0" w:color="000000" w:themeColor="text1"/>
            </w:tcBorders>
            <w:shd w:val="clear" w:color="auto" w:fill="C6EFCE"/>
            <w:noWrap/>
            <w:hideMark/>
          </w:tcPr>
          <w:p w14:paraId="08A21562"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T2</w:t>
            </w:r>
          </w:p>
        </w:tc>
        <w:tc>
          <w:tcPr>
            <w:tcW w:w="744" w:type="dxa"/>
            <w:tcBorders>
              <w:top w:val="nil"/>
              <w:left w:val="nil"/>
              <w:bottom w:val="single" w:sz="4" w:space="0" w:color="000000" w:themeColor="text1"/>
              <w:right w:val="single" w:sz="4" w:space="0" w:color="000000" w:themeColor="text1"/>
            </w:tcBorders>
            <w:shd w:val="clear" w:color="auto" w:fill="C6EFCE"/>
            <w:noWrap/>
            <w:hideMark/>
          </w:tcPr>
          <w:p w14:paraId="4D1AF2EB"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2026</w:t>
            </w:r>
          </w:p>
        </w:tc>
        <w:tc>
          <w:tcPr>
            <w:tcW w:w="4359" w:type="dxa"/>
            <w:tcBorders>
              <w:top w:val="nil"/>
              <w:left w:val="nil"/>
              <w:bottom w:val="single" w:sz="4" w:space="0" w:color="000000" w:themeColor="text1"/>
              <w:right w:val="single" w:sz="4" w:space="0" w:color="000000" w:themeColor="text1"/>
            </w:tcBorders>
            <w:shd w:val="clear" w:color="auto" w:fill="C6EFCE"/>
            <w:noWrap/>
            <w:hideMark/>
          </w:tcPr>
          <w:p w14:paraId="1DE6028E" w14:textId="77777777" w:rsidR="00A17CA8" w:rsidRPr="0051384F" w:rsidRDefault="00A17CA8" w:rsidP="00576E40">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Изградена и функционираща ИТ инфраструктура и бази данни за обмен на данни между доставчици и възлагащи органи. </w:t>
            </w:r>
          </w:p>
        </w:tc>
      </w:tr>
      <w:tr w:rsidR="007F2B35" w:rsidRPr="005241FC" w14:paraId="75963B99" w14:textId="77777777" w:rsidTr="00A80AF7">
        <w:trPr>
          <w:trHeight w:val="300"/>
          <w:jc w:val="right"/>
        </w:trPr>
        <w:tc>
          <w:tcPr>
            <w:tcW w:w="710" w:type="dxa"/>
            <w:tcBorders>
              <w:top w:val="nil"/>
              <w:left w:val="single" w:sz="4" w:space="0" w:color="000000" w:themeColor="text1"/>
              <w:bottom w:val="single" w:sz="4" w:space="0" w:color="000000" w:themeColor="text1"/>
              <w:right w:val="single" w:sz="4" w:space="0" w:color="000000" w:themeColor="text1"/>
            </w:tcBorders>
            <w:shd w:val="clear" w:color="auto" w:fill="C6EFCE"/>
            <w:noWrap/>
            <w:hideMark/>
          </w:tcPr>
          <w:p w14:paraId="4C1C318F" w14:textId="657645D6" w:rsidR="00A17CA8" w:rsidRPr="0051384F" w:rsidRDefault="00401D06"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273</w:t>
            </w:r>
          </w:p>
        </w:tc>
        <w:tc>
          <w:tcPr>
            <w:tcW w:w="1286" w:type="dxa"/>
            <w:tcBorders>
              <w:top w:val="nil"/>
              <w:left w:val="nil"/>
              <w:bottom w:val="single" w:sz="4" w:space="0" w:color="000000" w:themeColor="text1"/>
              <w:right w:val="single" w:sz="4" w:space="0" w:color="000000" w:themeColor="text1"/>
            </w:tcBorders>
            <w:shd w:val="clear" w:color="auto" w:fill="C6EFCE"/>
            <w:noWrap/>
            <w:hideMark/>
          </w:tcPr>
          <w:p w14:paraId="70A60786" w14:textId="5483F2DE" w:rsidR="00A17CA8" w:rsidRPr="0051384F" w:rsidRDefault="00772A3B"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К10.И7: Единна информационна система по устройство на територията, инвестиционно проектиране и разрешаване на строителството</w:t>
            </w:r>
          </w:p>
        </w:tc>
        <w:tc>
          <w:tcPr>
            <w:tcW w:w="1085" w:type="dxa"/>
            <w:tcBorders>
              <w:top w:val="nil"/>
              <w:left w:val="nil"/>
              <w:bottom w:val="single" w:sz="4" w:space="0" w:color="000000" w:themeColor="text1"/>
              <w:right w:val="single" w:sz="4" w:space="0" w:color="000000" w:themeColor="text1"/>
            </w:tcBorders>
            <w:shd w:val="clear" w:color="auto" w:fill="C6EFCE"/>
            <w:noWrap/>
            <w:hideMark/>
          </w:tcPr>
          <w:p w14:paraId="2C7B91F2"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734" w:type="dxa"/>
            <w:tcBorders>
              <w:top w:val="nil"/>
              <w:left w:val="nil"/>
              <w:bottom w:val="single" w:sz="4" w:space="0" w:color="000000" w:themeColor="text1"/>
              <w:right w:val="single" w:sz="4" w:space="0" w:color="000000" w:themeColor="text1"/>
            </w:tcBorders>
            <w:shd w:val="clear" w:color="auto" w:fill="C6EFCE"/>
            <w:noWrap/>
            <w:hideMark/>
          </w:tcPr>
          <w:p w14:paraId="1B9ACAE8"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Въвеждане в експлоатация на единна информационна система по устройство на територията, инвестиционно проектиране и разрешаване на строителството</w:t>
            </w:r>
          </w:p>
        </w:tc>
        <w:tc>
          <w:tcPr>
            <w:tcW w:w="1417" w:type="dxa"/>
            <w:tcBorders>
              <w:top w:val="nil"/>
              <w:left w:val="nil"/>
              <w:bottom w:val="single" w:sz="4" w:space="0" w:color="000000" w:themeColor="text1"/>
              <w:right w:val="single" w:sz="4" w:space="0" w:color="000000" w:themeColor="text1"/>
            </w:tcBorders>
            <w:shd w:val="clear" w:color="auto" w:fill="C6EFCE"/>
            <w:noWrap/>
            <w:hideMark/>
          </w:tcPr>
          <w:p w14:paraId="1C66DF87" w14:textId="45A8E3B8"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Напълно функционираща единна информационна система по устройство на територията, инвестиционно проектиране и разрешаване на строителството </w:t>
            </w:r>
          </w:p>
        </w:tc>
        <w:tc>
          <w:tcPr>
            <w:tcW w:w="993" w:type="dxa"/>
            <w:tcBorders>
              <w:top w:val="nil"/>
              <w:left w:val="nil"/>
              <w:bottom w:val="single" w:sz="4" w:space="0" w:color="000000" w:themeColor="text1"/>
              <w:right w:val="single" w:sz="4" w:space="0" w:color="000000" w:themeColor="text1"/>
            </w:tcBorders>
            <w:shd w:val="clear" w:color="auto" w:fill="C6EFCE"/>
            <w:noWrap/>
            <w:hideMark/>
          </w:tcPr>
          <w:p w14:paraId="319A0F31"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1134" w:type="dxa"/>
            <w:tcBorders>
              <w:top w:val="nil"/>
              <w:left w:val="nil"/>
              <w:bottom w:val="single" w:sz="4" w:space="0" w:color="000000" w:themeColor="text1"/>
              <w:right w:val="single" w:sz="4" w:space="0" w:color="000000" w:themeColor="text1"/>
            </w:tcBorders>
            <w:shd w:val="clear" w:color="auto" w:fill="C6EFCE"/>
            <w:noWrap/>
            <w:hideMark/>
          </w:tcPr>
          <w:p w14:paraId="7E4599C6"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1134" w:type="dxa"/>
            <w:tcBorders>
              <w:top w:val="nil"/>
              <w:left w:val="nil"/>
              <w:bottom w:val="single" w:sz="4" w:space="0" w:color="000000" w:themeColor="text1"/>
              <w:right w:val="single" w:sz="4" w:space="0" w:color="000000" w:themeColor="text1"/>
            </w:tcBorders>
            <w:shd w:val="clear" w:color="auto" w:fill="C6EFCE"/>
            <w:noWrap/>
            <w:hideMark/>
          </w:tcPr>
          <w:p w14:paraId="4F292C00"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850" w:type="dxa"/>
            <w:tcBorders>
              <w:top w:val="nil"/>
              <w:left w:val="nil"/>
              <w:bottom w:val="single" w:sz="4" w:space="0" w:color="000000" w:themeColor="text1"/>
              <w:right w:val="single" w:sz="4" w:space="0" w:color="000000" w:themeColor="text1"/>
            </w:tcBorders>
            <w:shd w:val="clear" w:color="auto" w:fill="C6EFCE"/>
            <w:noWrap/>
            <w:hideMark/>
          </w:tcPr>
          <w:p w14:paraId="7989EB91"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T2</w:t>
            </w:r>
          </w:p>
        </w:tc>
        <w:tc>
          <w:tcPr>
            <w:tcW w:w="744" w:type="dxa"/>
            <w:tcBorders>
              <w:top w:val="nil"/>
              <w:left w:val="nil"/>
              <w:bottom w:val="single" w:sz="4" w:space="0" w:color="000000" w:themeColor="text1"/>
              <w:right w:val="single" w:sz="4" w:space="0" w:color="000000" w:themeColor="text1"/>
            </w:tcBorders>
            <w:shd w:val="clear" w:color="auto" w:fill="C6EFCE"/>
            <w:noWrap/>
            <w:hideMark/>
          </w:tcPr>
          <w:p w14:paraId="3B1F0546"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2026</w:t>
            </w:r>
          </w:p>
        </w:tc>
        <w:tc>
          <w:tcPr>
            <w:tcW w:w="4359" w:type="dxa"/>
            <w:tcBorders>
              <w:top w:val="nil"/>
              <w:left w:val="nil"/>
              <w:bottom w:val="single" w:sz="4" w:space="0" w:color="000000" w:themeColor="text1"/>
              <w:right w:val="single" w:sz="4" w:space="0" w:color="000000" w:themeColor="text1"/>
            </w:tcBorders>
            <w:shd w:val="clear" w:color="auto" w:fill="C6EFCE"/>
            <w:noWrap/>
            <w:hideMark/>
          </w:tcPr>
          <w:p w14:paraId="301A21FA"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Въвежда се в експлоатация единна информационна система като платформа за предоставяне на електронни административни услуги по устройство на територията и разрешаване на строителството. </w:t>
            </w:r>
          </w:p>
        </w:tc>
      </w:tr>
      <w:tr w:rsidR="007F2B35" w:rsidRPr="005241FC" w14:paraId="6642584F" w14:textId="77777777" w:rsidTr="00A80AF7">
        <w:trPr>
          <w:trHeight w:val="300"/>
          <w:jc w:val="right"/>
        </w:trPr>
        <w:tc>
          <w:tcPr>
            <w:tcW w:w="710" w:type="dxa"/>
            <w:tcBorders>
              <w:top w:val="nil"/>
              <w:left w:val="single" w:sz="4" w:space="0" w:color="000000" w:themeColor="text1"/>
              <w:bottom w:val="single" w:sz="4" w:space="0" w:color="000000" w:themeColor="text1"/>
              <w:right w:val="single" w:sz="4" w:space="0" w:color="000000" w:themeColor="text1"/>
            </w:tcBorders>
            <w:shd w:val="clear" w:color="auto" w:fill="C6EFCE"/>
            <w:noWrap/>
          </w:tcPr>
          <w:p w14:paraId="1F795D3C" w14:textId="2CD058D7" w:rsidR="00A17CA8" w:rsidRPr="0051384F" w:rsidRDefault="00C723AC"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274</w:t>
            </w:r>
          </w:p>
        </w:tc>
        <w:tc>
          <w:tcPr>
            <w:tcW w:w="1286" w:type="dxa"/>
            <w:tcBorders>
              <w:top w:val="nil"/>
              <w:left w:val="nil"/>
              <w:bottom w:val="single" w:sz="4" w:space="0" w:color="auto"/>
              <w:right w:val="single" w:sz="4" w:space="0" w:color="auto"/>
            </w:tcBorders>
            <w:shd w:val="clear" w:color="auto" w:fill="C6EFCE"/>
            <w:noWrap/>
          </w:tcPr>
          <w:p w14:paraId="0DFA9BFE" w14:textId="075A35EA" w:rsidR="00A17CA8" w:rsidRPr="0051384F" w:rsidRDefault="00772A3B"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К10.И8: Пространствен мониторинг, контрол и управление чрез модернизиране на Центъра за аерокосмическо наблюдение (ЦАН)</w:t>
            </w:r>
          </w:p>
        </w:tc>
        <w:tc>
          <w:tcPr>
            <w:tcW w:w="1085" w:type="dxa"/>
            <w:tcBorders>
              <w:top w:val="nil"/>
              <w:left w:val="nil"/>
              <w:bottom w:val="single" w:sz="4" w:space="0" w:color="auto"/>
              <w:right w:val="single" w:sz="4" w:space="0" w:color="auto"/>
            </w:tcBorders>
            <w:shd w:val="clear" w:color="auto" w:fill="C6EFCE"/>
            <w:noWrap/>
          </w:tcPr>
          <w:p w14:paraId="623F26E7"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734" w:type="dxa"/>
            <w:tcBorders>
              <w:top w:val="nil"/>
              <w:left w:val="nil"/>
              <w:bottom w:val="single" w:sz="4" w:space="0" w:color="auto"/>
              <w:right w:val="single" w:sz="4" w:space="0" w:color="auto"/>
            </w:tcBorders>
            <w:shd w:val="clear" w:color="auto" w:fill="C6EFCE"/>
            <w:noWrap/>
          </w:tcPr>
          <w:p w14:paraId="2BC45EA2" w14:textId="2BF24DB4" w:rsidR="00A17CA8" w:rsidRPr="0051384F" w:rsidRDefault="00236F9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Изграждане и разширяване на капацитета на центровете за данни към Министерството на вътрешните работи </w:t>
            </w:r>
          </w:p>
        </w:tc>
        <w:tc>
          <w:tcPr>
            <w:tcW w:w="1417" w:type="dxa"/>
            <w:tcBorders>
              <w:top w:val="nil"/>
              <w:left w:val="nil"/>
              <w:bottom w:val="single" w:sz="4" w:space="0" w:color="auto"/>
              <w:right w:val="single" w:sz="4" w:space="0" w:color="auto"/>
            </w:tcBorders>
            <w:shd w:val="clear" w:color="auto" w:fill="C6EFCE"/>
            <w:noWrap/>
          </w:tcPr>
          <w:p w14:paraId="276F4A37" w14:textId="3616E637" w:rsidR="00A17CA8" w:rsidRPr="0051384F" w:rsidRDefault="00236F9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Разширяване на капацитета на центровете за данни към Министерството на вътрешните работи.</w:t>
            </w:r>
          </w:p>
        </w:tc>
        <w:tc>
          <w:tcPr>
            <w:tcW w:w="993" w:type="dxa"/>
            <w:tcBorders>
              <w:top w:val="nil"/>
              <w:left w:val="nil"/>
              <w:bottom w:val="single" w:sz="4" w:space="0" w:color="auto"/>
              <w:right w:val="single" w:sz="4" w:space="0" w:color="auto"/>
            </w:tcBorders>
            <w:shd w:val="clear" w:color="auto" w:fill="C6EFCE"/>
            <w:noWrap/>
          </w:tcPr>
          <w:p w14:paraId="737EDFE4"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1134" w:type="dxa"/>
            <w:tcBorders>
              <w:top w:val="nil"/>
              <w:left w:val="nil"/>
              <w:bottom w:val="single" w:sz="4" w:space="0" w:color="auto"/>
              <w:right w:val="single" w:sz="4" w:space="0" w:color="auto"/>
            </w:tcBorders>
            <w:shd w:val="clear" w:color="auto" w:fill="C6EFCE"/>
            <w:noWrap/>
          </w:tcPr>
          <w:p w14:paraId="65602BB5"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1134" w:type="dxa"/>
            <w:tcBorders>
              <w:top w:val="nil"/>
              <w:left w:val="nil"/>
              <w:bottom w:val="single" w:sz="4" w:space="0" w:color="auto"/>
              <w:right w:val="single" w:sz="4" w:space="0" w:color="auto"/>
            </w:tcBorders>
            <w:shd w:val="clear" w:color="auto" w:fill="C6EFCE"/>
            <w:noWrap/>
          </w:tcPr>
          <w:p w14:paraId="35799E97"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850" w:type="dxa"/>
            <w:tcBorders>
              <w:top w:val="nil"/>
              <w:left w:val="nil"/>
              <w:bottom w:val="single" w:sz="4" w:space="0" w:color="auto"/>
              <w:right w:val="single" w:sz="4" w:space="0" w:color="auto"/>
            </w:tcBorders>
            <w:shd w:val="clear" w:color="auto" w:fill="C6EFCE"/>
            <w:noWrap/>
          </w:tcPr>
          <w:p w14:paraId="15C5C68C" w14:textId="278A9231"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T2</w:t>
            </w:r>
          </w:p>
        </w:tc>
        <w:tc>
          <w:tcPr>
            <w:tcW w:w="744" w:type="dxa"/>
            <w:tcBorders>
              <w:top w:val="nil"/>
              <w:left w:val="nil"/>
              <w:bottom w:val="single" w:sz="4" w:space="0" w:color="auto"/>
              <w:right w:val="single" w:sz="4" w:space="0" w:color="auto"/>
            </w:tcBorders>
            <w:shd w:val="clear" w:color="auto" w:fill="C6EFCE"/>
            <w:noWrap/>
          </w:tcPr>
          <w:p w14:paraId="5F5EAB78" w14:textId="0A171CD9"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2024</w:t>
            </w:r>
          </w:p>
        </w:tc>
        <w:tc>
          <w:tcPr>
            <w:tcW w:w="4359" w:type="dxa"/>
            <w:tcBorders>
              <w:top w:val="nil"/>
              <w:left w:val="nil"/>
              <w:bottom w:val="single" w:sz="4" w:space="0" w:color="auto"/>
              <w:right w:val="single" w:sz="4" w:space="0" w:color="auto"/>
            </w:tcBorders>
            <w:shd w:val="clear" w:color="auto" w:fill="C6EFCE"/>
            <w:noWrap/>
          </w:tcPr>
          <w:p w14:paraId="4DE506CA" w14:textId="61A89C76" w:rsidR="00A17CA8" w:rsidRPr="00C2347D" w:rsidRDefault="00236F98" w:rsidP="00576E40">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Създаване на нов Център за данни от ниво 4 на територията на голям обект на Министерството на вътрешните работи в София и повишаване на капацитета на вторичния обект в близост до София, в който ще се помещава инфраструктурата и оборудването на информационните и комуникационните технологии за нуждите на Министерството на вътрешните работи и други правителствени агенции, за да се повиши сигурността на системите, използвани за правителствени цели, включително електронното управление.</w:t>
            </w:r>
          </w:p>
        </w:tc>
      </w:tr>
      <w:tr w:rsidR="007F2B35" w:rsidRPr="005241FC" w14:paraId="2BE8811F" w14:textId="77777777" w:rsidTr="00A80AF7">
        <w:trPr>
          <w:trHeight w:val="300"/>
          <w:jc w:val="right"/>
        </w:trPr>
        <w:tc>
          <w:tcPr>
            <w:tcW w:w="710" w:type="dxa"/>
            <w:tcBorders>
              <w:top w:val="nil"/>
              <w:left w:val="single" w:sz="4" w:space="0" w:color="000000" w:themeColor="text1"/>
              <w:bottom w:val="single" w:sz="4" w:space="0" w:color="000000" w:themeColor="text1"/>
              <w:right w:val="single" w:sz="4" w:space="0" w:color="000000" w:themeColor="text1"/>
            </w:tcBorders>
            <w:shd w:val="clear" w:color="auto" w:fill="C6EFCE"/>
            <w:noWrap/>
          </w:tcPr>
          <w:p w14:paraId="1A42C23E" w14:textId="1B5BED46" w:rsidR="00A17CA8" w:rsidRPr="0051384F" w:rsidRDefault="00C723AC"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275</w:t>
            </w:r>
          </w:p>
        </w:tc>
        <w:tc>
          <w:tcPr>
            <w:tcW w:w="1286" w:type="dxa"/>
            <w:tcBorders>
              <w:top w:val="nil"/>
              <w:left w:val="nil"/>
              <w:bottom w:val="single" w:sz="4" w:space="0" w:color="auto"/>
              <w:right w:val="single" w:sz="4" w:space="0" w:color="auto"/>
            </w:tcBorders>
            <w:shd w:val="clear" w:color="auto" w:fill="C6EFCE"/>
            <w:noWrap/>
          </w:tcPr>
          <w:p w14:paraId="0E227B73" w14:textId="0C18A107" w:rsidR="00A17CA8" w:rsidRPr="0051384F" w:rsidRDefault="00772A3B"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К10.И8: Пространствен мониторинг, контрол и управление чрез модернизиране на Центъра за аерокосмическо наблюдение (ЦАН)</w:t>
            </w:r>
          </w:p>
        </w:tc>
        <w:tc>
          <w:tcPr>
            <w:tcW w:w="1085" w:type="dxa"/>
            <w:tcBorders>
              <w:top w:val="nil"/>
              <w:left w:val="nil"/>
              <w:bottom w:val="single" w:sz="4" w:space="0" w:color="auto"/>
              <w:right w:val="single" w:sz="4" w:space="0" w:color="auto"/>
            </w:tcBorders>
            <w:shd w:val="clear" w:color="auto" w:fill="C6EFCE"/>
            <w:noWrap/>
          </w:tcPr>
          <w:p w14:paraId="5BE6A3B9"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734" w:type="dxa"/>
            <w:tcBorders>
              <w:top w:val="nil"/>
              <w:left w:val="nil"/>
              <w:bottom w:val="single" w:sz="4" w:space="0" w:color="auto"/>
              <w:right w:val="single" w:sz="4" w:space="0" w:color="auto"/>
            </w:tcBorders>
            <w:shd w:val="clear" w:color="auto" w:fill="C6EFCE"/>
            <w:noWrap/>
          </w:tcPr>
          <w:p w14:paraId="3A23CBD8" w14:textId="1A709BC8" w:rsidR="00A17CA8" w:rsidRPr="0051384F" w:rsidRDefault="00101324"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Модернизиране на Центъра за мониторинг на авиокосмосмически данни към Министерството на вътрешните работи </w:t>
            </w:r>
          </w:p>
        </w:tc>
        <w:tc>
          <w:tcPr>
            <w:tcW w:w="1417" w:type="dxa"/>
            <w:tcBorders>
              <w:top w:val="nil"/>
              <w:left w:val="nil"/>
              <w:bottom w:val="single" w:sz="4" w:space="0" w:color="auto"/>
              <w:right w:val="single" w:sz="4" w:space="0" w:color="auto"/>
            </w:tcBorders>
            <w:shd w:val="clear" w:color="auto" w:fill="C6EFCE"/>
            <w:noWrap/>
          </w:tcPr>
          <w:p w14:paraId="0A4FFCEE" w14:textId="240A8C5D" w:rsidR="00A17CA8" w:rsidRPr="0051384F" w:rsidRDefault="00101324"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Въвеждане в експлоатация на модернизирания Център за аерокосмическо наблюдение към Министерството на вътрешните работи</w:t>
            </w:r>
          </w:p>
        </w:tc>
        <w:tc>
          <w:tcPr>
            <w:tcW w:w="993" w:type="dxa"/>
            <w:tcBorders>
              <w:top w:val="nil"/>
              <w:left w:val="nil"/>
              <w:bottom w:val="single" w:sz="4" w:space="0" w:color="auto"/>
              <w:right w:val="single" w:sz="4" w:space="0" w:color="auto"/>
            </w:tcBorders>
            <w:shd w:val="clear" w:color="auto" w:fill="C6EFCE"/>
            <w:noWrap/>
          </w:tcPr>
          <w:p w14:paraId="39A6F9AC"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1134" w:type="dxa"/>
            <w:tcBorders>
              <w:top w:val="nil"/>
              <w:left w:val="nil"/>
              <w:bottom w:val="single" w:sz="4" w:space="0" w:color="auto"/>
              <w:right w:val="single" w:sz="4" w:space="0" w:color="auto"/>
            </w:tcBorders>
            <w:shd w:val="clear" w:color="auto" w:fill="C6EFCE"/>
            <w:noWrap/>
          </w:tcPr>
          <w:p w14:paraId="55C512B3"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1134" w:type="dxa"/>
            <w:tcBorders>
              <w:top w:val="nil"/>
              <w:left w:val="nil"/>
              <w:bottom w:val="single" w:sz="4" w:space="0" w:color="auto"/>
              <w:right w:val="single" w:sz="4" w:space="0" w:color="auto"/>
            </w:tcBorders>
            <w:shd w:val="clear" w:color="auto" w:fill="C6EFCE"/>
            <w:noWrap/>
          </w:tcPr>
          <w:p w14:paraId="046B475B"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850" w:type="dxa"/>
            <w:tcBorders>
              <w:top w:val="nil"/>
              <w:left w:val="nil"/>
              <w:bottom w:val="single" w:sz="4" w:space="0" w:color="auto"/>
              <w:right w:val="single" w:sz="4" w:space="0" w:color="auto"/>
            </w:tcBorders>
            <w:shd w:val="clear" w:color="auto" w:fill="C6EFCE"/>
            <w:noWrap/>
          </w:tcPr>
          <w:p w14:paraId="229D17DF" w14:textId="43B78794"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T2</w:t>
            </w:r>
          </w:p>
        </w:tc>
        <w:tc>
          <w:tcPr>
            <w:tcW w:w="744" w:type="dxa"/>
            <w:tcBorders>
              <w:top w:val="nil"/>
              <w:left w:val="nil"/>
              <w:bottom w:val="single" w:sz="4" w:space="0" w:color="auto"/>
              <w:right w:val="single" w:sz="4" w:space="0" w:color="auto"/>
            </w:tcBorders>
            <w:shd w:val="clear" w:color="auto" w:fill="C6EFCE"/>
            <w:noWrap/>
          </w:tcPr>
          <w:p w14:paraId="7FA9871F" w14:textId="72D910A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2024</w:t>
            </w:r>
          </w:p>
        </w:tc>
        <w:tc>
          <w:tcPr>
            <w:tcW w:w="4359" w:type="dxa"/>
            <w:tcBorders>
              <w:top w:val="nil"/>
              <w:left w:val="nil"/>
              <w:bottom w:val="single" w:sz="4" w:space="0" w:color="auto"/>
              <w:right w:val="single" w:sz="4" w:space="0" w:color="auto"/>
            </w:tcBorders>
            <w:shd w:val="clear" w:color="auto" w:fill="C6EFCE"/>
            <w:noWrap/>
          </w:tcPr>
          <w:p w14:paraId="25B1AA8C" w14:textId="2A6B68F5" w:rsidR="00A17CA8" w:rsidRPr="00C2347D" w:rsidRDefault="00101324" w:rsidP="00576E40">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Центърът за аерокосмическо наблюдение към Министерството на вътрешните работи се развива като национален център с мрежа за наблюдение, анализ, прогнозиране и последващо предоставяне на първична информация, получена от сензори, намиращи се в космоса, въздушното пространство и земната повърхност, както и за подпомагане на управленските решения в случай на извънредни ситуации. Хардуерът на Центъра за авиокосмическо наблюдение се модернизира с оглед получаване на данни от повече спътници и сензори, както и от безпилотни летателни системи, а софтуерът за обработка на получените данни се въвежда в експлоатация.</w:t>
            </w:r>
          </w:p>
        </w:tc>
      </w:tr>
      <w:tr w:rsidR="007F2B35" w:rsidRPr="005241FC" w14:paraId="469192B2" w14:textId="77777777" w:rsidTr="00A80AF7">
        <w:trPr>
          <w:trHeight w:val="300"/>
          <w:jc w:val="right"/>
        </w:trPr>
        <w:tc>
          <w:tcPr>
            <w:tcW w:w="710" w:type="dxa"/>
            <w:tcBorders>
              <w:top w:val="nil"/>
              <w:left w:val="single" w:sz="4" w:space="0" w:color="000000" w:themeColor="text1"/>
              <w:bottom w:val="single" w:sz="4" w:space="0" w:color="000000" w:themeColor="text1"/>
              <w:right w:val="single" w:sz="4" w:space="0" w:color="000000" w:themeColor="text1"/>
            </w:tcBorders>
            <w:shd w:val="clear" w:color="auto" w:fill="C6EFCE"/>
            <w:noWrap/>
            <w:hideMark/>
          </w:tcPr>
          <w:p w14:paraId="11AE47F3" w14:textId="12A8BA9B" w:rsidR="00A17CA8" w:rsidRPr="0051384F" w:rsidRDefault="00C723AC"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276</w:t>
            </w:r>
          </w:p>
        </w:tc>
        <w:tc>
          <w:tcPr>
            <w:tcW w:w="1286" w:type="dxa"/>
            <w:tcBorders>
              <w:top w:val="nil"/>
              <w:left w:val="nil"/>
              <w:bottom w:val="single" w:sz="4" w:space="0" w:color="000000" w:themeColor="text1"/>
              <w:right w:val="single" w:sz="4" w:space="0" w:color="000000" w:themeColor="text1"/>
            </w:tcBorders>
            <w:shd w:val="clear" w:color="auto" w:fill="C6EFCE"/>
            <w:noWrap/>
            <w:hideMark/>
          </w:tcPr>
          <w:p w14:paraId="660AE5E7" w14:textId="18E6F887" w:rsidR="00A17CA8" w:rsidRPr="0051384F" w:rsidRDefault="00772A3B"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К10.И9: Дигитализиране на информационни масиви в администрацията, съдържащи регистрови данни</w:t>
            </w:r>
          </w:p>
        </w:tc>
        <w:tc>
          <w:tcPr>
            <w:tcW w:w="1085" w:type="dxa"/>
            <w:tcBorders>
              <w:top w:val="nil"/>
              <w:left w:val="nil"/>
              <w:bottom w:val="single" w:sz="4" w:space="0" w:color="000000" w:themeColor="text1"/>
              <w:right w:val="single" w:sz="4" w:space="0" w:color="000000" w:themeColor="text1"/>
            </w:tcBorders>
            <w:shd w:val="clear" w:color="auto" w:fill="C6EFCE"/>
            <w:noWrap/>
            <w:hideMark/>
          </w:tcPr>
          <w:p w14:paraId="4B22CAB3"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Цел</w:t>
            </w:r>
          </w:p>
        </w:tc>
        <w:tc>
          <w:tcPr>
            <w:tcW w:w="1734" w:type="dxa"/>
            <w:tcBorders>
              <w:top w:val="nil"/>
              <w:left w:val="nil"/>
              <w:bottom w:val="single" w:sz="4" w:space="0" w:color="000000" w:themeColor="text1"/>
              <w:right w:val="single" w:sz="4" w:space="0" w:color="000000" w:themeColor="text1"/>
            </w:tcBorders>
            <w:shd w:val="clear" w:color="auto" w:fill="C6EFCE"/>
            <w:noWrap/>
            <w:hideMark/>
          </w:tcPr>
          <w:p w14:paraId="10C71191" w14:textId="27725F9D" w:rsidR="00A17CA8" w:rsidRPr="004C17A6"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Цифровизиране на данните от регистрите и регистрите за гражданско състояние</w:t>
            </w:r>
          </w:p>
        </w:tc>
        <w:tc>
          <w:tcPr>
            <w:tcW w:w="1417" w:type="dxa"/>
            <w:tcBorders>
              <w:top w:val="nil"/>
              <w:left w:val="nil"/>
              <w:bottom w:val="single" w:sz="4" w:space="0" w:color="000000" w:themeColor="text1"/>
              <w:right w:val="single" w:sz="4" w:space="0" w:color="000000" w:themeColor="text1"/>
            </w:tcBorders>
            <w:shd w:val="clear" w:color="auto" w:fill="C6EFCE"/>
            <w:noWrap/>
            <w:hideMark/>
          </w:tcPr>
          <w:p w14:paraId="3FF9A7AA" w14:textId="1792F117" w:rsidR="00A17CA8" w:rsidRPr="008A0F8A" w:rsidRDefault="00A17CA8" w:rsidP="00DD3817">
            <w:pPr>
              <w:spacing w:after="0" w:line="240" w:lineRule="auto"/>
              <w:rPr>
                <w:rFonts w:ascii="Times New Roman" w:eastAsia="Times New Roman" w:hAnsi="Times New Roman" w:cs="Times New Roman"/>
                <w:noProof/>
                <w:color w:val="006100"/>
                <w:sz w:val="20"/>
                <w:szCs w:val="20"/>
                <w:lang w:val="ru-RU" w:eastAsia="en-GB"/>
              </w:rPr>
            </w:pPr>
          </w:p>
        </w:tc>
        <w:tc>
          <w:tcPr>
            <w:tcW w:w="993" w:type="dxa"/>
            <w:tcBorders>
              <w:top w:val="nil"/>
              <w:left w:val="nil"/>
              <w:bottom w:val="single" w:sz="4" w:space="0" w:color="000000" w:themeColor="text1"/>
              <w:right w:val="single" w:sz="4" w:space="0" w:color="000000" w:themeColor="text1"/>
            </w:tcBorders>
            <w:shd w:val="clear" w:color="auto" w:fill="C6EFCE"/>
            <w:noWrap/>
          </w:tcPr>
          <w:p w14:paraId="67A2033E" w14:textId="340BECCF" w:rsidR="00A17CA8" w:rsidRPr="00A32481" w:rsidRDefault="00A17CA8" w:rsidP="003B665C">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Брой цифровизирани страници</w:t>
            </w:r>
          </w:p>
        </w:tc>
        <w:tc>
          <w:tcPr>
            <w:tcW w:w="1134" w:type="dxa"/>
            <w:tcBorders>
              <w:top w:val="nil"/>
              <w:left w:val="nil"/>
              <w:bottom w:val="single" w:sz="4" w:space="0" w:color="000000" w:themeColor="text1"/>
              <w:right w:val="single" w:sz="4" w:space="0" w:color="000000" w:themeColor="text1"/>
            </w:tcBorders>
            <w:shd w:val="clear" w:color="auto" w:fill="C6EFCE"/>
            <w:noWrap/>
          </w:tcPr>
          <w:p w14:paraId="4D633D3C" w14:textId="77777777" w:rsidR="00A17CA8" w:rsidRPr="00A45B22"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0</w:t>
            </w:r>
          </w:p>
        </w:tc>
        <w:tc>
          <w:tcPr>
            <w:tcW w:w="1134" w:type="dxa"/>
            <w:tcBorders>
              <w:top w:val="nil"/>
              <w:left w:val="nil"/>
              <w:bottom w:val="single" w:sz="4" w:space="0" w:color="000000" w:themeColor="text1"/>
              <w:right w:val="single" w:sz="4" w:space="0" w:color="000000" w:themeColor="text1"/>
            </w:tcBorders>
            <w:shd w:val="clear" w:color="auto" w:fill="C6EFCE"/>
            <w:noWrap/>
          </w:tcPr>
          <w:p w14:paraId="73310D39" w14:textId="6059385B" w:rsidR="00A17CA8" w:rsidRPr="00A45B22" w:rsidRDefault="006C0E53" w:rsidP="00576E40">
            <w:pPr>
              <w:spacing w:after="0" w:line="240" w:lineRule="auto"/>
              <w:rPr>
                <w:rFonts w:ascii="Times New Roman" w:eastAsia="Times New Roman" w:hAnsi="Times New Roman" w:cs="Times New Roman"/>
                <w:noProof/>
                <w:color w:val="006100"/>
                <w:sz w:val="20"/>
                <w:szCs w:val="20"/>
              </w:rPr>
            </w:pPr>
            <w:r>
              <w:rPr>
                <w:rStyle w:val="cf01"/>
                <w:rFonts w:ascii="Times New Roman" w:hAnsi="Times New Roman"/>
                <w:noProof/>
                <w:color w:val="006100"/>
                <w:sz w:val="20"/>
              </w:rPr>
              <w:t xml:space="preserve">19 560 </w:t>
            </w:r>
            <w:r>
              <w:rPr>
                <w:rFonts w:ascii="Times New Roman" w:hAnsi="Times New Roman"/>
                <w:noProof/>
                <w:color w:val="006100"/>
                <w:sz w:val="20"/>
              </w:rPr>
              <w:t>000</w:t>
            </w:r>
          </w:p>
        </w:tc>
        <w:tc>
          <w:tcPr>
            <w:tcW w:w="850" w:type="dxa"/>
            <w:tcBorders>
              <w:top w:val="nil"/>
              <w:left w:val="nil"/>
              <w:bottom w:val="single" w:sz="4" w:space="0" w:color="000000" w:themeColor="text1"/>
              <w:right w:val="single" w:sz="4" w:space="0" w:color="000000" w:themeColor="text1"/>
            </w:tcBorders>
            <w:shd w:val="clear" w:color="auto" w:fill="C6EFCE"/>
            <w:noWrap/>
            <w:hideMark/>
          </w:tcPr>
          <w:p w14:paraId="3BD52929" w14:textId="0F4A2316" w:rsidR="00A17CA8" w:rsidRPr="004C17A6"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T1</w:t>
            </w:r>
          </w:p>
        </w:tc>
        <w:tc>
          <w:tcPr>
            <w:tcW w:w="744" w:type="dxa"/>
            <w:tcBorders>
              <w:top w:val="nil"/>
              <w:left w:val="nil"/>
              <w:bottom w:val="single" w:sz="4" w:space="0" w:color="000000" w:themeColor="text1"/>
              <w:right w:val="single" w:sz="4" w:space="0" w:color="000000" w:themeColor="text1"/>
            </w:tcBorders>
            <w:shd w:val="clear" w:color="auto" w:fill="C6EFCE"/>
            <w:noWrap/>
            <w:hideMark/>
          </w:tcPr>
          <w:p w14:paraId="7B98E1A2" w14:textId="7A9FB34D" w:rsidR="00A17CA8" w:rsidRPr="004C17A6" w:rsidRDefault="00A17CA8" w:rsidP="003B665C">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2024</w:t>
            </w:r>
          </w:p>
        </w:tc>
        <w:tc>
          <w:tcPr>
            <w:tcW w:w="4359" w:type="dxa"/>
            <w:tcBorders>
              <w:top w:val="nil"/>
              <w:left w:val="nil"/>
              <w:bottom w:val="single" w:sz="4" w:space="0" w:color="000000" w:themeColor="text1"/>
              <w:right w:val="single" w:sz="4" w:space="0" w:color="000000" w:themeColor="text1"/>
            </w:tcBorders>
            <w:shd w:val="clear" w:color="auto" w:fill="C6EFCE"/>
            <w:noWrap/>
            <w:hideMark/>
          </w:tcPr>
          <w:p w14:paraId="3314F897" w14:textId="59E6C1DC" w:rsidR="00A17CA8" w:rsidRPr="004C17A6" w:rsidRDefault="00A17CA8" w:rsidP="003B665C">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Цифровизиране на данни, съдържащи се в регистрите на Агенцията по вписванията и Агенцията по геодезия, картография и кадастър, както и на актове за гражданско състояние, съхранявани от общинските администрации Процесът на цифровизация цели да включва сканиране и индексиране с ключови метаданни, с което да позволява търсене и извличане.</w:t>
            </w:r>
          </w:p>
        </w:tc>
      </w:tr>
      <w:tr w:rsidR="007F2B35" w:rsidRPr="005241FC" w14:paraId="62E610DE" w14:textId="77777777" w:rsidTr="00A80AF7">
        <w:trPr>
          <w:trHeight w:val="300"/>
          <w:jc w:val="right"/>
        </w:trPr>
        <w:tc>
          <w:tcPr>
            <w:tcW w:w="710" w:type="dxa"/>
            <w:tcBorders>
              <w:top w:val="nil"/>
              <w:left w:val="single" w:sz="4" w:space="0" w:color="000000" w:themeColor="text1"/>
              <w:bottom w:val="single" w:sz="4" w:space="0" w:color="000000" w:themeColor="text1"/>
              <w:right w:val="single" w:sz="4" w:space="0" w:color="000000" w:themeColor="text1"/>
            </w:tcBorders>
            <w:shd w:val="clear" w:color="auto" w:fill="C6EFCE"/>
            <w:noWrap/>
            <w:hideMark/>
          </w:tcPr>
          <w:p w14:paraId="59B58856" w14:textId="14662264" w:rsidR="00A17CA8" w:rsidRPr="0051384F" w:rsidRDefault="00C723AC"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277</w:t>
            </w:r>
          </w:p>
        </w:tc>
        <w:tc>
          <w:tcPr>
            <w:tcW w:w="1286" w:type="dxa"/>
            <w:tcBorders>
              <w:top w:val="nil"/>
              <w:left w:val="nil"/>
              <w:bottom w:val="single" w:sz="4" w:space="0" w:color="000000" w:themeColor="text1"/>
              <w:right w:val="single" w:sz="4" w:space="0" w:color="000000" w:themeColor="text1"/>
            </w:tcBorders>
            <w:shd w:val="clear" w:color="auto" w:fill="C6EFCE"/>
            <w:noWrap/>
            <w:hideMark/>
          </w:tcPr>
          <w:p w14:paraId="243C24A2" w14:textId="6DB77CEF" w:rsidR="00A17CA8" w:rsidRPr="0051384F" w:rsidRDefault="25C3EBA0"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К10.И9: Дигитализиране на информационни масиви в администрацията, съдържащи регистрови данни </w:t>
            </w:r>
          </w:p>
        </w:tc>
        <w:tc>
          <w:tcPr>
            <w:tcW w:w="1085" w:type="dxa"/>
            <w:tcBorders>
              <w:top w:val="nil"/>
              <w:left w:val="nil"/>
              <w:bottom w:val="single" w:sz="4" w:space="0" w:color="000000" w:themeColor="text1"/>
              <w:right w:val="single" w:sz="4" w:space="0" w:color="000000" w:themeColor="text1"/>
            </w:tcBorders>
            <w:shd w:val="clear" w:color="auto" w:fill="C6EFCE"/>
            <w:noWrap/>
            <w:hideMark/>
          </w:tcPr>
          <w:p w14:paraId="32562914" w14:textId="77777777" w:rsidR="00A17CA8" w:rsidRPr="00A32481"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Цел</w:t>
            </w:r>
          </w:p>
        </w:tc>
        <w:tc>
          <w:tcPr>
            <w:tcW w:w="1734" w:type="dxa"/>
            <w:tcBorders>
              <w:top w:val="nil"/>
              <w:left w:val="nil"/>
              <w:bottom w:val="single" w:sz="4" w:space="0" w:color="000000" w:themeColor="text1"/>
              <w:right w:val="single" w:sz="4" w:space="0" w:color="000000" w:themeColor="text1"/>
            </w:tcBorders>
            <w:shd w:val="clear" w:color="auto" w:fill="C6EFCE"/>
            <w:noWrap/>
            <w:hideMark/>
          </w:tcPr>
          <w:p w14:paraId="2E72B005" w14:textId="26D351EC" w:rsidR="00A17CA8" w:rsidRPr="008E25A5"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Цифровизиране на данните от регистрите и регистрите за гражданско състояние</w:t>
            </w:r>
          </w:p>
        </w:tc>
        <w:tc>
          <w:tcPr>
            <w:tcW w:w="1417" w:type="dxa"/>
            <w:tcBorders>
              <w:top w:val="nil"/>
              <w:left w:val="nil"/>
              <w:bottom w:val="single" w:sz="4" w:space="0" w:color="000000" w:themeColor="text1"/>
              <w:right w:val="single" w:sz="4" w:space="0" w:color="000000" w:themeColor="text1"/>
            </w:tcBorders>
            <w:shd w:val="clear" w:color="auto" w:fill="C6EFCE"/>
            <w:noWrap/>
            <w:hideMark/>
          </w:tcPr>
          <w:p w14:paraId="00D77BCC"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993" w:type="dxa"/>
            <w:tcBorders>
              <w:top w:val="nil"/>
              <w:left w:val="nil"/>
              <w:bottom w:val="single" w:sz="4" w:space="0" w:color="000000" w:themeColor="text1"/>
              <w:right w:val="single" w:sz="4" w:space="0" w:color="000000" w:themeColor="text1"/>
            </w:tcBorders>
            <w:shd w:val="clear" w:color="auto" w:fill="C6EFCE"/>
            <w:noWrap/>
            <w:hideMark/>
          </w:tcPr>
          <w:p w14:paraId="65B4FBA0" w14:textId="4F112047" w:rsidR="00A17CA8" w:rsidRPr="00A32481"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Брой цифровизирани страници</w:t>
            </w:r>
          </w:p>
        </w:tc>
        <w:tc>
          <w:tcPr>
            <w:tcW w:w="1134" w:type="dxa"/>
            <w:tcBorders>
              <w:top w:val="nil"/>
              <w:left w:val="nil"/>
              <w:bottom w:val="single" w:sz="4" w:space="0" w:color="000000" w:themeColor="text1"/>
              <w:right w:val="single" w:sz="4" w:space="0" w:color="000000" w:themeColor="text1"/>
            </w:tcBorders>
            <w:shd w:val="clear" w:color="auto" w:fill="C6EFCE"/>
            <w:noWrap/>
            <w:hideMark/>
          </w:tcPr>
          <w:p w14:paraId="6B262402" w14:textId="3DE0F57D" w:rsidR="00A17CA8" w:rsidRPr="00A32481" w:rsidRDefault="0039081F"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19560000</w:t>
            </w:r>
          </w:p>
        </w:tc>
        <w:tc>
          <w:tcPr>
            <w:tcW w:w="1134" w:type="dxa"/>
            <w:tcBorders>
              <w:top w:val="nil"/>
              <w:left w:val="nil"/>
              <w:bottom w:val="single" w:sz="4" w:space="0" w:color="000000" w:themeColor="text1"/>
              <w:right w:val="single" w:sz="4" w:space="0" w:color="000000" w:themeColor="text1"/>
            </w:tcBorders>
            <w:shd w:val="clear" w:color="auto" w:fill="C6EFCE"/>
            <w:noWrap/>
            <w:hideMark/>
          </w:tcPr>
          <w:p w14:paraId="314041D6" w14:textId="647519E6" w:rsidR="00A17CA8" w:rsidRPr="00A45B22" w:rsidRDefault="004C17A6"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57079786</w:t>
            </w:r>
          </w:p>
        </w:tc>
        <w:tc>
          <w:tcPr>
            <w:tcW w:w="850" w:type="dxa"/>
            <w:tcBorders>
              <w:top w:val="nil"/>
              <w:left w:val="nil"/>
              <w:bottom w:val="single" w:sz="4" w:space="0" w:color="000000" w:themeColor="text1"/>
              <w:right w:val="single" w:sz="4" w:space="0" w:color="000000" w:themeColor="text1"/>
            </w:tcBorders>
            <w:shd w:val="clear" w:color="auto" w:fill="C6EFCE"/>
            <w:noWrap/>
            <w:hideMark/>
          </w:tcPr>
          <w:p w14:paraId="092A71CF" w14:textId="56842FFE" w:rsidR="00A17CA8" w:rsidRPr="008E25A5"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T1</w:t>
            </w:r>
          </w:p>
        </w:tc>
        <w:tc>
          <w:tcPr>
            <w:tcW w:w="744" w:type="dxa"/>
            <w:tcBorders>
              <w:top w:val="nil"/>
              <w:left w:val="nil"/>
              <w:bottom w:val="single" w:sz="4" w:space="0" w:color="000000" w:themeColor="text1"/>
              <w:right w:val="single" w:sz="4" w:space="0" w:color="000000" w:themeColor="text1"/>
            </w:tcBorders>
            <w:shd w:val="clear" w:color="auto" w:fill="C6EFCE"/>
            <w:noWrap/>
            <w:hideMark/>
          </w:tcPr>
          <w:p w14:paraId="3C5CB51E" w14:textId="5C190C5A" w:rsidR="00A17CA8" w:rsidRPr="008E25A5"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2026</w:t>
            </w:r>
          </w:p>
        </w:tc>
        <w:tc>
          <w:tcPr>
            <w:tcW w:w="4359" w:type="dxa"/>
            <w:tcBorders>
              <w:top w:val="nil"/>
              <w:left w:val="nil"/>
              <w:bottom w:val="single" w:sz="4" w:space="0" w:color="000000" w:themeColor="text1"/>
              <w:right w:val="single" w:sz="4" w:space="0" w:color="000000" w:themeColor="text1"/>
            </w:tcBorders>
            <w:shd w:val="clear" w:color="auto" w:fill="C6EFCE"/>
            <w:noWrap/>
            <w:hideMark/>
          </w:tcPr>
          <w:p w14:paraId="4B9D0C1A" w14:textId="0927DB57" w:rsidR="00A17CA8" w:rsidRPr="00A32481" w:rsidRDefault="00A17CA8" w:rsidP="003B665C">
            <w:pPr>
              <w:spacing w:after="0" w:line="240" w:lineRule="auto"/>
              <w:rPr>
                <w:rFonts w:ascii="Times New Roman" w:eastAsia="Times New Roman" w:hAnsi="Times New Roman" w:cs="Times New Roman"/>
                <w:noProof/>
                <w:color w:val="006100"/>
                <w:sz w:val="20"/>
                <w:szCs w:val="20"/>
                <w:highlight w:val="cyan"/>
              </w:rPr>
            </w:pPr>
            <w:r>
              <w:rPr>
                <w:rFonts w:ascii="Times New Roman" w:hAnsi="Times New Roman"/>
                <w:noProof/>
                <w:color w:val="006100"/>
                <w:sz w:val="20"/>
              </w:rPr>
              <w:t>Цифровизиране на данни, съдържащи се в регистрите на Агенцията по вписванията и Агенцията по геодезия, картография и кадастър, както и на актове за гражданско състояние, съхранявани от общинските администрации Процесът на цифровизация цели да включва сканиране и индексиране с ключови метаданни, с което да позволява търсене и извличане.</w:t>
            </w:r>
          </w:p>
        </w:tc>
      </w:tr>
      <w:tr w:rsidR="007F2B35" w:rsidRPr="005241FC" w14:paraId="74F86E0E" w14:textId="77777777" w:rsidTr="00A80AF7">
        <w:trPr>
          <w:trHeight w:val="300"/>
          <w:jc w:val="right"/>
        </w:trPr>
        <w:tc>
          <w:tcPr>
            <w:tcW w:w="710" w:type="dxa"/>
            <w:tcBorders>
              <w:top w:val="nil"/>
              <w:left w:val="single" w:sz="4" w:space="0" w:color="000000" w:themeColor="text1"/>
              <w:bottom w:val="single" w:sz="4" w:space="0" w:color="000000" w:themeColor="text1"/>
              <w:right w:val="single" w:sz="4" w:space="0" w:color="000000" w:themeColor="text1"/>
            </w:tcBorders>
            <w:shd w:val="clear" w:color="auto" w:fill="C6EFCE"/>
            <w:noWrap/>
            <w:hideMark/>
          </w:tcPr>
          <w:p w14:paraId="2F22032B" w14:textId="66321D39" w:rsidR="00A17CA8" w:rsidRPr="0051384F" w:rsidRDefault="00C723AC"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278</w:t>
            </w:r>
          </w:p>
        </w:tc>
        <w:tc>
          <w:tcPr>
            <w:tcW w:w="1286" w:type="dxa"/>
            <w:tcBorders>
              <w:top w:val="nil"/>
              <w:left w:val="nil"/>
              <w:bottom w:val="single" w:sz="4" w:space="0" w:color="000000" w:themeColor="text1"/>
              <w:right w:val="single" w:sz="4" w:space="0" w:color="000000" w:themeColor="text1"/>
            </w:tcBorders>
            <w:shd w:val="clear" w:color="auto" w:fill="C6EFCE"/>
            <w:noWrap/>
            <w:hideMark/>
          </w:tcPr>
          <w:p w14:paraId="46E05F63" w14:textId="1A0FE05F" w:rsidR="00A17CA8" w:rsidRPr="0051384F" w:rsidRDefault="00772A3B"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К10.И10: Модернизирана система за стратегическо планиране</w:t>
            </w:r>
          </w:p>
        </w:tc>
        <w:tc>
          <w:tcPr>
            <w:tcW w:w="1085" w:type="dxa"/>
            <w:tcBorders>
              <w:top w:val="nil"/>
              <w:left w:val="nil"/>
              <w:bottom w:val="single" w:sz="4" w:space="0" w:color="000000" w:themeColor="text1"/>
              <w:right w:val="single" w:sz="4" w:space="0" w:color="000000" w:themeColor="text1"/>
            </w:tcBorders>
            <w:shd w:val="clear" w:color="auto" w:fill="C6EFCE"/>
            <w:noWrap/>
            <w:hideMark/>
          </w:tcPr>
          <w:p w14:paraId="28B83FD8"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Цел</w:t>
            </w:r>
          </w:p>
        </w:tc>
        <w:tc>
          <w:tcPr>
            <w:tcW w:w="1734" w:type="dxa"/>
            <w:tcBorders>
              <w:top w:val="nil"/>
              <w:left w:val="nil"/>
              <w:bottom w:val="single" w:sz="4" w:space="0" w:color="000000" w:themeColor="text1"/>
              <w:right w:val="single" w:sz="4" w:space="0" w:color="000000" w:themeColor="text1"/>
            </w:tcBorders>
            <w:shd w:val="clear" w:color="auto" w:fill="C6EFCE"/>
            <w:noWrap/>
            <w:hideMark/>
          </w:tcPr>
          <w:p w14:paraId="3F760401"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Модернизирана система за стратегическо планиране</w:t>
            </w:r>
          </w:p>
        </w:tc>
        <w:tc>
          <w:tcPr>
            <w:tcW w:w="1417" w:type="dxa"/>
            <w:tcBorders>
              <w:top w:val="nil"/>
              <w:left w:val="nil"/>
              <w:bottom w:val="single" w:sz="4" w:space="0" w:color="000000" w:themeColor="text1"/>
              <w:right w:val="single" w:sz="4" w:space="0" w:color="000000" w:themeColor="text1"/>
            </w:tcBorders>
            <w:shd w:val="clear" w:color="auto" w:fill="C6EFCE"/>
            <w:noWrap/>
            <w:hideMark/>
          </w:tcPr>
          <w:p w14:paraId="2D847F98"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lang w:eastAsia="en-GB"/>
              </w:rPr>
            </w:pPr>
          </w:p>
        </w:tc>
        <w:tc>
          <w:tcPr>
            <w:tcW w:w="993" w:type="dxa"/>
            <w:tcBorders>
              <w:top w:val="nil"/>
              <w:left w:val="nil"/>
              <w:bottom w:val="single" w:sz="4" w:space="0" w:color="000000" w:themeColor="text1"/>
              <w:right w:val="single" w:sz="4" w:space="0" w:color="000000" w:themeColor="text1"/>
            </w:tcBorders>
            <w:shd w:val="clear" w:color="auto" w:fill="C6EFCE"/>
            <w:noWrap/>
            <w:hideMark/>
          </w:tcPr>
          <w:p w14:paraId="4F1FACE8" w14:textId="7E77B642"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(процент) от националните стратегически документи в системата</w:t>
            </w:r>
          </w:p>
        </w:tc>
        <w:tc>
          <w:tcPr>
            <w:tcW w:w="1134" w:type="dxa"/>
            <w:tcBorders>
              <w:top w:val="nil"/>
              <w:left w:val="nil"/>
              <w:bottom w:val="single" w:sz="4" w:space="0" w:color="000000" w:themeColor="text1"/>
              <w:right w:val="single" w:sz="4" w:space="0" w:color="000000" w:themeColor="text1"/>
            </w:tcBorders>
            <w:shd w:val="clear" w:color="auto" w:fill="C6EFCE"/>
            <w:noWrap/>
            <w:hideMark/>
          </w:tcPr>
          <w:p w14:paraId="0D390D16" w14:textId="7B8D7679"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6 </w:t>
            </w:r>
          </w:p>
        </w:tc>
        <w:tc>
          <w:tcPr>
            <w:tcW w:w="1134" w:type="dxa"/>
            <w:tcBorders>
              <w:top w:val="nil"/>
              <w:left w:val="nil"/>
              <w:bottom w:val="single" w:sz="4" w:space="0" w:color="000000" w:themeColor="text1"/>
              <w:right w:val="single" w:sz="4" w:space="0" w:color="000000" w:themeColor="text1"/>
            </w:tcBorders>
            <w:shd w:val="clear" w:color="auto" w:fill="C6EFCE"/>
            <w:noWrap/>
            <w:hideMark/>
          </w:tcPr>
          <w:p w14:paraId="60B7BF6F"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100</w:t>
            </w:r>
          </w:p>
        </w:tc>
        <w:tc>
          <w:tcPr>
            <w:tcW w:w="850" w:type="dxa"/>
            <w:tcBorders>
              <w:top w:val="nil"/>
              <w:left w:val="nil"/>
              <w:bottom w:val="single" w:sz="4" w:space="0" w:color="000000" w:themeColor="text1"/>
              <w:right w:val="single" w:sz="4" w:space="0" w:color="000000" w:themeColor="text1"/>
            </w:tcBorders>
            <w:shd w:val="clear" w:color="auto" w:fill="C6EFCE"/>
            <w:noWrap/>
            <w:hideMark/>
          </w:tcPr>
          <w:p w14:paraId="0437F93E"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T4</w:t>
            </w:r>
          </w:p>
        </w:tc>
        <w:tc>
          <w:tcPr>
            <w:tcW w:w="744" w:type="dxa"/>
            <w:tcBorders>
              <w:top w:val="nil"/>
              <w:left w:val="nil"/>
              <w:bottom w:val="single" w:sz="4" w:space="0" w:color="000000" w:themeColor="text1"/>
              <w:right w:val="single" w:sz="4" w:space="0" w:color="000000" w:themeColor="text1"/>
            </w:tcBorders>
            <w:shd w:val="clear" w:color="auto" w:fill="C6EFCE"/>
            <w:noWrap/>
            <w:hideMark/>
          </w:tcPr>
          <w:p w14:paraId="726172EC"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2025</w:t>
            </w:r>
          </w:p>
        </w:tc>
        <w:tc>
          <w:tcPr>
            <w:tcW w:w="4359" w:type="dxa"/>
            <w:tcBorders>
              <w:top w:val="nil"/>
              <w:left w:val="nil"/>
              <w:bottom w:val="single" w:sz="4" w:space="0" w:color="000000" w:themeColor="text1"/>
              <w:right w:val="single" w:sz="4" w:space="0" w:color="000000" w:themeColor="text1"/>
            </w:tcBorders>
            <w:shd w:val="clear" w:color="auto" w:fill="C6EFCE"/>
            <w:noWrap/>
            <w:hideMark/>
          </w:tcPr>
          <w:p w14:paraId="1F82B8CE" w14:textId="77777777" w:rsidR="00A17CA8" w:rsidRPr="0051384F" w:rsidRDefault="00A17CA8" w:rsidP="00576E40">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Системата Мониторстат се надгражда в инструмент за стратегическо планиране за мониторинг на изпълнението на всички стратегически документи на централно равнище. При надграждането се гарантира, че всички национални стратегически документи могат да бъдат качени в системата и че те са стандартизирани по отношение на структурата, отчитането и показателите. С него също така се подпомага съгласуването на стратегиите с целите за устойчиво развитие.</w:t>
            </w:r>
          </w:p>
        </w:tc>
      </w:tr>
      <w:tr w:rsidR="007F2B35" w:rsidRPr="005241FC" w14:paraId="036EEA2F" w14:textId="77777777" w:rsidTr="00A80AF7">
        <w:trPr>
          <w:trHeight w:val="300"/>
          <w:jc w:val="right"/>
        </w:trPr>
        <w:tc>
          <w:tcPr>
            <w:tcW w:w="710" w:type="dxa"/>
            <w:tcBorders>
              <w:top w:val="nil"/>
              <w:left w:val="single" w:sz="4" w:space="0" w:color="000000" w:themeColor="text1"/>
              <w:bottom w:val="single" w:sz="4" w:space="0" w:color="000000" w:themeColor="text1"/>
              <w:right w:val="single" w:sz="4" w:space="0" w:color="000000" w:themeColor="text1"/>
            </w:tcBorders>
            <w:shd w:val="clear" w:color="auto" w:fill="C6EFCE"/>
            <w:noWrap/>
            <w:hideMark/>
          </w:tcPr>
          <w:p w14:paraId="79A30A44" w14:textId="3DA7DB43" w:rsidR="00A17CA8" w:rsidRPr="0051384F" w:rsidRDefault="00C723AC"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279</w:t>
            </w:r>
          </w:p>
        </w:tc>
        <w:tc>
          <w:tcPr>
            <w:tcW w:w="1286" w:type="dxa"/>
            <w:tcBorders>
              <w:top w:val="nil"/>
              <w:left w:val="nil"/>
              <w:bottom w:val="single" w:sz="4" w:space="0" w:color="000000" w:themeColor="text1"/>
              <w:right w:val="single" w:sz="4" w:space="0" w:color="000000" w:themeColor="text1"/>
            </w:tcBorders>
            <w:shd w:val="clear" w:color="auto" w:fill="C6EFCE"/>
            <w:noWrap/>
            <w:hideMark/>
          </w:tcPr>
          <w:p w14:paraId="7ECDC437" w14:textId="01A7BF31" w:rsidR="00A17CA8" w:rsidRPr="0051384F" w:rsidRDefault="00772A3B"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К10.И11: Осигуряване на адекватна информационна и административна среда за изпълнение на Плана за възстановяване и устойчивост</w:t>
            </w:r>
          </w:p>
        </w:tc>
        <w:tc>
          <w:tcPr>
            <w:tcW w:w="1085" w:type="dxa"/>
            <w:tcBorders>
              <w:top w:val="nil"/>
              <w:left w:val="nil"/>
              <w:bottom w:val="single" w:sz="4" w:space="0" w:color="000000" w:themeColor="text1"/>
              <w:right w:val="single" w:sz="4" w:space="0" w:color="000000" w:themeColor="text1"/>
            </w:tcBorders>
            <w:shd w:val="clear" w:color="auto" w:fill="C6EFCE"/>
            <w:noWrap/>
            <w:hideMark/>
          </w:tcPr>
          <w:p w14:paraId="36ED7960"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734" w:type="dxa"/>
            <w:tcBorders>
              <w:top w:val="nil"/>
              <w:left w:val="nil"/>
              <w:bottom w:val="single" w:sz="4" w:space="0" w:color="000000" w:themeColor="text1"/>
              <w:right w:val="single" w:sz="4" w:space="0" w:color="000000" w:themeColor="text1"/>
            </w:tcBorders>
            <w:shd w:val="clear" w:color="auto" w:fill="C6EFCE"/>
            <w:noWrap/>
            <w:hideMark/>
          </w:tcPr>
          <w:p w14:paraId="4F563A68" w14:textId="4D7110AC"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Създаване на система от регистри за мониторинг на изпълнението на ПВУ </w:t>
            </w:r>
          </w:p>
        </w:tc>
        <w:tc>
          <w:tcPr>
            <w:tcW w:w="1417" w:type="dxa"/>
            <w:tcBorders>
              <w:top w:val="nil"/>
              <w:left w:val="nil"/>
              <w:bottom w:val="single" w:sz="4" w:space="0" w:color="000000" w:themeColor="text1"/>
              <w:right w:val="single" w:sz="4" w:space="0" w:color="000000" w:themeColor="text1"/>
            </w:tcBorders>
            <w:shd w:val="clear" w:color="auto" w:fill="C6EFCE"/>
            <w:noWrap/>
            <w:hideMark/>
          </w:tcPr>
          <w:p w14:paraId="3A0B7C27" w14:textId="05998635"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Одитен доклад, потвърждаващ функционалностите на системата от регистри</w:t>
            </w:r>
          </w:p>
        </w:tc>
        <w:tc>
          <w:tcPr>
            <w:tcW w:w="993" w:type="dxa"/>
            <w:tcBorders>
              <w:top w:val="nil"/>
              <w:left w:val="nil"/>
              <w:bottom w:val="single" w:sz="4" w:space="0" w:color="000000" w:themeColor="text1"/>
              <w:right w:val="single" w:sz="4" w:space="0" w:color="000000" w:themeColor="text1"/>
            </w:tcBorders>
            <w:shd w:val="clear" w:color="auto" w:fill="C6EFCE"/>
            <w:noWrap/>
          </w:tcPr>
          <w:p w14:paraId="65A6ABDF"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1134" w:type="dxa"/>
            <w:tcBorders>
              <w:top w:val="nil"/>
              <w:left w:val="nil"/>
              <w:bottom w:val="single" w:sz="4" w:space="0" w:color="000000" w:themeColor="text1"/>
              <w:right w:val="single" w:sz="4" w:space="0" w:color="000000" w:themeColor="text1"/>
            </w:tcBorders>
            <w:shd w:val="clear" w:color="auto" w:fill="C6EFCE"/>
            <w:noWrap/>
          </w:tcPr>
          <w:p w14:paraId="461C83B2"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1134" w:type="dxa"/>
            <w:tcBorders>
              <w:top w:val="nil"/>
              <w:left w:val="nil"/>
              <w:bottom w:val="single" w:sz="4" w:space="0" w:color="000000" w:themeColor="text1"/>
              <w:right w:val="single" w:sz="4" w:space="0" w:color="000000" w:themeColor="text1"/>
            </w:tcBorders>
            <w:shd w:val="clear" w:color="auto" w:fill="C6EFCE"/>
            <w:noWrap/>
          </w:tcPr>
          <w:p w14:paraId="4EF51CE7"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850" w:type="dxa"/>
            <w:tcBorders>
              <w:top w:val="nil"/>
              <w:left w:val="nil"/>
              <w:bottom w:val="single" w:sz="4" w:space="0" w:color="000000" w:themeColor="text1"/>
              <w:right w:val="single" w:sz="4" w:space="0" w:color="000000" w:themeColor="text1"/>
            </w:tcBorders>
            <w:shd w:val="clear" w:color="auto" w:fill="C6EFCE"/>
            <w:noWrap/>
          </w:tcPr>
          <w:p w14:paraId="2C62B092"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T2</w:t>
            </w:r>
          </w:p>
        </w:tc>
        <w:tc>
          <w:tcPr>
            <w:tcW w:w="744" w:type="dxa"/>
            <w:tcBorders>
              <w:top w:val="nil"/>
              <w:left w:val="nil"/>
              <w:bottom w:val="single" w:sz="4" w:space="0" w:color="000000" w:themeColor="text1"/>
              <w:right w:val="single" w:sz="4" w:space="0" w:color="000000" w:themeColor="text1"/>
            </w:tcBorders>
            <w:shd w:val="clear" w:color="auto" w:fill="C6EFCE"/>
            <w:noWrap/>
            <w:hideMark/>
          </w:tcPr>
          <w:p w14:paraId="611CA508"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2022 </w:t>
            </w:r>
          </w:p>
        </w:tc>
        <w:tc>
          <w:tcPr>
            <w:tcW w:w="4359" w:type="dxa"/>
            <w:tcBorders>
              <w:top w:val="nil"/>
              <w:left w:val="nil"/>
              <w:bottom w:val="single" w:sz="4" w:space="0" w:color="000000" w:themeColor="text1"/>
              <w:right w:val="single" w:sz="4" w:space="0" w:color="000000" w:themeColor="text1"/>
            </w:tcBorders>
            <w:shd w:val="clear" w:color="auto" w:fill="C6EFCE"/>
            <w:noWrap/>
            <w:hideMark/>
          </w:tcPr>
          <w:p w14:paraId="08E99111" w14:textId="1FCAC3C0"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Преди първото искане за плащане трябва да има изградена и функционираща система от регистри за мониторинг на изпълнението на плана за възстановяване и устойчивост (ПВУ). Системата разполага най-малко със следните функционалности:</w:t>
            </w:r>
            <w:r>
              <w:rPr>
                <w:rFonts w:ascii="Times New Roman" w:hAnsi="Times New Roman"/>
                <w:noProof/>
                <w:color w:val="006100"/>
                <w:sz w:val="20"/>
              </w:rPr>
              <w:br/>
              <w:t>а) събиране на данни и мониторинг на постигането на ключовите етапи и целите;</w:t>
            </w:r>
            <w:r>
              <w:rPr>
                <w:rFonts w:ascii="Times New Roman" w:hAnsi="Times New Roman"/>
                <w:noProof/>
                <w:color w:val="006100"/>
                <w:sz w:val="20"/>
              </w:rPr>
              <w:br/>
              <w:t>б) събиране, съхраняване и осигуряване на достъп до данните, изисквани съгласно член 22, параграф 2, буква г), подточки i)—iii) от Регламент (ЕС) 2021/241.</w:t>
            </w:r>
          </w:p>
        </w:tc>
      </w:tr>
      <w:tr w:rsidR="007F2B35" w:rsidRPr="005241FC" w14:paraId="24E6231A" w14:textId="77777777" w:rsidTr="00A80AF7">
        <w:trPr>
          <w:trHeight w:val="300"/>
          <w:jc w:val="right"/>
        </w:trPr>
        <w:tc>
          <w:tcPr>
            <w:tcW w:w="710" w:type="dxa"/>
            <w:tcBorders>
              <w:top w:val="nil"/>
              <w:left w:val="single" w:sz="4" w:space="0" w:color="000000" w:themeColor="text1"/>
              <w:bottom w:val="single" w:sz="4" w:space="0" w:color="000000" w:themeColor="text1"/>
              <w:right w:val="single" w:sz="4" w:space="0" w:color="000000" w:themeColor="text1"/>
            </w:tcBorders>
            <w:shd w:val="clear" w:color="auto" w:fill="C6EFCE"/>
            <w:noWrap/>
            <w:hideMark/>
          </w:tcPr>
          <w:p w14:paraId="511AB89B" w14:textId="59A91009" w:rsidR="00A17CA8" w:rsidRPr="0051384F" w:rsidRDefault="005853E9"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280</w:t>
            </w:r>
          </w:p>
        </w:tc>
        <w:tc>
          <w:tcPr>
            <w:tcW w:w="1286" w:type="dxa"/>
            <w:tcBorders>
              <w:top w:val="nil"/>
              <w:left w:val="nil"/>
              <w:bottom w:val="single" w:sz="4" w:space="0" w:color="000000" w:themeColor="text1"/>
              <w:right w:val="single" w:sz="4" w:space="0" w:color="000000" w:themeColor="text1"/>
            </w:tcBorders>
            <w:shd w:val="clear" w:color="auto" w:fill="C6EFCE"/>
            <w:noWrap/>
            <w:hideMark/>
          </w:tcPr>
          <w:p w14:paraId="0929009B" w14:textId="2E37B346" w:rsidR="00A17CA8" w:rsidRPr="0051384F" w:rsidRDefault="00772A3B"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К10.И11: Осигуряване на адекватна информационна и административна среда за изпълнение на Плана за възстановяване и устойчивост</w:t>
            </w:r>
          </w:p>
        </w:tc>
        <w:tc>
          <w:tcPr>
            <w:tcW w:w="1085" w:type="dxa"/>
            <w:tcBorders>
              <w:top w:val="nil"/>
              <w:left w:val="nil"/>
              <w:bottom w:val="single" w:sz="4" w:space="0" w:color="000000" w:themeColor="text1"/>
              <w:right w:val="single" w:sz="4" w:space="0" w:color="000000" w:themeColor="text1"/>
            </w:tcBorders>
            <w:shd w:val="clear" w:color="auto" w:fill="C6EFCE"/>
            <w:noWrap/>
            <w:hideMark/>
          </w:tcPr>
          <w:p w14:paraId="0508FC2D"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Цел</w:t>
            </w:r>
          </w:p>
        </w:tc>
        <w:tc>
          <w:tcPr>
            <w:tcW w:w="1734" w:type="dxa"/>
            <w:tcBorders>
              <w:top w:val="nil"/>
              <w:left w:val="nil"/>
              <w:bottom w:val="single" w:sz="4" w:space="0" w:color="000000" w:themeColor="text1"/>
              <w:right w:val="single" w:sz="4" w:space="0" w:color="000000" w:themeColor="text1"/>
            </w:tcBorders>
            <w:shd w:val="clear" w:color="auto" w:fill="C6EFCE"/>
            <w:noWrap/>
            <w:hideMark/>
          </w:tcPr>
          <w:p w14:paraId="44BEF0DC" w14:textId="5BA46A9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Актуализиране на видеонаръчниците, за да се обхванат изцяло всички работни процеси на информационната система за възстановяване и устойчивост</w:t>
            </w:r>
          </w:p>
        </w:tc>
        <w:tc>
          <w:tcPr>
            <w:tcW w:w="1417" w:type="dxa"/>
            <w:tcBorders>
              <w:top w:val="nil"/>
              <w:left w:val="nil"/>
              <w:bottom w:val="single" w:sz="4" w:space="0" w:color="000000" w:themeColor="text1"/>
              <w:right w:val="single" w:sz="4" w:space="0" w:color="000000" w:themeColor="text1"/>
            </w:tcBorders>
            <w:shd w:val="clear" w:color="auto" w:fill="C6EFCE"/>
            <w:noWrap/>
            <w:hideMark/>
          </w:tcPr>
          <w:p w14:paraId="6C2B0FB2"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993" w:type="dxa"/>
            <w:tcBorders>
              <w:top w:val="nil"/>
              <w:left w:val="nil"/>
              <w:bottom w:val="single" w:sz="4" w:space="0" w:color="000000" w:themeColor="text1"/>
              <w:right w:val="single" w:sz="4" w:space="0" w:color="000000" w:themeColor="text1"/>
            </w:tcBorders>
            <w:shd w:val="clear" w:color="auto" w:fill="C6EFCE"/>
            <w:noWrap/>
            <w:hideMark/>
          </w:tcPr>
          <w:p w14:paraId="4B060F75"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Брой</w:t>
            </w:r>
          </w:p>
        </w:tc>
        <w:tc>
          <w:tcPr>
            <w:tcW w:w="1134" w:type="dxa"/>
            <w:tcBorders>
              <w:top w:val="nil"/>
              <w:left w:val="nil"/>
              <w:bottom w:val="single" w:sz="4" w:space="0" w:color="000000" w:themeColor="text1"/>
              <w:right w:val="single" w:sz="4" w:space="0" w:color="000000" w:themeColor="text1"/>
            </w:tcBorders>
            <w:shd w:val="clear" w:color="auto" w:fill="C6EFCE"/>
            <w:noWrap/>
            <w:hideMark/>
          </w:tcPr>
          <w:p w14:paraId="428BD5A5"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0</w:t>
            </w:r>
          </w:p>
        </w:tc>
        <w:tc>
          <w:tcPr>
            <w:tcW w:w="1134" w:type="dxa"/>
            <w:tcBorders>
              <w:top w:val="nil"/>
              <w:left w:val="nil"/>
              <w:bottom w:val="single" w:sz="4" w:space="0" w:color="000000" w:themeColor="text1"/>
              <w:right w:val="single" w:sz="4" w:space="0" w:color="000000" w:themeColor="text1"/>
            </w:tcBorders>
            <w:shd w:val="clear" w:color="auto" w:fill="C6EFCE"/>
            <w:noWrap/>
            <w:hideMark/>
          </w:tcPr>
          <w:p w14:paraId="098FE220"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36</w:t>
            </w:r>
          </w:p>
        </w:tc>
        <w:tc>
          <w:tcPr>
            <w:tcW w:w="850" w:type="dxa"/>
            <w:tcBorders>
              <w:top w:val="nil"/>
              <w:left w:val="nil"/>
              <w:bottom w:val="single" w:sz="4" w:space="0" w:color="000000" w:themeColor="text1"/>
              <w:right w:val="single" w:sz="4" w:space="0" w:color="000000" w:themeColor="text1"/>
            </w:tcBorders>
            <w:shd w:val="clear" w:color="auto" w:fill="C6EFCE"/>
            <w:noWrap/>
            <w:hideMark/>
          </w:tcPr>
          <w:p w14:paraId="6FE2AE87"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T2</w:t>
            </w:r>
          </w:p>
        </w:tc>
        <w:tc>
          <w:tcPr>
            <w:tcW w:w="744" w:type="dxa"/>
            <w:tcBorders>
              <w:top w:val="nil"/>
              <w:left w:val="nil"/>
              <w:bottom w:val="single" w:sz="4" w:space="0" w:color="000000" w:themeColor="text1"/>
              <w:right w:val="single" w:sz="4" w:space="0" w:color="000000" w:themeColor="text1"/>
            </w:tcBorders>
            <w:shd w:val="clear" w:color="auto" w:fill="C6EFCE"/>
            <w:noWrap/>
            <w:hideMark/>
          </w:tcPr>
          <w:p w14:paraId="664E6721"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2022</w:t>
            </w:r>
          </w:p>
        </w:tc>
        <w:tc>
          <w:tcPr>
            <w:tcW w:w="4359" w:type="dxa"/>
            <w:tcBorders>
              <w:top w:val="nil"/>
              <w:left w:val="nil"/>
              <w:bottom w:val="single" w:sz="4" w:space="0" w:color="000000" w:themeColor="text1"/>
              <w:right w:val="single" w:sz="4" w:space="0" w:color="000000" w:themeColor="text1"/>
            </w:tcBorders>
            <w:shd w:val="clear" w:color="auto" w:fill="C6EFCE"/>
            <w:noWrap/>
            <w:hideMark/>
          </w:tcPr>
          <w:p w14:paraId="68D74104" w14:textId="77777777" w:rsidR="00A17CA8" w:rsidRPr="0051384F" w:rsidRDefault="00A17CA8" w:rsidP="00576E40">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Въвеждане на визуализация на работните процеси под формата на видеоръководства, за да се улесни работата на потребителите. Предвид адаптирането на Информационната система за управление и наблюдение на структурните инструменти на ЕС в България (ИСУН 2020) за целите на прилагането на ПВУ, както и уникалния характер на новия инструмент, ръководствата следва да бъдат разработени така, че да са насочени конкретно към ПВУ: очаква се да бъдат актуализирани 36 видеоръководства, които следва да обхванат изцяло всички възможни работни процеси, с които потребителите биха могли да се сблъскат при прилагането на ПВУ, докато ползват информационната система. </w:t>
            </w:r>
          </w:p>
        </w:tc>
      </w:tr>
      <w:tr w:rsidR="007F2B35" w:rsidRPr="005241FC" w14:paraId="1FF17052" w14:textId="77777777" w:rsidTr="00A80AF7">
        <w:trPr>
          <w:trHeight w:val="300"/>
          <w:jc w:val="right"/>
        </w:trPr>
        <w:tc>
          <w:tcPr>
            <w:tcW w:w="710" w:type="dxa"/>
            <w:tcBorders>
              <w:top w:val="nil"/>
              <w:left w:val="single" w:sz="4" w:space="0" w:color="000000" w:themeColor="text1"/>
              <w:bottom w:val="single" w:sz="4" w:space="0" w:color="000000" w:themeColor="text1"/>
              <w:right w:val="single" w:sz="4" w:space="0" w:color="000000" w:themeColor="text1"/>
            </w:tcBorders>
            <w:shd w:val="clear" w:color="auto" w:fill="C6EFCE"/>
            <w:noWrap/>
          </w:tcPr>
          <w:p w14:paraId="2BDD5E75" w14:textId="2F88B1AC" w:rsidR="00A17CA8" w:rsidRPr="0051384F" w:rsidRDefault="00C723AC"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281</w:t>
            </w:r>
          </w:p>
        </w:tc>
        <w:tc>
          <w:tcPr>
            <w:tcW w:w="1286" w:type="dxa"/>
            <w:tcBorders>
              <w:top w:val="nil"/>
              <w:left w:val="nil"/>
              <w:bottom w:val="single" w:sz="4" w:space="0" w:color="000000" w:themeColor="text1"/>
              <w:right w:val="single" w:sz="4" w:space="0" w:color="000000" w:themeColor="text1"/>
            </w:tcBorders>
            <w:shd w:val="clear" w:color="auto" w:fill="C6EFCE"/>
            <w:noWrap/>
          </w:tcPr>
          <w:p w14:paraId="667D8951" w14:textId="69D363FB" w:rsidR="00A17CA8" w:rsidRPr="0051384F" w:rsidRDefault="00772A3B"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К10.И11: Осигуряване на адекватна информационна и административна среда за изпълнение на Плана за възстановяване и устойчивост</w:t>
            </w:r>
          </w:p>
        </w:tc>
        <w:tc>
          <w:tcPr>
            <w:tcW w:w="1085" w:type="dxa"/>
            <w:tcBorders>
              <w:top w:val="nil"/>
              <w:left w:val="nil"/>
              <w:bottom w:val="single" w:sz="4" w:space="0" w:color="000000" w:themeColor="text1"/>
              <w:right w:val="single" w:sz="4" w:space="0" w:color="000000" w:themeColor="text1"/>
            </w:tcBorders>
            <w:shd w:val="clear" w:color="auto" w:fill="C6EFCE"/>
            <w:noWrap/>
          </w:tcPr>
          <w:p w14:paraId="7909C7F5"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734" w:type="dxa"/>
            <w:tcBorders>
              <w:top w:val="nil"/>
              <w:left w:val="nil"/>
              <w:bottom w:val="single" w:sz="4" w:space="0" w:color="000000" w:themeColor="text1"/>
              <w:right w:val="single" w:sz="4" w:space="0" w:color="000000" w:themeColor="text1"/>
            </w:tcBorders>
            <w:shd w:val="clear" w:color="auto" w:fill="C6EFCE"/>
            <w:noWrap/>
          </w:tcPr>
          <w:p w14:paraId="0748F28D" w14:textId="293AA06B"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Влизане в сила на закона за създаване на система за управление и контрол на плана за възстановяване и устойчивост</w:t>
            </w:r>
          </w:p>
        </w:tc>
        <w:tc>
          <w:tcPr>
            <w:tcW w:w="1417" w:type="dxa"/>
            <w:tcBorders>
              <w:top w:val="nil"/>
              <w:left w:val="nil"/>
              <w:bottom w:val="single" w:sz="4" w:space="0" w:color="000000" w:themeColor="text1"/>
              <w:right w:val="single" w:sz="4" w:space="0" w:color="000000" w:themeColor="text1"/>
            </w:tcBorders>
            <w:shd w:val="clear" w:color="auto" w:fill="C6EFCE"/>
            <w:noWrap/>
          </w:tcPr>
          <w:p w14:paraId="148DB81C"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Приемане и влизане в сила на нормативния акт (заповед на министъра на финансите) за одобряване на Системата за управление и контрол</w:t>
            </w:r>
          </w:p>
        </w:tc>
        <w:tc>
          <w:tcPr>
            <w:tcW w:w="993" w:type="dxa"/>
            <w:tcBorders>
              <w:top w:val="nil"/>
              <w:left w:val="nil"/>
              <w:bottom w:val="single" w:sz="4" w:space="0" w:color="000000" w:themeColor="text1"/>
              <w:right w:val="single" w:sz="4" w:space="0" w:color="000000" w:themeColor="text1"/>
            </w:tcBorders>
            <w:shd w:val="clear" w:color="auto" w:fill="C6EFCE"/>
            <w:noWrap/>
          </w:tcPr>
          <w:p w14:paraId="1BDCB615"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1134" w:type="dxa"/>
            <w:tcBorders>
              <w:top w:val="nil"/>
              <w:left w:val="nil"/>
              <w:bottom w:val="single" w:sz="4" w:space="0" w:color="000000" w:themeColor="text1"/>
              <w:right w:val="single" w:sz="4" w:space="0" w:color="000000" w:themeColor="text1"/>
            </w:tcBorders>
            <w:shd w:val="clear" w:color="auto" w:fill="C6EFCE"/>
            <w:noWrap/>
          </w:tcPr>
          <w:p w14:paraId="7D420809"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1134" w:type="dxa"/>
            <w:tcBorders>
              <w:top w:val="nil"/>
              <w:left w:val="nil"/>
              <w:bottom w:val="single" w:sz="4" w:space="0" w:color="000000" w:themeColor="text1"/>
              <w:right w:val="single" w:sz="4" w:space="0" w:color="000000" w:themeColor="text1"/>
            </w:tcBorders>
            <w:shd w:val="clear" w:color="auto" w:fill="C6EFCE"/>
            <w:noWrap/>
          </w:tcPr>
          <w:p w14:paraId="693B3B40"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850" w:type="dxa"/>
            <w:tcBorders>
              <w:top w:val="nil"/>
              <w:left w:val="nil"/>
              <w:bottom w:val="single" w:sz="4" w:space="0" w:color="000000" w:themeColor="text1"/>
              <w:right w:val="single" w:sz="4" w:space="0" w:color="000000" w:themeColor="text1"/>
            </w:tcBorders>
            <w:shd w:val="clear" w:color="auto" w:fill="C6EFCE"/>
            <w:noWrap/>
          </w:tcPr>
          <w:p w14:paraId="205CFB5D"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T2</w:t>
            </w:r>
          </w:p>
        </w:tc>
        <w:tc>
          <w:tcPr>
            <w:tcW w:w="744" w:type="dxa"/>
            <w:tcBorders>
              <w:top w:val="nil"/>
              <w:left w:val="nil"/>
              <w:bottom w:val="single" w:sz="4" w:space="0" w:color="000000" w:themeColor="text1"/>
              <w:right w:val="single" w:sz="4" w:space="0" w:color="000000" w:themeColor="text1"/>
            </w:tcBorders>
            <w:shd w:val="clear" w:color="auto" w:fill="C6EFCE"/>
            <w:noWrap/>
          </w:tcPr>
          <w:p w14:paraId="2A23F4F4"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2022 </w:t>
            </w:r>
          </w:p>
        </w:tc>
        <w:tc>
          <w:tcPr>
            <w:tcW w:w="4359" w:type="dxa"/>
            <w:tcBorders>
              <w:top w:val="nil"/>
              <w:left w:val="nil"/>
              <w:bottom w:val="single" w:sz="4" w:space="0" w:color="000000" w:themeColor="text1"/>
              <w:right w:val="single" w:sz="4" w:space="0" w:color="000000" w:themeColor="text1"/>
            </w:tcBorders>
            <w:shd w:val="clear" w:color="auto" w:fill="C6EFCE"/>
            <w:noWrap/>
          </w:tcPr>
          <w:p w14:paraId="40790A22"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Системата за управление и контрол в рамките на ПВУ трябва да бъде одобрена преди първото искане за плащане, като включва: </w:t>
            </w:r>
          </w:p>
          <w:p w14:paraId="7E869DDA" w14:textId="77777777" w:rsidR="00A17CA8" w:rsidRPr="0051384F" w:rsidRDefault="00A17CA8" w:rsidP="00576E40">
            <w:pPr>
              <w:pStyle w:val="ListParagraph"/>
              <w:numPr>
                <w:ilvl w:val="0"/>
                <w:numId w:val="53"/>
              </w:numPr>
              <w:spacing w:after="0" w:line="240" w:lineRule="auto"/>
              <w:ind w:left="318"/>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министерствата/органите, отговарящи за извършването на контрол върху изпълнението на плана (инвестиции и реформи); </w:t>
            </w:r>
          </w:p>
          <w:p w14:paraId="0D62BCCB" w14:textId="77777777" w:rsidR="00A17CA8" w:rsidRPr="0051384F" w:rsidRDefault="00A17CA8" w:rsidP="00576E40">
            <w:pPr>
              <w:pStyle w:val="ListParagraph"/>
              <w:numPr>
                <w:ilvl w:val="0"/>
                <w:numId w:val="53"/>
              </w:numPr>
              <w:spacing w:after="0" w:line="240" w:lineRule="auto"/>
              <w:ind w:left="318"/>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посочване на мерките за борба с измамите, корупцията, двойното финансиране и конфликтите на интереси и механизми за докладване и отстраняване на сериозни нередности.</w:t>
            </w:r>
          </w:p>
        </w:tc>
      </w:tr>
      <w:tr w:rsidR="007F2B35" w:rsidRPr="005241FC" w14:paraId="306164C9" w14:textId="77777777" w:rsidTr="00A80AF7">
        <w:trPr>
          <w:trHeight w:val="300"/>
          <w:jc w:val="right"/>
        </w:trPr>
        <w:tc>
          <w:tcPr>
            <w:tcW w:w="710" w:type="dxa"/>
            <w:tcBorders>
              <w:top w:val="nil"/>
              <w:left w:val="single" w:sz="4" w:space="0" w:color="000000" w:themeColor="text1"/>
              <w:bottom w:val="single" w:sz="4" w:space="0" w:color="000000" w:themeColor="text1"/>
              <w:right w:val="single" w:sz="4" w:space="0" w:color="000000" w:themeColor="text1"/>
            </w:tcBorders>
            <w:shd w:val="clear" w:color="auto" w:fill="C6EFCE"/>
            <w:noWrap/>
          </w:tcPr>
          <w:p w14:paraId="0C6EB297" w14:textId="022434C2" w:rsidR="00A17CA8" w:rsidRPr="0051384F" w:rsidRDefault="00C723AC"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282</w:t>
            </w:r>
          </w:p>
        </w:tc>
        <w:tc>
          <w:tcPr>
            <w:tcW w:w="1286" w:type="dxa"/>
            <w:tcBorders>
              <w:top w:val="nil"/>
              <w:left w:val="nil"/>
              <w:bottom w:val="single" w:sz="4" w:space="0" w:color="000000" w:themeColor="text1"/>
              <w:right w:val="single" w:sz="4" w:space="0" w:color="000000" w:themeColor="text1"/>
            </w:tcBorders>
            <w:shd w:val="clear" w:color="auto" w:fill="C6EFCE"/>
            <w:noWrap/>
          </w:tcPr>
          <w:p w14:paraId="0DC5F232" w14:textId="1651BEB6" w:rsidR="00A17CA8" w:rsidRPr="0051384F" w:rsidRDefault="00772A3B"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К10.И11: Осигуряване на адекватна информационна и административна среда за изпълнение на Плана за възстановяване и устойчивост</w:t>
            </w:r>
          </w:p>
        </w:tc>
        <w:tc>
          <w:tcPr>
            <w:tcW w:w="1085" w:type="dxa"/>
            <w:tcBorders>
              <w:top w:val="nil"/>
              <w:left w:val="nil"/>
              <w:bottom w:val="single" w:sz="4" w:space="0" w:color="000000" w:themeColor="text1"/>
              <w:right w:val="single" w:sz="4" w:space="0" w:color="000000" w:themeColor="text1"/>
            </w:tcBorders>
            <w:shd w:val="clear" w:color="auto" w:fill="C6EFCE"/>
            <w:noWrap/>
          </w:tcPr>
          <w:p w14:paraId="7DE92980"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734" w:type="dxa"/>
            <w:tcBorders>
              <w:top w:val="nil"/>
              <w:left w:val="nil"/>
              <w:bottom w:val="single" w:sz="4" w:space="0" w:color="000000" w:themeColor="text1"/>
              <w:right w:val="single" w:sz="4" w:space="0" w:color="000000" w:themeColor="text1"/>
            </w:tcBorders>
            <w:shd w:val="clear" w:color="auto" w:fill="C6EFCE"/>
            <w:noWrap/>
          </w:tcPr>
          <w:p w14:paraId="74E9FC52" w14:textId="018A8443" w:rsidR="00A17CA8" w:rsidRPr="0051384F" w:rsidRDefault="000A4520"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Утвърден анализ на работното натоварване на дирекция „Национален фонд“ и дирекция „Централно координационно звено“, влизане в сила на измененията в устройствения правилник на Изпълнителна агенция „Одит на средствата от ЕС“ и изпълнение на съответните препоръки</w:t>
            </w:r>
          </w:p>
        </w:tc>
        <w:tc>
          <w:tcPr>
            <w:tcW w:w="1417" w:type="dxa"/>
            <w:tcBorders>
              <w:top w:val="nil"/>
              <w:left w:val="nil"/>
              <w:bottom w:val="single" w:sz="4" w:space="0" w:color="000000" w:themeColor="text1"/>
              <w:right w:val="single" w:sz="4" w:space="0" w:color="000000" w:themeColor="text1"/>
            </w:tcBorders>
            <w:shd w:val="clear" w:color="auto" w:fill="C6EFCE"/>
            <w:noWrap/>
          </w:tcPr>
          <w:p w14:paraId="4F81DA7D" w14:textId="76589CB4" w:rsidR="00A17CA8" w:rsidRPr="0051384F" w:rsidRDefault="000A4520"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Анализът на работното натоварване на дирекция „Национален фонд“ и дирекция „Централно координационно звено“ е утвърден, измененията в устройствения правилник на Изпълнителна агенция „Одит на средствата от ЕС“ са внесени и съответните препоръки са изпълнени</w:t>
            </w:r>
          </w:p>
        </w:tc>
        <w:tc>
          <w:tcPr>
            <w:tcW w:w="993" w:type="dxa"/>
            <w:tcBorders>
              <w:top w:val="nil"/>
              <w:left w:val="nil"/>
              <w:bottom w:val="single" w:sz="4" w:space="0" w:color="000000" w:themeColor="text1"/>
              <w:right w:val="single" w:sz="4" w:space="0" w:color="000000" w:themeColor="text1"/>
            </w:tcBorders>
            <w:shd w:val="clear" w:color="auto" w:fill="C6EFCE"/>
            <w:noWrap/>
          </w:tcPr>
          <w:p w14:paraId="43A7BB43"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1134" w:type="dxa"/>
            <w:tcBorders>
              <w:top w:val="nil"/>
              <w:left w:val="nil"/>
              <w:bottom w:val="single" w:sz="4" w:space="0" w:color="000000" w:themeColor="text1"/>
              <w:right w:val="single" w:sz="4" w:space="0" w:color="000000" w:themeColor="text1"/>
            </w:tcBorders>
            <w:shd w:val="clear" w:color="auto" w:fill="C6EFCE"/>
            <w:noWrap/>
          </w:tcPr>
          <w:p w14:paraId="14C7C89E"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1134" w:type="dxa"/>
            <w:tcBorders>
              <w:top w:val="nil"/>
              <w:left w:val="nil"/>
              <w:bottom w:val="single" w:sz="4" w:space="0" w:color="000000" w:themeColor="text1"/>
              <w:right w:val="single" w:sz="4" w:space="0" w:color="000000" w:themeColor="text1"/>
            </w:tcBorders>
            <w:shd w:val="clear" w:color="auto" w:fill="C6EFCE"/>
            <w:noWrap/>
          </w:tcPr>
          <w:p w14:paraId="4F680F9E"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850" w:type="dxa"/>
            <w:tcBorders>
              <w:top w:val="nil"/>
              <w:left w:val="nil"/>
              <w:bottom w:val="single" w:sz="4" w:space="0" w:color="000000" w:themeColor="text1"/>
              <w:right w:val="single" w:sz="4" w:space="0" w:color="000000" w:themeColor="text1"/>
            </w:tcBorders>
            <w:shd w:val="clear" w:color="auto" w:fill="C6EFCE"/>
            <w:noWrap/>
          </w:tcPr>
          <w:p w14:paraId="662BFF68"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T2 </w:t>
            </w:r>
          </w:p>
        </w:tc>
        <w:tc>
          <w:tcPr>
            <w:tcW w:w="744" w:type="dxa"/>
            <w:tcBorders>
              <w:top w:val="nil"/>
              <w:left w:val="nil"/>
              <w:bottom w:val="single" w:sz="4" w:space="0" w:color="000000" w:themeColor="text1"/>
              <w:right w:val="single" w:sz="4" w:space="0" w:color="000000" w:themeColor="text1"/>
            </w:tcBorders>
            <w:shd w:val="clear" w:color="auto" w:fill="C6EFCE"/>
            <w:noWrap/>
          </w:tcPr>
          <w:p w14:paraId="40F21EE9"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2022</w:t>
            </w:r>
          </w:p>
        </w:tc>
        <w:tc>
          <w:tcPr>
            <w:tcW w:w="4359" w:type="dxa"/>
            <w:tcBorders>
              <w:top w:val="nil"/>
              <w:left w:val="nil"/>
              <w:bottom w:val="single" w:sz="4" w:space="0" w:color="000000" w:themeColor="text1"/>
              <w:right w:val="single" w:sz="4" w:space="0" w:color="000000" w:themeColor="text1"/>
            </w:tcBorders>
            <w:shd w:val="clear" w:color="auto" w:fill="C6EFCE"/>
            <w:noWrap/>
          </w:tcPr>
          <w:p w14:paraId="23989A3A" w14:textId="7BB99A2C" w:rsidR="00A17CA8" w:rsidRPr="0051384F" w:rsidRDefault="00A17CA8" w:rsidP="00576E40">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Извършва се анализ на работното натоварване на дирекция „Национален фонд“, дирекция „Централно координационно звено“ и на Изпълнителна агенция „Одит на средствата от ЕС“, като се отчита тежестта, произтичаща от изпълнението на плана за възстановяване и устойчивост и изменените функции и/или отговорности на двата органа. Анализът предоставя подходяща информация относно нуждите от административен капацитет и предлага набор от препоръки за справяне с недостатъчния капацитет, когато е необходимо, като използва наличните понастоящем ресурси и задачи като отправна точка. Решенията за разпределяне на необходимите ресурси и за влизане в сила на измененията на нормативни актове за двата органа се вземат въз основа на анализа и препоръките и преди първото искане за плащане.</w:t>
            </w:r>
          </w:p>
        </w:tc>
      </w:tr>
      <w:tr w:rsidR="007F2B35" w:rsidRPr="005241FC" w14:paraId="2821D141" w14:textId="77777777" w:rsidTr="00A80AF7">
        <w:trPr>
          <w:trHeight w:val="300"/>
          <w:jc w:val="right"/>
        </w:trPr>
        <w:tc>
          <w:tcPr>
            <w:tcW w:w="710" w:type="dxa"/>
            <w:tcBorders>
              <w:top w:val="nil"/>
              <w:left w:val="single" w:sz="4" w:space="0" w:color="000000" w:themeColor="text1"/>
              <w:bottom w:val="single" w:sz="4" w:space="0" w:color="000000" w:themeColor="text1"/>
              <w:right w:val="single" w:sz="4" w:space="0" w:color="000000" w:themeColor="text1"/>
            </w:tcBorders>
            <w:shd w:val="clear" w:color="auto" w:fill="C6EFCE"/>
            <w:noWrap/>
          </w:tcPr>
          <w:p w14:paraId="236431F6" w14:textId="4B060461" w:rsidR="00A17CA8" w:rsidRPr="0051384F" w:rsidRDefault="00C723AC"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283</w:t>
            </w:r>
          </w:p>
        </w:tc>
        <w:tc>
          <w:tcPr>
            <w:tcW w:w="1286" w:type="dxa"/>
            <w:tcBorders>
              <w:top w:val="nil"/>
              <w:left w:val="nil"/>
              <w:bottom w:val="single" w:sz="4" w:space="0" w:color="000000" w:themeColor="text1"/>
              <w:right w:val="single" w:sz="4" w:space="0" w:color="000000" w:themeColor="text1"/>
            </w:tcBorders>
            <w:shd w:val="clear" w:color="auto" w:fill="C6EFCE"/>
            <w:noWrap/>
          </w:tcPr>
          <w:p w14:paraId="55DD7405" w14:textId="221FFAF6" w:rsidR="00A17CA8" w:rsidRPr="0051384F" w:rsidRDefault="00772A3B"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К10.И11: Осигуряване на адекватна информационна и административна среда за изпълнение на Плана за възстановяване и устойчивост</w:t>
            </w:r>
          </w:p>
        </w:tc>
        <w:tc>
          <w:tcPr>
            <w:tcW w:w="1085" w:type="dxa"/>
            <w:tcBorders>
              <w:top w:val="nil"/>
              <w:left w:val="nil"/>
              <w:bottom w:val="single" w:sz="4" w:space="0" w:color="000000" w:themeColor="text1"/>
              <w:right w:val="single" w:sz="4" w:space="0" w:color="000000" w:themeColor="text1"/>
            </w:tcBorders>
            <w:shd w:val="clear" w:color="auto" w:fill="C6EFCE"/>
            <w:noWrap/>
          </w:tcPr>
          <w:p w14:paraId="2BB8D2DD"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Цел</w:t>
            </w:r>
          </w:p>
        </w:tc>
        <w:tc>
          <w:tcPr>
            <w:tcW w:w="1734" w:type="dxa"/>
            <w:tcBorders>
              <w:top w:val="nil"/>
              <w:left w:val="nil"/>
              <w:bottom w:val="single" w:sz="4" w:space="0" w:color="000000" w:themeColor="text1"/>
              <w:right w:val="single" w:sz="4" w:space="0" w:color="000000" w:themeColor="text1"/>
            </w:tcBorders>
            <w:shd w:val="clear" w:color="auto" w:fill="C6EFCE"/>
            <w:noWrap/>
          </w:tcPr>
          <w:p w14:paraId="6C7E231A"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Крайни получатели, обучени да подобрят капацитета си за възлагане на поръчки, включително този на възложителите</w:t>
            </w:r>
          </w:p>
        </w:tc>
        <w:tc>
          <w:tcPr>
            <w:tcW w:w="1417" w:type="dxa"/>
            <w:tcBorders>
              <w:top w:val="nil"/>
              <w:left w:val="nil"/>
              <w:bottom w:val="single" w:sz="4" w:space="0" w:color="000000" w:themeColor="text1"/>
              <w:right w:val="single" w:sz="4" w:space="0" w:color="000000" w:themeColor="text1"/>
            </w:tcBorders>
            <w:shd w:val="clear" w:color="auto" w:fill="C6EFCE"/>
            <w:noWrap/>
          </w:tcPr>
          <w:p w14:paraId="3E158CD7"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993" w:type="dxa"/>
            <w:tcBorders>
              <w:top w:val="nil"/>
              <w:left w:val="nil"/>
              <w:bottom w:val="single" w:sz="4" w:space="0" w:color="000000" w:themeColor="text1"/>
              <w:right w:val="single" w:sz="4" w:space="0" w:color="000000" w:themeColor="text1"/>
            </w:tcBorders>
            <w:shd w:val="clear" w:color="auto" w:fill="C6EFCE"/>
            <w:noWrap/>
          </w:tcPr>
          <w:p w14:paraId="5BC8D943"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Брой</w:t>
            </w:r>
          </w:p>
        </w:tc>
        <w:tc>
          <w:tcPr>
            <w:tcW w:w="1134" w:type="dxa"/>
            <w:tcBorders>
              <w:top w:val="nil"/>
              <w:left w:val="nil"/>
              <w:bottom w:val="single" w:sz="4" w:space="0" w:color="000000" w:themeColor="text1"/>
              <w:right w:val="single" w:sz="4" w:space="0" w:color="000000" w:themeColor="text1"/>
            </w:tcBorders>
            <w:shd w:val="clear" w:color="auto" w:fill="C6EFCE"/>
            <w:noWrap/>
          </w:tcPr>
          <w:p w14:paraId="4343D248"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0</w:t>
            </w:r>
          </w:p>
        </w:tc>
        <w:tc>
          <w:tcPr>
            <w:tcW w:w="1134" w:type="dxa"/>
            <w:tcBorders>
              <w:top w:val="nil"/>
              <w:left w:val="nil"/>
              <w:bottom w:val="single" w:sz="4" w:space="0" w:color="000000" w:themeColor="text1"/>
              <w:right w:val="single" w:sz="4" w:space="0" w:color="000000" w:themeColor="text1"/>
            </w:tcBorders>
            <w:shd w:val="clear" w:color="auto" w:fill="C6EFCE"/>
            <w:noWrap/>
          </w:tcPr>
          <w:p w14:paraId="1BE6E010"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800</w:t>
            </w:r>
          </w:p>
        </w:tc>
        <w:tc>
          <w:tcPr>
            <w:tcW w:w="850" w:type="dxa"/>
            <w:tcBorders>
              <w:top w:val="nil"/>
              <w:left w:val="nil"/>
              <w:bottom w:val="single" w:sz="4" w:space="0" w:color="000000" w:themeColor="text1"/>
              <w:right w:val="single" w:sz="4" w:space="0" w:color="000000" w:themeColor="text1"/>
            </w:tcBorders>
            <w:shd w:val="clear" w:color="auto" w:fill="C6EFCE"/>
            <w:noWrap/>
          </w:tcPr>
          <w:p w14:paraId="032E795E"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T4</w:t>
            </w:r>
          </w:p>
        </w:tc>
        <w:tc>
          <w:tcPr>
            <w:tcW w:w="744" w:type="dxa"/>
            <w:tcBorders>
              <w:top w:val="nil"/>
              <w:left w:val="nil"/>
              <w:bottom w:val="single" w:sz="4" w:space="0" w:color="000000" w:themeColor="text1"/>
              <w:right w:val="single" w:sz="4" w:space="0" w:color="000000" w:themeColor="text1"/>
            </w:tcBorders>
            <w:shd w:val="clear" w:color="auto" w:fill="C6EFCE"/>
            <w:noWrap/>
          </w:tcPr>
          <w:p w14:paraId="28F2BD6D"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2022</w:t>
            </w:r>
          </w:p>
        </w:tc>
        <w:tc>
          <w:tcPr>
            <w:tcW w:w="4359" w:type="dxa"/>
            <w:tcBorders>
              <w:top w:val="nil"/>
              <w:left w:val="nil"/>
              <w:bottom w:val="single" w:sz="4" w:space="0" w:color="000000" w:themeColor="text1"/>
              <w:right w:val="single" w:sz="4" w:space="0" w:color="000000" w:themeColor="text1"/>
            </w:tcBorders>
            <w:shd w:val="clear" w:color="auto" w:fill="C6EFCE"/>
            <w:noWrap/>
          </w:tcPr>
          <w:p w14:paraId="0359D3DF" w14:textId="77777777" w:rsidR="00A17CA8" w:rsidRPr="0051384F" w:rsidRDefault="00A17CA8" w:rsidP="00576E40">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Очаква се слабостите при организирането на процедурите за възлагане на обществени поръчки да бъдат отстранени чрез обученията, водещи до сертифициране. При обученията се дава приоритет на служители на общините, бюджетни оператори и държавни или контролирани от държавата дружества, по-специално на тези с отговорности, свързани с изпълнението на плана за възстановяване и устойчивост.</w:t>
            </w:r>
          </w:p>
        </w:tc>
      </w:tr>
      <w:tr w:rsidR="007F2B35" w:rsidRPr="005241FC" w14:paraId="6F3E3F2B" w14:textId="77777777" w:rsidTr="00A80AF7">
        <w:trPr>
          <w:trHeight w:val="300"/>
          <w:jc w:val="right"/>
        </w:trPr>
        <w:tc>
          <w:tcPr>
            <w:tcW w:w="710" w:type="dxa"/>
            <w:tcBorders>
              <w:top w:val="nil"/>
              <w:left w:val="single" w:sz="4" w:space="0" w:color="000000" w:themeColor="text1"/>
              <w:bottom w:val="single" w:sz="4" w:space="0" w:color="000000" w:themeColor="text1"/>
              <w:right w:val="single" w:sz="4" w:space="0" w:color="000000" w:themeColor="text1"/>
            </w:tcBorders>
            <w:shd w:val="clear" w:color="auto" w:fill="C6EFCE"/>
            <w:noWrap/>
            <w:hideMark/>
          </w:tcPr>
          <w:p w14:paraId="346569C7" w14:textId="51B0CC31" w:rsidR="00A17CA8" w:rsidRPr="0051384F" w:rsidRDefault="00401D06"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284</w:t>
            </w:r>
          </w:p>
        </w:tc>
        <w:tc>
          <w:tcPr>
            <w:tcW w:w="1286" w:type="dxa"/>
            <w:tcBorders>
              <w:top w:val="nil"/>
              <w:left w:val="nil"/>
              <w:bottom w:val="single" w:sz="4" w:space="0" w:color="000000" w:themeColor="text1"/>
              <w:right w:val="single" w:sz="4" w:space="0" w:color="000000" w:themeColor="text1"/>
            </w:tcBorders>
            <w:shd w:val="clear" w:color="auto" w:fill="C6EFCE"/>
            <w:noWrap/>
            <w:hideMark/>
          </w:tcPr>
          <w:p w14:paraId="3197D5DB" w14:textId="3F2E7EB4" w:rsidR="00A17CA8" w:rsidRPr="0051384F" w:rsidRDefault="00772A3B"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К10.И11: Осигуряване на адекватна информационна и административна среда за изпълнение на Плана за възстановяване и устойчивост</w:t>
            </w:r>
          </w:p>
        </w:tc>
        <w:tc>
          <w:tcPr>
            <w:tcW w:w="1085" w:type="dxa"/>
            <w:tcBorders>
              <w:top w:val="nil"/>
              <w:left w:val="nil"/>
              <w:bottom w:val="single" w:sz="4" w:space="0" w:color="000000" w:themeColor="text1"/>
              <w:right w:val="single" w:sz="4" w:space="0" w:color="000000" w:themeColor="text1"/>
            </w:tcBorders>
            <w:shd w:val="clear" w:color="auto" w:fill="C6EFCE"/>
            <w:noWrap/>
            <w:hideMark/>
          </w:tcPr>
          <w:p w14:paraId="28F3EEE1"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Цел</w:t>
            </w:r>
          </w:p>
        </w:tc>
        <w:tc>
          <w:tcPr>
            <w:tcW w:w="1734" w:type="dxa"/>
            <w:tcBorders>
              <w:top w:val="nil"/>
              <w:left w:val="nil"/>
              <w:bottom w:val="single" w:sz="4" w:space="0" w:color="000000" w:themeColor="text1"/>
              <w:right w:val="single" w:sz="4" w:space="0" w:color="000000" w:themeColor="text1"/>
            </w:tcBorders>
            <w:shd w:val="clear" w:color="auto" w:fill="C6EFCE"/>
            <w:noWrap/>
            <w:hideMark/>
          </w:tcPr>
          <w:p w14:paraId="311FE9AF" w14:textId="4D99FD4B"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Актуализиране на видеонаръчниците, за да се обхванат изцяло всички работни процеси на информационната система за възстановяване и устойчивост</w:t>
            </w:r>
          </w:p>
        </w:tc>
        <w:tc>
          <w:tcPr>
            <w:tcW w:w="1417" w:type="dxa"/>
            <w:tcBorders>
              <w:top w:val="nil"/>
              <w:left w:val="nil"/>
              <w:bottom w:val="single" w:sz="4" w:space="0" w:color="000000" w:themeColor="text1"/>
              <w:right w:val="single" w:sz="4" w:space="0" w:color="000000" w:themeColor="text1"/>
            </w:tcBorders>
            <w:shd w:val="clear" w:color="auto" w:fill="C6EFCE"/>
            <w:noWrap/>
            <w:hideMark/>
          </w:tcPr>
          <w:p w14:paraId="30549E0A"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993" w:type="dxa"/>
            <w:tcBorders>
              <w:top w:val="nil"/>
              <w:left w:val="nil"/>
              <w:bottom w:val="single" w:sz="4" w:space="0" w:color="000000" w:themeColor="text1"/>
              <w:right w:val="single" w:sz="4" w:space="0" w:color="000000" w:themeColor="text1"/>
            </w:tcBorders>
            <w:shd w:val="clear" w:color="auto" w:fill="C6EFCE"/>
            <w:noWrap/>
            <w:hideMark/>
          </w:tcPr>
          <w:p w14:paraId="393FB9B4"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Брой</w:t>
            </w:r>
          </w:p>
        </w:tc>
        <w:tc>
          <w:tcPr>
            <w:tcW w:w="1134" w:type="dxa"/>
            <w:tcBorders>
              <w:top w:val="nil"/>
              <w:left w:val="nil"/>
              <w:bottom w:val="single" w:sz="4" w:space="0" w:color="000000" w:themeColor="text1"/>
              <w:right w:val="single" w:sz="4" w:space="0" w:color="000000" w:themeColor="text1"/>
            </w:tcBorders>
            <w:shd w:val="clear" w:color="auto" w:fill="C6EFCE"/>
            <w:noWrap/>
            <w:hideMark/>
          </w:tcPr>
          <w:p w14:paraId="5CC40096"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36</w:t>
            </w:r>
          </w:p>
        </w:tc>
        <w:tc>
          <w:tcPr>
            <w:tcW w:w="1134" w:type="dxa"/>
            <w:tcBorders>
              <w:top w:val="nil"/>
              <w:left w:val="nil"/>
              <w:bottom w:val="single" w:sz="4" w:space="0" w:color="000000" w:themeColor="text1"/>
              <w:right w:val="single" w:sz="4" w:space="0" w:color="000000" w:themeColor="text1"/>
            </w:tcBorders>
            <w:shd w:val="clear" w:color="auto" w:fill="C6EFCE"/>
            <w:noWrap/>
            <w:hideMark/>
          </w:tcPr>
          <w:p w14:paraId="66575E4B"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72</w:t>
            </w:r>
          </w:p>
        </w:tc>
        <w:tc>
          <w:tcPr>
            <w:tcW w:w="850" w:type="dxa"/>
            <w:tcBorders>
              <w:top w:val="nil"/>
              <w:left w:val="nil"/>
              <w:bottom w:val="single" w:sz="4" w:space="0" w:color="000000" w:themeColor="text1"/>
              <w:right w:val="single" w:sz="4" w:space="0" w:color="000000" w:themeColor="text1"/>
            </w:tcBorders>
            <w:shd w:val="clear" w:color="auto" w:fill="C6EFCE"/>
            <w:noWrap/>
            <w:hideMark/>
          </w:tcPr>
          <w:p w14:paraId="40C9615A"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T1</w:t>
            </w:r>
          </w:p>
        </w:tc>
        <w:tc>
          <w:tcPr>
            <w:tcW w:w="744" w:type="dxa"/>
            <w:tcBorders>
              <w:top w:val="nil"/>
              <w:left w:val="nil"/>
              <w:bottom w:val="single" w:sz="4" w:space="0" w:color="000000" w:themeColor="text1"/>
              <w:right w:val="single" w:sz="4" w:space="0" w:color="000000" w:themeColor="text1"/>
            </w:tcBorders>
            <w:shd w:val="clear" w:color="auto" w:fill="C6EFCE"/>
            <w:noWrap/>
            <w:hideMark/>
          </w:tcPr>
          <w:p w14:paraId="08A88813"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2023</w:t>
            </w:r>
          </w:p>
        </w:tc>
        <w:tc>
          <w:tcPr>
            <w:tcW w:w="4359" w:type="dxa"/>
            <w:tcBorders>
              <w:top w:val="nil"/>
              <w:left w:val="nil"/>
              <w:bottom w:val="single" w:sz="4" w:space="0" w:color="000000" w:themeColor="text1"/>
              <w:right w:val="single" w:sz="4" w:space="0" w:color="000000" w:themeColor="text1"/>
            </w:tcBorders>
            <w:shd w:val="clear" w:color="auto" w:fill="C6EFCE"/>
            <w:noWrap/>
            <w:hideMark/>
          </w:tcPr>
          <w:p w14:paraId="4478F43A" w14:textId="4928EDBB" w:rsidR="00A17CA8" w:rsidRPr="0051384F" w:rsidRDefault="00A17CA8" w:rsidP="00576E40">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Видеоръководствата, създадени за системата за управление и контрол на ПВУ, ще претърпят някои изменения, за да се отразят актуализираните нови функционалности и подобрените работни процеси на новата система. Очаква се тези актуализации да отразяват както промените в работните процесите, така и/или изискванията в работата на потребителите от страна на органите за управление и контрол, и да представят визуално най-често срещаните грешки. Във връзка с това се извършват 36 допълнителни актуализации на видеоръководствата за функционирането на системата.</w:t>
            </w:r>
          </w:p>
        </w:tc>
      </w:tr>
      <w:tr w:rsidR="007F2B35" w:rsidRPr="005241FC" w14:paraId="2E71D2B3" w14:textId="77777777" w:rsidTr="00A80AF7">
        <w:trPr>
          <w:trHeight w:val="300"/>
          <w:jc w:val="right"/>
        </w:trPr>
        <w:tc>
          <w:tcPr>
            <w:tcW w:w="710" w:type="dxa"/>
            <w:tcBorders>
              <w:top w:val="nil"/>
              <w:left w:val="single" w:sz="4" w:space="0" w:color="000000" w:themeColor="text1"/>
              <w:bottom w:val="single" w:sz="4" w:space="0" w:color="000000" w:themeColor="text1"/>
              <w:right w:val="single" w:sz="4" w:space="0" w:color="000000" w:themeColor="text1"/>
            </w:tcBorders>
            <w:shd w:val="clear" w:color="auto" w:fill="C6EFCE"/>
            <w:noWrap/>
            <w:hideMark/>
          </w:tcPr>
          <w:p w14:paraId="420A3641" w14:textId="545A6627" w:rsidR="00A17CA8" w:rsidRPr="0051384F" w:rsidRDefault="00C723AC"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285</w:t>
            </w:r>
          </w:p>
        </w:tc>
        <w:tc>
          <w:tcPr>
            <w:tcW w:w="1286" w:type="dxa"/>
            <w:tcBorders>
              <w:top w:val="nil"/>
              <w:left w:val="nil"/>
              <w:bottom w:val="single" w:sz="4" w:space="0" w:color="000000" w:themeColor="text1"/>
              <w:right w:val="single" w:sz="4" w:space="0" w:color="000000" w:themeColor="text1"/>
            </w:tcBorders>
            <w:shd w:val="clear" w:color="auto" w:fill="C6EFCE"/>
            <w:noWrap/>
            <w:hideMark/>
          </w:tcPr>
          <w:p w14:paraId="1CD0292B" w14:textId="4C501707" w:rsidR="00A17CA8" w:rsidRPr="0051384F" w:rsidRDefault="00772A3B"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К10.И11: Осигуряване на адекватна информационна и административна среда за изпълнение на Плана за възстановяване и устойчивост</w:t>
            </w:r>
          </w:p>
        </w:tc>
        <w:tc>
          <w:tcPr>
            <w:tcW w:w="1085" w:type="dxa"/>
            <w:tcBorders>
              <w:top w:val="nil"/>
              <w:left w:val="nil"/>
              <w:bottom w:val="single" w:sz="4" w:space="0" w:color="000000" w:themeColor="text1"/>
              <w:right w:val="single" w:sz="4" w:space="0" w:color="000000" w:themeColor="text1"/>
            </w:tcBorders>
            <w:shd w:val="clear" w:color="auto" w:fill="C6EFCE"/>
            <w:noWrap/>
            <w:hideMark/>
          </w:tcPr>
          <w:p w14:paraId="78C80A05"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Цел</w:t>
            </w:r>
          </w:p>
        </w:tc>
        <w:tc>
          <w:tcPr>
            <w:tcW w:w="1734" w:type="dxa"/>
            <w:tcBorders>
              <w:top w:val="nil"/>
              <w:left w:val="nil"/>
              <w:bottom w:val="single" w:sz="4" w:space="0" w:color="000000" w:themeColor="text1"/>
              <w:right w:val="single" w:sz="4" w:space="0" w:color="000000" w:themeColor="text1"/>
            </w:tcBorders>
            <w:shd w:val="clear" w:color="auto" w:fill="C6EFCE"/>
            <w:noWrap/>
            <w:hideMark/>
          </w:tcPr>
          <w:p w14:paraId="2D3552E2"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Крайни получатели, преминали обучение за гарантиране на капацитет за изпълнение на плана за възстановяване и устойчивост</w:t>
            </w:r>
          </w:p>
        </w:tc>
        <w:tc>
          <w:tcPr>
            <w:tcW w:w="1417" w:type="dxa"/>
            <w:tcBorders>
              <w:top w:val="nil"/>
              <w:left w:val="nil"/>
              <w:bottom w:val="single" w:sz="4" w:space="0" w:color="000000" w:themeColor="text1"/>
              <w:right w:val="single" w:sz="4" w:space="0" w:color="000000" w:themeColor="text1"/>
            </w:tcBorders>
            <w:shd w:val="clear" w:color="auto" w:fill="C6EFCE"/>
            <w:noWrap/>
            <w:hideMark/>
          </w:tcPr>
          <w:p w14:paraId="71B985AF" w14:textId="77777777" w:rsidR="00A17CA8" w:rsidRPr="008A0F8A" w:rsidRDefault="00A17CA8" w:rsidP="00576E40">
            <w:pPr>
              <w:spacing w:after="0" w:line="240" w:lineRule="auto"/>
              <w:rPr>
                <w:rFonts w:ascii="Times New Roman" w:eastAsia="Times New Roman" w:hAnsi="Times New Roman" w:cs="Times New Roman"/>
                <w:noProof/>
                <w:color w:val="006100"/>
                <w:sz w:val="20"/>
                <w:szCs w:val="20"/>
                <w:lang w:val="ru-RU" w:eastAsia="en-GB"/>
              </w:rPr>
            </w:pPr>
          </w:p>
        </w:tc>
        <w:tc>
          <w:tcPr>
            <w:tcW w:w="993" w:type="dxa"/>
            <w:tcBorders>
              <w:top w:val="nil"/>
              <w:left w:val="nil"/>
              <w:bottom w:val="single" w:sz="4" w:space="0" w:color="000000" w:themeColor="text1"/>
              <w:right w:val="single" w:sz="4" w:space="0" w:color="000000" w:themeColor="text1"/>
            </w:tcBorders>
            <w:shd w:val="clear" w:color="auto" w:fill="C6EFCE"/>
            <w:noWrap/>
            <w:hideMark/>
          </w:tcPr>
          <w:p w14:paraId="754A85C1"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Брой</w:t>
            </w:r>
          </w:p>
        </w:tc>
        <w:tc>
          <w:tcPr>
            <w:tcW w:w="1134" w:type="dxa"/>
            <w:tcBorders>
              <w:top w:val="nil"/>
              <w:left w:val="nil"/>
              <w:bottom w:val="single" w:sz="4" w:space="0" w:color="000000" w:themeColor="text1"/>
              <w:right w:val="single" w:sz="4" w:space="0" w:color="000000" w:themeColor="text1"/>
            </w:tcBorders>
            <w:shd w:val="clear" w:color="auto" w:fill="C6EFCE"/>
            <w:noWrap/>
            <w:hideMark/>
          </w:tcPr>
          <w:p w14:paraId="46FA2EA1"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0</w:t>
            </w:r>
          </w:p>
        </w:tc>
        <w:tc>
          <w:tcPr>
            <w:tcW w:w="1134" w:type="dxa"/>
            <w:tcBorders>
              <w:top w:val="nil"/>
              <w:left w:val="nil"/>
              <w:bottom w:val="single" w:sz="4" w:space="0" w:color="000000" w:themeColor="text1"/>
              <w:right w:val="single" w:sz="4" w:space="0" w:color="000000" w:themeColor="text1"/>
            </w:tcBorders>
            <w:shd w:val="clear" w:color="auto" w:fill="C6EFCE"/>
            <w:noWrap/>
            <w:hideMark/>
          </w:tcPr>
          <w:p w14:paraId="06DBB786"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350</w:t>
            </w:r>
          </w:p>
        </w:tc>
        <w:tc>
          <w:tcPr>
            <w:tcW w:w="850" w:type="dxa"/>
            <w:tcBorders>
              <w:top w:val="nil"/>
              <w:left w:val="nil"/>
              <w:bottom w:val="single" w:sz="4" w:space="0" w:color="000000" w:themeColor="text1"/>
              <w:right w:val="single" w:sz="4" w:space="0" w:color="000000" w:themeColor="text1"/>
            </w:tcBorders>
            <w:shd w:val="clear" w:color="auto" w:fill="C6EFCE"/>
            <w:noWrap/>
            <w:hideMark/>
          </w:tcPr>
          <w:p w14:paraId="361C4BC6"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T4</w:t>
            </w:r>
          </w:p>
        </w:tc>
        <w:tc>
          <w:tcPr>
            <w:tcW w:w="744" w:type="dxa"/>
            <w:tcBorders>
              <w:top w:val="nil"/>
              <w:left w:val="nil"/>
              <w:bottom w:val="single" w:sz="4" w:space="0" w:color="000000" w:themeColor="text1"/>
              <w:right w:val="single" w:sz="4" w:space="0" w:color="000000" w:themeColor="text1"/>
            </w:tcBorders>
            <w:shd w:val="clear" w:color="auto" w:fill="C6EFCE"/>
            <w:noWrap/>
            <w:hideMark/>
          </w:tcPr>
          <w:p w14:paraId="7693B854" w14:textId="77777777" w:rsidR="00A17CA8" w:rsidRPr="0051384F" w:rsidRDefault="00A17CA8" w:rsidP="00576E40">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2025</w:t>
            </w:r>
          </w:p>
        </w:tc>
        <w:tc>
          <w:tcPr>
            <w:tcW w:w="4359" w:type="dxa"/>
            <w:tcBorders>
              <w:top w:val="nil"/>
              <w:left w:val="nil"/>
              <w:bottom w:val="single" w:sz="4" w:space="0" w:color="000000" w:themeColor="text1"/>
              <w:right w:val="single" w:sz="4" w:space="0" w:color="000000" w:themeColor="text1"/>
            </w:tcBorders>
            <w:shd w:val="clear" w:color="auto" w:fill="C6EFCE"/>
            <w:noWrap/>
            <w:hideMark/>
          </w:tcPr>
          <w:p w14:paraId="1C1360B5" w14:textId="26E9078D" w:rsidR="00A17CA8" w:rsidRPr="0051384F" w:rsidRDefault="00A17CA8" w:rsidP="00BA0417">
            <w:pPr>
              <w:spacing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Специални обучения за крайните получатели във връзка с мониторинга и докладването, обмена на най-добри практики, обсъждане на практически въпроси и проблеми, срещани в процеса на управление и докладване на дейностите по МВУ. Очаква се обученията да допринесат за ефективното и ефикасно изпълнение на инвестициите/проектите по ПВУ и за постигането на ключовите етапи и целите. Екипът за обучения на дирекция „Национален фонд“ се подготвя в рамките на проект „Обща техническа помощ за изпълнение на ПВУ на България“. Основната част от обученията ще бъдат проведени в периода 2023—2025 г.</w:t>
            </w:r>
          </w:p>
        </w:tc>
      </w:tr>
    </w:tbl>
    <w:p w14:paraId="0997C421" w14:textId="549B6421" w:rsidR="0006128B" w:rsidRPr="00562D16" w:rsidRDefault="00576E40" w:rsidP="000D78BC">
      <w:pPr>
        <w:keepNext/>
        <w:tabs>
          <w:tab w:val="left" w:pos="850"/>
        </w:tabs>
        <w:spacing w:before="360" w:after="120" w:line="240" w:lineRule="auto"/>
        <w:jc w:val="both"/>
        <w:outlineLvl w:val="0"/>
        <w:rPr>
          <w:rFonts w:ascii="Times New Roman" w:eastAsia="Calibri" w:hAnsi="Times New Roman" w:cs="Times New Roman"/>
          <w:iCs/>
          <w:noProof/>
          <w:color w:val="4F81BD"/>
          <w:sz w:val="24"/>
        </w:rPr>
        <w:sectPr w:rsidR="0006128B" w:rsidRPr="00562D16" w:rsidSect="00B60432">
          <w:headerReference w:type="even" r:id="rId132"/>
          <w:headerReference w:type="default" r:id="rId133"/>
          <w:footerReference w:type="even" r:id="rId134"/>
          <w:footerReference w:type="default" r:id="rId135"/>
          <w:headerReference w:type="first" r:id="rId136"/>
          <w:footerReference w:type="first" r:id="rId137"/>
          <w:pgSz w:w="16839" w:h="11907" w:orient="landscape"/>
          <w:pgMar w:top="1417" w:right="1134" w:bottom="1417" w:left="1134" w:header="709" w:footer="709" w:gutter="0"/>
          <w:cols w:space="720"/>
          <w:docGrid w:linePitch="360"/>
        </w:sectPr>
      </w:pPr>
      <w:r>
        <w:rPr>
          <w:noProof/>
        </w:rPr>
        <w:br w:type="textWrapping" w:clear="all"/>
      </w:r>
    </w:p>
    <w:p w14:paraId="14962411" w14:textId="77777777" w:rsidR="00DA604C" w:rsidRPr="00562D16" w:rsidRDefault="00DA604C" w:rsidP="009902CB">
      <w:pPr>
        <w:keepNext/>
        <w:tabs>
          <w:tab w:val="left" w:pos="850"/>
        </w:tabs>
        <w:spacing w:before="360" w:after="120" w:line="240" w:lineRule="auto"/>
        <w:ind w:left="850" w:firstLine="1"/>
        <w:jc w:val="both"/>
        <w:outlineLvl w:val="0"/>
        <w:rPr>
          <w:rFonts w:ascii="Times New Roman" w:eastAsia="Calibri" w:hAnsi="Times New Roman" w:cs="Times New Roman"/>
          <w:b/>
          <w:bCs/>
          <w:smallCaps/>
          <w:noProof/>
          <w:sz w:val="24"/>
          <w:szCs w:val="24"/>
        </w:rPr>
      </w:pPr>
      <w:r>
        <w:rPr>
          <w:rFonts w:ascii="Times New Roman" w:hAnsi="Times New Roman"/>
          <w:b/>
          <w:smallCaps/>
          <w:noProof/>
          <w:sz w:val="24"/>
        </w:rPr>
        <w:t>К. КОМПОНЕНТ 11: Социално приобщаване</w:t>
      </w:r>
    </w:p>
    <w:p w14:paraId="5EF25BAB" w14:textId="77777777" w:rsidR="00DA604C" w:rsidRPr="00562D16" w:rsidRDefault="00DA604C" w:rsidP="00DA604C">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 xml:space="preserve">Този компонент на българския план за възстановяване и устойчивост има за цел да насърчи социалното приобщаване чрез: </w:t>
      </w:r>
    </w:p>
    <w:p w14:paraId="12B39181" w14:textId="77777777" w:rsidR="00DA604C" w:rsidRPr="00562D16" w:rsidRDefault="00DA604C" w:rsidP="00A17CA8">
      <w:pPr>
        <w:pStyle w:val="ListParagraph"/>
        <w:numPr>
          <w:ilvl w:val="0"/>
          <w:numId w:val="55"/>
        </w:num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 xml:space="preserve">подобряване на социалната закрила и предоставянето на услуги. Това включва реформа на схемата за минимален доход и разработване на нови инструменти за Агенцията за социално подпомагане и за Агенцията по заетостта; </w:t>
      </w:r>
    </w:p>
    <w:p w14:paraId="0DE1C84D" w14:textId="77777777" w:rsidR="00DA604C" w:rsidRPr="00562D16" w:rsidRDefault="00DA604C" w:rsidP="00A17CA8">
      <w:pPr>
        <w:pStyle w:val="ListParagraph"/>
        <w:numPr>
          <w:ilvl w:val="0"/>
          <w:numId w:val="55"/>
        </w:num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 xml:space="preserve">реформа на предоставянето на дългосрочни грижи в България в съответствие с Общите европейски насоки за преход от институционални грижи към грижи в общността, както и с Конвенцията на ООН за правата на хората с увреждания. В допълнение, лицата с трайни увреждания ще бъдат подпомагани посредством осигуряване на помощни средства за насърчаване на тяхната мобилност и независим живот; </w:t>
      </w:r>
    </w:p>
    <w:p w14:paraId="29CDDB8F" w14:textId="05C9AF54" w:rsidR="00DA604C" w:rsidRPr="00562D16" w:rsidRDefault="00DA604C" w:rsidP="00A17CA8">
      <w:pPr>
        <w:pStyle w:val="ListParagraph"/>
        <w:numPr>
          <w:ilvl w:val="0"/>
          <w:numId w:val="55"/>
        </w:num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 xml:space="preserve">насърчаване на социалната икономика, както и културния и творческия сектори. Това се постига чрез строителството на фокус-точки за социалната и солидарната икономи, които предоставят инструменти за подкрепа на социалните предприятия, чрез създаване на схеми за безвъзмездни средства за културния и творческия сектори и чрез цифровизация съдържанието на музеите, библиотеките и архивите. </w:t>
      </w:r>
    </w:p>
    <w:p w14:paraId="596CCF85" w14:textId="77777777" w:rsidR="00DA604C" w:rsidRPr="00562D16" w:rsidRDefault="00DA604C" w:rsidP="00DA604C">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 xml:space="preserve">Компонентът обхваща две реформи и седем инвестиции и допринася за преодоляване на предизвикателствата, определени в специфичните за държавата препоръки, особено препоръките за преодоляване на недостатъците на схемата за минимален доход (специфична за държавата препоръка 2 2020 г. и 4 2019 г.), както и за подобряване на достъпа до интегрирани услуги по заетостта и социални услуги (специфична за държавата препоръка 4 2019 г.). </w:t>
      </w:r>
    </w:p>
    <w:p w14:paraId="3E62019A" w14:textId="77777777" w:rsidR="00DA604C" w:rsidRPr="00562D16" w:rsidRDefault="00DA604C" w:rsidP="00DA604C">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Очаква се, че нито една мярка в този компонент не вреди в значителна степен на екологичните цели по смисъла на член 17 от Регламент (ЕС) 2020/852, като се вземат предвид описанието на мерките и стъпките за смекчаване на последиците, определени в плана за възстановяване и устойчивост в съответствие с Техническите насоки на принципа за ненанасяне на значителни вреди (ПНЗВ) (2021/C58/01).</w:t>
      </w:r>
    </w:p>
    <w:p w14:paraId="50E43415" w14:textId="77777777" w:rsidR="00DA604C" w:rsidRPr="00562D16" w:rsidRDefault="00DA604C" w:rsidP="00DA604C">
      <w:pPr>
        <w:spacing w:before="120" w:after="120" w:line="240" w:lineRule="auto"/>
        <w:ind w:left="850"/>
        <w:jc w:val="both"/>
        <w:rPr>
          <w:rFonts w:ascii="Times New Roman" w:eastAsia="Calibri" w:hAnsi="Times New Roman" w:cs="Times New Roman"/>
          <w:b/>
          <w:bCs/>
          <w:i/>
          <w:iCs/>
          <w:noProof/>
          <w:color w:val="4F81BD"/>
          <w:sz w:val="24"/>
          <w:szCs w:val="24"/>
        </w:rPr>
      </w:pPr>
      <w:r>
        <w:rPr>
          <w:rFonts w:ascii="Times New Roman" w:hAnsi="Times New Roman"/>
          <w:b/>
          <w:noProof/>
          <w:sz w:val="24"/>
          <w:u w:val="single"/>
        </w:rPr>
        <w:t xml:space="preserve">K.1 </w:t>
      </w:r>
      <w:r>
        <w:rPr>
          <w:rFonts w:ascii="Times New Roman" w:hAnsi="Times New Roman"/>
          <w:b/>
          <w:noProof/>
          <w:sz w:val="24"/>
          <w:u w:val="single"/>
        </w:rPr>
        <w:tab/>
        <w:t>Описание на реформите и инвестициите за безвъзмездна финансова подкрепа</w:t>
      </w:r>
    </w:p>
    <w:p w14:paraId="5DAED9E0" w14:textId="4C8A2FDD" w:rsidR="00DA604C" w:rsidRPr="00562D16" w:rsidRDefault="00DA604C" w:rsidP="00DA604C">
      <w:pPr>
        <w:spacing w:before="120" w:after="120" w:line="240" w:lineRule="auto"/>
        <w:ind w:left="850"/>
        <w:jc w:val="both"/>
        <w:rPr>
          <w:rFonts w:ascii="Times New Roman" w:eastAsia="Calibri" w:hAnsi="Times New Roman" w:cs="Times New Roman"/>
          <w:noProof/>
          <w:sz w:val="24"/>
          <w:szCs w:val="24"/>
          <w:u w:val="single"/>
        </w:rPr>
      </w:pPr>
      <w:r>
        <w:rPr>
          <w:rFonts w:ascii="Times New Roman" w:hAnsi="Times New Roman"/>
          <w:noProof/>
          <w:sz w:val="24"/>
          <w:u w:val="single"/>
        </w:rPr>
        <w:t>Реформа 1 (C11.R1): Реформа на схемата за минимален доход</w:t>
      </w:r>
    </w:p>
    <w:p w14:paraId="17E954D2" w14:textId="77777777" w:rsidR="00DA604C" w:rsidRPr="00562D16" w:rsidRDefault="00DA604C" w:rsidP="00DA604C">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 xml:space="preserve">Реформата на схемата за минимален доход има за цел да подобри адекватността и обхвата ѝ. </w:t>
      </w:r>
    </w:p>
    <w:p w14:paraId="6D67CC16" w14:textId="77777777" w:rsidR="00DA604C" w:rsidRPr="00562D16" w:rsidRDefault="00DA604C" w:rsidP="00DA604C">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 xml:space="preserve">Реформата обхваща влизането в сила на Кодекса за социално подпомагане и изменения на вторичното законодателство с цел: създаване на механизъм за автоматично годишно актуализиране на схемата за минимален доход въз основа на прага на риска от изпадане в бедност и да се изменят критериите за допустимост до схемата за минимален доход Изплащането на минималния доход се финансира от държавния бюджет на България. </w:t>
      </w:r>
    </w:p>
    <w:p w14:paraId="420D52FD" w14:textId="4E6DA30F" w:rsidR="00DA604C" w:rsidRPr="00562D16" w:rsidRDefault="00DA604C" w:rsidP="00DA604C">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Реформата също така изменя Закона за насърчаване на заетостта, като въвежда определение за „икономически неактивен“ и набор от дейности, насочени към активизиране на икономически неактивните лица.</w:t>
      </w:r>
    </w:p>
    <w:p w14:paraId="14359C70" w14:textId="77777777" w:rsidR="00DA604C" w:rsidRPr="00562D16" w:rsidRDefault="00DA604C" w:rsidP="00DA604C">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Изпълнението на реформата ще приключи до 31 декември 2024 г.</w:t>
      </w:r>
    </w:p>
    <w:p w14:paraId="67BF3712" w14:textId="16133715" w:rsidR="00DA604C" w:rsidRPr="00562D16" w:rsidRDefault="00DA604C" w:rsidP="00DA604C">
      <w:pPr>
        <w:spacing w:before="120" w:after="120" w:line="240" w:lineRule="auto"/>
        <w:ind w:left="850"/>
        <w:jc w:val="both"/>
        <w:rPr>
          <w:rFonts w:ascii="Times New Roman" w:eastAsia="Calibri" w:hAnsi="Times New Roman" w:cs="Times New Roman"/>
          <w:noProof/>
          <w:sz w:val="24"/>
          <w:szCs w:val="24"/>
          <w:u w:val="single"/>
        </w:rPr>
      </w:pPr>
      <w:r>
        <w:rPr>
          <w:rFonts w:ascii="Times New Roman" w:hAnsi="Times New Roman"/>
          <w:noProof/>
          <w:sz w:val="24"/>
          <w:u w:val="single"/>
        </w:rPr>
        <w:t>Реформа 2 (C11.R2): Реформа на социалните услуги</w:t>
      </w:r>
    </w:p>
    <w:p w14:paraId="2DB0AB32" w14:textId="77777777" w:rsidR="00DA604C" w:rsidRPr="00562D16" w:rsidRDefault="00DA604C" w:rsidP="00DA604C">
      <w:pPr>
        <w:spacing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Целта на реформата е да се подобри предоставянето на социални услуги, включително дългосрочни грижи, в България, в съответствие с Общите европейски насоки за преход от институционални грижи към грижи в общността, Европейската стратегия за хората с увреждания за периода 2021—2030 г. и Конвенцията на ООН за правата на хората с увреждания, по-специално принципите на свобода на избора и независим живот.</w:t>
      </w:r>
    </w:p>
    <w:p w14:paraId="6DA46817" w14:textId="5AD371AF" w:rsidR="00DA604C" w:rsidRPr="00562D16" w:rsidRDefault="00DA604C" w:rsidP="00DA604C">
      <w:pPr>
        <w:spacing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 xml:space="preserve">Реформата включва приемането на Национална карта на социалните услуги, която се разработва въз основа на анализ на предлагането на социални услуги и нуждите на общинско и областно равнище. </w:t>
      </w:r>
    </w:p>
    <w:p w14:paraId="573A2CC5" w14:textId="589B7C90" w:rsidR="00DA604C" w:rsidRPr="00562D16" w:rsidRDefault="00DA604C" w:rsidP="00DA604C">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Тя включва и нова наредба за качеството на социалните услуги, която се разработва съвместно със съответните социални партньори и обхваща: минималните стандарти за качество на заведенията, предоставящи социални услуги; минималните изисквания за модернизация на заведенията, предоставящи социални услуги; изискванията относно квалификацията на персонала, предоставящ социални услуги; както и показатели за наблюдение на изпълнението и качеството на предоставянето на социални услуги. С нея също така се определя максималният брой ползватели за всяко заведение, предоставящо социални услуги.</w:t>
      </w:r>
    </w:p>
    <w:p w14:paraId="6DD4697D" w14:textId="3D2271EF" w:rsidR="00DA604C" w:rsidRPr="00562D16" w:rsidRDefault="00DA604C" w:rsidP="00DA604C">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Изпълнението на реформата ще приключи до 31 декември 2023 г.</w:t>
      </w:r>
    </w:p>
    <w:p w14:paraId="08DFDE25" w14:textId="348BDE46" w:rsidR="00DA604C" w:rsidRPr="00562D16" w:rsidRDefault="00DA604C" w:rsidP="00DA604C">
      <w:pPr>
        <w:spacing w:before="120" w:after="120" w:line="240" w:lineRule="auto"/>
        <w:ind w:left="850"/>
        <w:jc w:val="both"/>
        <w:rPr>
          <w:rFonts w:ascii="Times New Roman" w:eastAsia="Calibri" w:hAnsi="Times New Roman" w:cs="Times New Roman"/>
          <w:noProof/>
          <w:sz w:val="24"/>
          <w:szCs w:val="24"/>
          <w:u w:val="single"/>
        </w:rPr>
      </w:pPr>
      <w:r>
        <w:rPr>
          <w:rFonts w:ascii="Times New Roman" w:hAnsi="Times New Roman"/>
          <w:noProof/>
          <w:sz w:val="24"/>
          <w:u w:val="single"/>
        </w:rPr>
        <w:t>Реформа 1 (C11.I1): Модернизация на дългосрочните грижи</w:t>
      </w:r>
    </w:p>
    <w:p w14:paraId="0F59DD21" w14:textId="6006792D" w:rsidR="00DA604C" w:rsidRPr="00562D16" w:rsidRDefault="00DA604C" w:rsidP="00DA604C">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 xml:space="preserve">Инвестицията допълва реформа 2 „Реформа на социалните услуги“ и нейната цел е да се реформира сградният фонд на заведенията, в които се предоставят социални услуги на хора с увреждания и стари хора. </w:t>
      </w:r>
    </w:p>
    <w:p w14:paraId="0584EA7F" w14:textId="73639D85" w:rsidR="00DA604C" w:rsidRPr="00562D16" w:rsidRDefault="00DA604C" w:rsidP="00DA604C">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 xml:space="preserve">Строителните и ремонтните дейности по тази инвестиция се основават на резултатите от анализа на предлагането и необходимостта от социални услуги на общинско и областно равнище и са в съответствие с изискванията на Наредбата за качеството на социалните услуги. Инвестицията включва: </w:t>
      </w:r>
    </w:p>
    <w:p w14:paraId="5724C3C1" w14:textId="4F9EDFEA" w:rsidR="00DA604C" w:rsidRPr="00562D16" w:rsidRDefault="00DA604C" w:rsidP="00A17CA8">
      <w:pPr>
        <w:pStyle w:val="ListParagraph"/>
        <w:numPr>
          <w:ilvl w:val="0"/>
          <w:numId w:val="54"/>
        </w:numPr>
        <w:spacing w:before="120" w:after="120" w:line="240" w:lineRule="auto"/>
        <w:jc w:val="both"/>
        <w:rPr>
          <w:rFonts w:ascii="Times New Roman" w:eastAsia="Calibri" w:hAnsi="Times New Roman" w:cs="Times New Roman"/>
          <w:noProof/>
          <w:sz w:val="24"/>
          <w:szCs w:val="24"/>
          <w:u w:val="single"/>
        </w:rPr>
      </w:pPr>
      <w:r>
        <w:rPr>
          <w:rFonts w:ascii="Times New Roman" w:hAnsi="Times New Roman"/>
          <w:noProof/>
          <w:sz w:val="24"/>
        </w:rPr>
        <w:t xml:space="preserve">изграждане на нови заведения за предоставяне на грижи с настаняване, както и нови заведения за дневни грижи, включително консултации, терапия и рехабилитационни дейности за хора с увреждания. Всяко заведение, предоставящо дневни грижи се изгражда в близост до заведение, предоставящо грижи с настаняване. Заведенията, предоставящи грижи с настаняване, трябва да осигурят най-малко 2500 нови места; </w:t>
      </w:r>
    </w:p>
    <w:p w14:paraId="3876B71A" w14:textId="4AF8C9BE" w:rsidR="00DA604C" w:rsidRPr="00562D16" w:rsidRDefault="00DA604C" w:rsidP="00A17CA8">
      <w:pPr>
        <w:pStyle w:val="ListParagraph"/>
        <w:numPr>
          <w:ilvl w:val="0"/>
          <w:numId w:val="54"/>
        </w:numPr>
        <w:spacing w:before="120" w:after="120" w:line="240" w:lineRule="auto"/>
        <w:jc w:val="both"/>
        <w:rPr>
          <w:rFonts w:ascii="Times New Roman" w:eastAsia="Calibri" w:hAnsi="Times New Roman" w:cs="Times New Roman"/>
          <w:noProof/>
          <w:sz w:val="24"/>
          <w:szCs w:val="24"/>
          <w:u w:val="single"/>
        </w:rPr>
      </w:pPr>
      <w:r>
        <w:rPr>
          <w:rFonts w:ascii="Times New Roman" w:hAnsi="Times New Roman"/>
          <w:noProof/>
          <w:sz w:val="24"/>
        </w:rPr>
        <w:t>ремонт на съществуващите заведения за предоставяне на грижи с настаняване, предназначени за стари хора, така че да отговарят на стандартите за качество съгласно Наредбата за качеството на социалните услуги;</w:t>
      </w:r>
    </w:p>
    <w:p w14:paraId="3D5B412E" w14:textId="77777777" w:rsidR="00DA604C" w:rsidRPr="00562D16" w:rsidRDefault="00DA604C" w:rsidP="00A17CA8">
      <w:pPr>
        <w:pStyle w:val="ListParagraph"/>
        <w:numPr>
          <w:ilvl w:val="0"/>
          <w:numId w:val="54"/>
        </w:num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саниране с цел повишаване на енергийната ефективност в съществуващи заведения, предоставящи социални услуги, с което се постигат средно най-малко 30 % икономии на енергия.</w:t>
      </w:r>
    </w:p>
    <w:p w14:paraId="70E0484A" w14:textId="77777777" w:rsidR="00DA604C" w:rsidRPr="00562D16" w:rsidRDefault="00DA604C" w:rsidP="00DA604C">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Изпълнението на инвестицията ще приключи до 30 юни 2026 г.</w:t>
      </w:r>
    </w:p>
    <w:p w14:paraId="67424321" w14:textId="7683C782" w:rsidR="00DA604C" w:rsidRPr="00562D16" w:rsidRDefault="00DA604C" w:rsidP="00DA604C">
      <w:pPr>
        <w:spacing w:before="120" w:after="120" w:line="240" w:lineRule="auto"/>
        <w:ind w:left="850"/>
        <w:jc w:val="both"/>
        <w:rPr>
          <w:rFonts w:ascii="Times New Roman" w:eastAsia="Calibri" w:hAnsi="Times New Roman" w:cs="Times New Roman"/>
          <w:noProof/>
          <w:sz w:val="24"/>
          <w:szCs w:val="24"/>
          <w:u w:val="single"/>
        </w:rPr>
      </w:pPr>
      <w:r>
        <w:rPr>
          <w:rFonts w:ascii="Times New Roman" w:hAnsi="Times New Roman"/>
          <w:noProof/>
          <w:sz w:val="24"/>
          <w:u w:val="single"/>
        </w:rPr>
        <w:t xml:space="preserve">Инвестиция 2 (C11.I2): Предоставяне на помощни средства на лица с трайни увреждания </w:t>
      </w:r>
    </w:p>
    <w:p w14:paraId="741639C1" w14:textId="77777777" w:rsidR="00DA604C" w:rsidRPr="00562D16" w:rsidRDefault="00DA604C" w:rsidP="00DA604C">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 xml:space="preserve">Тази цел на инвестицията е да се подобри социалното приобщаване на хората с трайни увреждания чрез насърчаване на личната мобилност и достъпността. </w:t>
      </w:r>
    </w:p>
    <w:p w14:paraId="13B2891E" w14:textId="77777777" w:rsidR="00DA604C" w:rsidRPr="00562D16" w:rsidRDefault="00DA604C" w:rsidP="00DA604C">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Инвестицията се състои в осигуряване на помощни устройства, включително софтуерни програми, въз основа на специфичните нужди на бенефициерите. Бенефициерите трябва също така да бъдат обучени как да използват помощните устройства. Тази инвестиция трябва да достигне най-малко до 3300 лица с трайни увреждания.</w:t>
      </w:r>
    </w:p>
    <w:p w14:paraId="4342FBDF" w14:textId="1886BE28" w:rsidR="00DA604C" w:rsidRDefault="00DA604C" w:rsidP="00DA604C">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Изпълнението на инвестицията ще приключи до 30 юни 2024 г.</w:t>
      </w:r>
    </w:p>
    <w:p w14:paraId="0439BFE1" w14:textId="3618EEDF" w:rsidR="009902CB" w:rsidRPr="008A0F8A" w:rsidRDefault="009902CB" w:rsidP="00DA604C">
      <w:pPr>
        <w:spacing w:before="120" w:after="120" w:line="240" w:lineRule="auto"/>
        <w:ind w:left="850"/>
        <w:jc w:val="both"/>
        <w:rPr>
          <w:rFonts w:ascii="Times New Roman" w:eastAsia="Calibri" w:hAnsi="Times New Roman" w:cs="Times New Roman"/>
          <w:noProof/>
          <w:sz w:val="24"/>
          <w:szCs w:val="24"/>
          <w:lang w:val="ru-RU"/>
        </w:rPr>
      </w:pPr>
    </w:p>
    <w:p w14:paraId="7590AA10" w14:textId="77777777" w:rsidR="009902CB" w:rsidRPr="008A0F8A" w:rsidRDefault="009902CB" w:rsidP="00DA604C">
      <w:pPr>
        <w:spacing w:before="120" w:after="120" w:line="240" w:lineRule="auto"/>
        <w:ind w:left="850"/>
        <w:jc w:val="both"/>
        <w:rPr>
          <w:rFonts w:ascii="Times New Roman" w:eastAsia="Calibri" w:hAnsi="Times New Roman" w:cs="Times New Roman"/>
          <w:noProof/>
          <w:sz w:val="24"/>
          <w:szCs w:val="24"/>
          <w:lang w:val="ru-RU"/>
        </w:rPr>
      </w:pPr>
    </w:p>
    <w:p w14:paraId="7BC567C9" w14:textId="40EA9F5A" w:rsidR="00DA604C" w:rsidRPr="00562D16" w:rsidRDefault="00DA604C" w:rsidP="008E333E">
      <w:pPr>
        <w:pageBreakBefore/>
        <w:spacing w:before="120" w:after="120" w:line="240" w:lineRule="auto"/>
        <w:ind w:left="851"/>
        <w:jc w:val="both"/>
        <w:rPr>
          <w:rFonts w:ascii="Times New Roman" w:eastAsia="Calibri" w:hAnsi="Times New Roman" w:cs="Times New Roman"/>
          <w:noProof/>
          <w:sz w:val="24"/>
          <w:szCs w:val="24"/>
          <w:u w:val="single"/>
        </w:rPr>
      </w:pPr>
      <w:r>
        <w:rPr>
          <w:rFonts w:ascii="Times New Roman" w:hAnsi="Times New Roman"/>
          <w:noProof/>
          <w:sz w:val="24"/>
          <w:u w:val="single"/>
        </w:rPr>
        <w:t xml:space="preserve">Инвестиция 3 (C11.I3): Развитие на социалната икономика </w:t>
      </w:r>
    </w:p>
    <w:p w14:paraId="5F2B78B0" w14:textId="77777777" w:rsidR="00DA604C" w:rsidRPr="00562D16" w:rsidRDefault="00DA604C" w:rsidP="00DA604C">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 xml:space="preserve">Целта на тези инвестиции е да се насърчи социалната икономика чрез подпомагане на развитието на предприятия и организации от социалната и солидарната икономика. </w:t>
      </w:r>
    </w:p>
    <w:p w14:paraId="21C1DCB8" w14:textId="45604954" w:rsidR="00DA604C" w:rsidRPr="00562D16" w:rsidRDefault="00DA604C" w:rsidP="00DA604C">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Инвестицията включва изграждане на фокус-точки за социалната и солидарната икономика, които да подкрепят предприятията и организациите от социалната и солидарната икономика, като предоставят консултантски дейности и техническа помощ, включително чрез подпомагане на цифровизацията на стопанските процеси на тези предприятия. Местоположението на фокус-точките трябва да гарантира, че всеки регион от ниво две в класификацията на териториалните единици за статистически цели, се обслужва от една фокус-точка.</w:t>
      </w:r>
    </w:p>
    <w:p w14:paraId="253D3E16" w14:textId="77777777" w:rsidR="00DA604C" w:rsidRPr="00562D16" w:rsidRDefault="00DA604C" w:rsidP="00DA604C">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В допълнение, инвестицията включва създаването на цифрова платформа за популяризиране на продуктите и услугите на предприятията и организациите от социалната и солидарната икономика.</w:t>
      </w:r>
    </w:p>
    <w:p w14:paraId="39839128" w14:textId="77777777" w:rsidR="00DA604C" w:rsidRPr="00562D16" w:rsidRDefault="00DA604C" w:rsidP="00DA604C">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Изпълнението на инвестицията ще приключи до 31 декември 2025 г.</w:t>
      </w:r>
    </w:p>
    <w:p w14:paraId="07648A18" w14:textId="34D1910E" w:rsidR="00DA604C" w:rsidRPr="00562D16" w:rsidRDefault="00DA604C" w:rsidP="00DA604C">
      <w:pPr>
        <w:spacing w:before="120" w:after="120" w:line="240" w:lineRule="auto"/>
        <w:ind w:left="850"/>
        <w:jc w:val="both"/>
        <w:rPr>
          <w:rFonts w:ascii="Times New Roman" w:eastAsia="Calibri" w:hAnsi="Times New Roman" w:cs="Times New Roman"/>
          <w:noProof/>
          <w:sz w:val="24"/>
          <w:szCs w:val="24"/>
          <w:u w:val="single"/>
        </w:rPr>
      </w:pPr>
      <w:r>
        <w:rPr>
          <w:rFonts w:ascii="Times New Roman" w:hAnsi="Times New Roman"/>
          <w:noProof/>
          <w:sz w:val="24"/>
          <w:u w:val="single"/>
        </w:rPr>
        <w:t xml:space="preserve">Инвестиция 4 (C11.I4): Модернизиране на Агенцията за социално подпомагане </w:t>
      </w:r>
    </w:p>
    <w:p w14:paraId="37127709" w14:textId="77777777" w:rsidR="00DA604C" w:rsidRPr="00562D16" w:rsidRDefault="00DA604C" w:rsidP="00DA604C">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Целта на тази инвестиция е да се подобри предоставянето на услуги от Агенцията за социално подпомагане чрез извършване на ремонт на нейните заведения.</w:t>
      </w:r>
    </w:p>
    <w:p w14:paraId="5A6D7693" w14:textId="77777777" w:rsidR="00DA604C" w:rsidRPr="00562D16" w:rsidRDefault="00DA604C" w:rsidP="00DA604C">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Инвестицията включва извършване на ремонт на заведенията на Агенцията и изграждане на достъпна среда за хора с увреждания чрез монтиране на устройства за изкачване на стълби.</w:t>
      </w:r>
    </w:p>
    <w:p w14:paraId="346ACB3B" w14:textId="7879F9BB" w:rsidR="00DA604C" w:rsidRPr="00562D16" w:rsidRDefault="00DA604C" w:rsidP="00DA604C">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Изпълнението на инвестицията ще приключи до 30 юни 2024 г.</w:t>
      </w:r>
    </w:p>
    <w:p w14:paraId="00036A82" w14:textId="068542AE" w:rsidR="00DA604C" w:rsidRPr="00562D16" w:rsidRDefault="00DA604C" w:rsidP="00DA604C">
      <w:pPr>
        <w:spacing w:before="120" w:after="120" w:line="240" w:lineRule="auto"/>
        <w:ind w:left="850"/>
        <w:jc w:val="both"/>
        <w:rPr>
          <w:rFonts w:ascii="Times New Roman" w:eastAsia="Calibri" w:hAnsi="Times New Roman" w:cs="Times New Roman"/>
          <w:noProof/>
          <w:sz w:val="24"/>
          <w:szCs w:val="24"/>
          <w:u w:val="single"/>
        </w:rPr>
      </w:pPr>
      <w:r>
        <w:rPr>
          <w:rFonts w:ascii="Times New Roman" w:hAnsi="Times New Roman"/>
          <w:noProof/>
          <w:sz w:val="24"/>
          <w:u w:val="single"/>
        </w:rPr>
        <w:t xml:space="preserve">Инвестиция 5 (C11.I5): Модернизиране на Агенцията по заетостта </w:t>
      </w:r>
    </w:p>
    <w:p w14:paraId="1E19A910" w14:textId="77777777" w:rsidR="00DA604C" w:rsidRPr="00562D16" w:rsidRDefault="00DA604C" w:rsidP="00DA604C">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Целта на тези инвестиции е да се повиши ефективността и качеството на услугите, предоставяни от Агенцията по заетостта, чрез разработване и/или подобряване на съществуващите електронни платформи и системи. Инвестицията допринася и за по-нататъшната интеграция на електронните системи за заетост и други служби, включително социалните служби.</w:t>
      </w:r>
    </w:p>
    <w:p w14:paraId="59778841" w14:textId="77777777" w:rsidR="00DA604C" w:rsidRPr="00562D16" w:rsidRDefault="00DA604C" w:rsidP="00DA604C">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 xml:space="preserve">Новите и актуализирани инструменти насърчават по-ефективното откриване на съвпадение между тези, които търсят работа и свободните работни места, включително чрез модернизиране на софтуера за провеждане на проучвания и подобрени системи за съхранение на данни. </w:t>
      </w:r>
    </w:p>
    <w:p w14:paraId="59B30B2D" w14:textId="7AF28568" w:rsidR="00DA604C" w:rsidRPr="00562D16" w:rsidRDefault="00DA604C" w:rsidP="00DA604C">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 xml:space="preserve">Изпълнението на инвестицията ще приключи до 31 декември 2024 г. </w:t>
      </w:r>
    </w:p>
    <w:p w14:paraId="44C0B289" w14:textId="4D41BB1B" w:rsidR="00DA604C" w:rsidRPr="00562D16" w:rsidRDefault="00DA604C" w:rsidP="00DA604C">
      <w:pPr>
        <w:spacing w:before="120" w:after="120" w:line="240" w:lineRule="auto"/>
        <w:ind w:left="850"/>
        <w:jc w:val="both"/>
        <w:rPr>
          <w:rFonts w:ascii="Times New Roman" w:eastAsia="Calibri" w:hAnsi="Times New Roman" w:cs="Times New Roman"/>
          <w:noProof/>
          <w:sz w:val="24"/>
          <w:szCs w:val="24"/>
          <w:u w:val="single"/>
        </w:rPr>
      </w:pPr>
      <w:r>
        <w:rPr>
          <w:rFonts w:ascii="Times New Roman" w:hAnsi="Times New Roman"/>
          <w:noProof/>
          <w:sz w:val="24"/>
          <w:u w:val="single"/>
        </w:rPr>
        <w:t xml:space="preserve">Инвестиция 6 (C11.I6): Развитие на културния и творческия сектори </w:t>
      </w:r>
    </w:p>
    <w:p w14:paraId="2F8E0EE8" w14:textId="77777777" w:rsidR="00DA604C" w:rsidRPr="00562D16" w:rsidRDefault="00DA604C" w:rsidP="00DA604C">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 xml:space="preserve">Целта на инвестицията е да се подпомогне развитието и популяризирането на културния и творческия сектори в България. </w:t>
      </w:r>
    </w:p>
    <w:p w14:paraId="77DEABA6" w14:textId="77777777" w:rsidR="00DA604C" w:rsidRPr="00562D16" w:rsidRDefault="00DA604C" w:rsidP="00DA604C">
      <w:pPr>
        <w:spacing w:before="120" w:after="120" w:line="240" w:lineRule="auto"/>
        <w:ind w:left="850"/>
        <w:jc w:val="both"/>
        <w:rPr>
          <w:rFonts w:ascii="Times New Roman" w:hAnsi="Times New Roman" w:cs="Times New Roman"/>
          <w:noProof/>
        </w:rPr>
      </w:pPr>
      <w:r>
        <w:rPr>
          <w:rFonts w:ascii="Times New Roman" w:hAnsi="Times New Roman"/>
          <w:noProof/>
          <w:sz w:val="24"/>
        </w:rPr>
        <w:t>Инвестицията обхваща:</w:t>
      </w:r>
      <w:r>
        <w:rPr>
          <w:rFonts w:ascii="Times New Roman" w:hAnsi="Times New Roman"/>
          <w:noProof/>
        </w:rPr>
        <w:t xml:space="preserve"> </w:t>
      </w:r>
    </w:p>
    <w:p w14:paraId="346C098C" w14:textId="77777777" w:rsidR="00DA604C" w:rsidRPr="00562D16" w:rsidRDefault="00DA604C" w:rsidP="00A17CA8">
      <w:pPr>
        <w:pStyle w:val="ListParagraph"/>
        <w:numPr>
          <w:ilvl w:val="0"/>
          <w:numId w:val="54"/>
        </w:num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реформа на Национален фонд „Култура“, насочена към прозрачно планиране, координация и наблюдение на неговите дейности;</w:t>
      </w:r>
    </w:p>
    <w:p w14:paraId="2FB71EA5" w14:textId="77777777" w:rsidR="00DA604C" w:rsidRPr="00562D16" w:rsidRDefault="00DA604C" w:rsidP="00A17CA8">
      <w:pPr>
        <w:pStyle w:val="ListParagraph"/>
        <w:numPr>
          <w:ilvl w:val="0"/>
          <w:numId w:val="54"/>
        </w:num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 xml:space="preserve">схеми и програми за предоставяне на безвъзмездни средства, които са насочени към международно популяризиране на български културни продукти, културни политики в големите и малките общини, привличане на публика и достъп до култура, както и цифрови, управленски и предприемачески умения за хората, които работят в културния и творческия сектори, обхващащи публичния и частния сектор. </w:t>
      </w:r>
    </w:p>
    <w:p w14:paraId="1F1F712A" w14:textId="57A8F1A1" w:rsidR="00DA604C" w:rsidRPr="00562D16" w:rsidRDefault="00DA604C" w:rsidP="00DA604C">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 xml:space="preserve">Изпълнението на инвестицията ще приключи до 31 декември 2025 г. </w:t>
      </w:r>
    </w:p>
    <w:p w14:paraId="14452E34" w14:textId="57C09237" w:rsidR="00DA604C" w:rsidRPr="00562D16" w:rsidRDefault="00DA604C" w:rsidP="00DA604C">
      <w:pPr>
        <w:spacing w:before="120" w:after="120" w:line="240" w:lineRule="auto"/>
        <w:ind w:left="850"/>
        <w:jc w:val="both"/>
        <w:rPr>
          <w:rFonts w:ascii="Times New Roman" w:eastAsia="Calibri" w:hAnsi="Times New Roman" w:cs="Times New Roman"/>
          <w:noProof/>
          <w:sz w:val="24"/>
          <w:szCs w:val="24"/>
          <w:u w:val="single"/>
        </w:rPr>
      </w:pPr>
      <w:r>
        <w:rPr>
          <w:rFonts w:ascii="Times New Roman" w:hAnsi="Times New Roman"/>
          <w:noProof/>
          <w:sz w:val="24"/>
          <w:u w:val="single"/>
        </w:rPr>
        <w:t>Инвестиция 7 (C11.I7): Цифровизация на музейни колекции, библиотеки и архиви</w:t>
      </w:r>
    </w:p>
    <w:p w14:paraId="3D0A417B" w14:textId="77777777" w:rsidR="00DA604C" w:rsidRPr="00562D16" w:rsidRDefault="00DA604C" w:rsidP="00DA604C">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 xml:space="preserve">Целта на инвестицията е да се цифровизира съдържанието на музеите, библиотеките и архивите, за да се подобри достъпността и да се насърчи съхранението. </w:t>
      </w:r>
    </w:p>
    <w:p w14:paraId="4D7ED530" w14:textId="2C5BB661" w:rsidR="00DA604C" w:rsidRPr="00562D16" w:rsidRDefault="00DA604C" w:rsidP="00DA604C">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 xml:space="preserve">Инвестицията включва цифровизация на съдържанието на най-малко 28 музея, 10 библиотеки и държавни архиви, включително Българската национална филмотека, Българската национална телевизия и Българското национално радио, Българската телеграфна агенция и Националния архивен фонд. </w:t>
      </w:r>
    </w:p>
    <w:p w14:paraId="15C5738C" w14:textId="77777777" w:rsidR="00DA604C" w:rsidRPr="00562D16" w:rsidRDefault="00DA604C" w:rsidP="00DA604C">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Изпълнението на инвестицията ще приключи до 30 юни 2026 г.</w:t>
      </w:r>
    </w:p>
    <w:p w14:paraId="52EE84EB" w14:textId="77777777" w:rsidR="00DA604C" w:rsidRPr="00562D16" w:rsidRDefault="00DA604C" w:rsidP="00DA604C">
      <w:pPr>
        <w:spacing w:before="120" w:after="120" w:line="240" w:lineRule="auto"/>
        <w:ind w:left="850"/>
        <w:jc w:val="both"/>
        <w:rPr>
          <w:rFonts w:ascii="Times New Roman" w:eastAsia="Calibri" w:hAnsi="Times New Roman" w:cs="Times New Roman"/>
          <w:b/>
          <w:bCs/>
          <w:noProof/>
          <w:sz w:val="24"/>
          <w:szCs w:val="24"/>
          <w:u w:val="single"/>
        </w:rPr>
      </w:pPr>
      <w:r>
        <w:rPr>
          <w:rFonts w:ascii="Times New Roman" w:hAnsi="Times New Roman"/>
          <w:b/>
          <w:noProof/>
          <w:sz w:val="24"/>
          <w:u w:val="single"/>
        </w:rPr>
        <w:t xml:space="preserve">K.2 </w:t>
      </w:r>
      <w:r>
        <w:rPr>
          <w:rFonts w:ascii="Times New Roman" w:hAnsi="Times New Roman"/>
          <w:b/>
          <w:noProof/>
          <w:sz w:val="24"/>
          <w:u w:val="single"/>
        </w:rPr>
        <w:tab/>
        <w:t>Ключови етапи, цели, показатели и график за мониторинг и изпълнение на безвъзмездната финансова подкрепа</w:t>
      </w:r>
    </w:p>
    <w:p w14:paraId="236E1B04" w14:textId="77777777" w:rsidR="00DA604C" w:rsidRPr="008A0F8A" w:rsidRDefault="00DA604C" w:rsidP="00DA604C">
      <w:pPr>
        <w:spacing w:before="120" w:after="120" w:line="240" w:lineRule="auto"/>
        <w:ind w:left="709"/>
        <w:jc w:val="both"/>
        <w:rPr>
          <w:rFonts w:ascii="Times New Roman" w:eastAsia="Calibri" w:hAnsi="Times New Roman" w:cs="Times New Roman"/>
          <w:noProof/>
          <w:sz w:val="24"/>
          <w:lang w:val="ru-RU"/>
        </w:rPr>
        <w:sectPr w:rsidR="00DA604C" w:rsidRPr="008A0F8A" w:rsidSect="00B60432">
          <w:headerReference w:type="even" r:id="rId138"/>
          <w:headerReference w:type="default" r:id="rId139"/>
          <w:footerReference w:type="even" r:id="rId140"/>
          <w:footerReference w:type="default" r:id="rId141"/>
          <w:headerReference w:type="first" r:id="rId142"/>
          <w:footerReference w:type="first" r:id="rId143"/>
          <w:pgSz w:w="11907" w:h="16839"/>
          <w:pgMar w:top="1418" w:right="1418" w:bottom="1418" w:left="1418" w:header="709" w:footer="709" w:gutter="0"/>
          <w:cols w:space="720"/>
          <w:docGrid w:linePitch="360"/>
        </w:sect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646"/>
        <w:gridCol w:w="1136"/>
        <w:gridCol w:w="1011"/>
        <w:gridCol w:w="1311"/>
        <w:gridCol w:w="2004"/>
        <w:gridCol w:w="850"/>
        <w:gridCol w:w="851"/>
        <w:gridCol w:w="709"/>
        <w:gridCol w:w="850"/>
        <w:gridCol w:w="709"/>
        <w:gridCol w:w="4802"/>
      </w:tblGrid>
      <w:tr w:rsidR="009C6944" w:rsidRPr="005241FC" w14:paraId="3C0CD6AF" w14:textId="77777777" w:rsidTr="702FA0E6">
        <w:trPr>
          <w:trHeight w:val="309"/>
          <w:tblHeader/>
          <w:jc w:val="center"/>
        </w:trPr>
        <w:tc>
          <w:tcPr>
            <w:tcW w:w="646" w:type="dxa"/>
            <w:vMerge w:val="restart"/>
            <w:shd w:val="clear" w:color="auto" w:fill="C6D9F1"/>
            <w:noWrap/>
            <w:vAlign w:val="center"/>
          </w:tcPr>
          <w:p w14:paraId="520F34A8" w14:textId="77CA978C" w:rsidR="009C6944" w:rsidRPr="0051384F" w:rsidRDefault="009C6944" w:rsidP="00255C17">
            <w:pPr>
              <w:spacing w:after="0"/>
              <w:jc w:val="center"/>
              <w:rPr>
                <w:rFonts w:ascii="Times New Roman" w:eastAsia="Calibri" w:hAnsi="Times New Roman" w:cs="Times New Roman"/>
                <w:b/>
                <w:bCs/>
                <w:noProof/>
                <w:color w:val="000000" w:themeColor="text1"/>
                <w:sz w:val="20"/>
                <w:szCs w:val="20"/>
              </w:rPr>
            </w:pPr>
            <w:r>
              <w:rPr>
                <w:rFonts w:ascii="Times New Roman" w:hAnsi="Times New Roman"/>
                <w:b/>
                <w:noProof/>
                <w:sz w:val="20"/>
              </w:rPr>
              <w:t>Пореден номер</w:t>
            </w:r>
          </w:p>
        </w:tc>
        <w:tc>
          <w:tcPr>
            <w:tcW w:w="1136" w:type="dxa"/>
            <w:vMerge w:val="restart"/>
            <w:shd w:val="clear" w:color="auto" w:fill="C6D9F1"/>
            <w:noWrap/>
            <w:vAlign w:val="center"/>
          </w:tcPr>
          <w:p w14:paraId="2C63E075" w14:textId="77777777" w:rsidR="009C6944" w:rsidRPr="0051384F" w:rsidRDefault="009C6944" w:rsidP="00255C17">
            <w:pPr>
              <w:spacing w:after="0"/>
              <w:jc w:val="center"/>
              <w:rPr>
                <w:rFonts w:ascii="Times New Roman" w:eastAsia="Calibri" w:hAnsi="Times New Roman" w:cs="Times New Roman"/>
                <w:b/>
                <w:bCs/>
                <w:noProof/>
                <w:color w:val="000000" w:themeColor="text1"/>
                <w:sz w:val="20"/>
                <w:szCs w:val="20"/>
              </w:rPr>
            </w:pPr>
            <w:r>
              <w:rPr>
                <w:rFonts w:ascii="Times New Roman" w:hAnsi="Times New Roman"/>
                <w:b/>
                <w:noProof/>
                <w:sz w:val="20"/>
              </w:rPr>
              <w:t>Свързана мярка (реформа или инвестиция)</w:t>
            </w:r>
          </w:p>
        </w:tc>
        <w:tc>
          <w:tcPr>
            <w:tcW w:w="1011" w:type="dxa"/>
            <w:vMerge w:val="restart"/>
            <w:shd w:val="clear" w:color="auto" w:fill="C6D9F1"/>
            <w:noWrap/>
            <w:vAlign w:val="center"/>
          </w:tcPr>
          <w:p w14:paraId="0EA6B0AA" w14:textId="77777777" w:rsidR="009C6944" w:rsidRPr="0051384F" w:rsidRDefault="009C6944" w:rsidP="00255C17">
            <w:pPr>
              <w:spacing w:after="0"/>
              <w:jc w:val="center"/>
              <w:rPr>
                <w:rFonts w:ascii="Times New Roman" w:eastAsia="Calibri" w:hAnsi="Times New Roman" w:cs="Times New Roman"/>
                <w:b/>
                <w:bCs/>
                <w:noProof/>
                <w:color w:val="000000" w:themeColor="text1"/>
                <w:sz w:val="20"/>
                <w:szCs w:val="20"/>
              </w:rPr>
            </w:pPr>
            <w:r>
              <w:rPr>
                <w:rFonts w:ascii="Times New Roman" w:hAnsi="Times New Roman"/>
                <w:b/>
                <w:noProof/>
                <w:color w:val="000000" w:themeColor="text1"/>
                <w:sz w:val="20"/>
              </w:rPr>
              <w:t>Ключов етап</w:t>
            </w:r>
            <w:r>
              <w:rPr>
                <w:rFonts w:ascii="Times New Roman" w:hAnsi="Times New Roman"/>
                <w:noProof/>
                <w:sz w:val="20"/>
              </w:rPr>
              <w:br/>
            </w:r>
            <w:r>
              <w:rPr>
                <w:rFonts w:ascii="Times New Roman" w:hAnsi="Times New Roman"/>
                <w:b/>
                <w:noProof/>
                <w:color w:val="000000" w:themeColor="text1"/>
                <w:sz w:val="20"/>
              </w:rPr>
              <w:t xml:space="preserve"> / Цел</w:t>
            </w:r>
          </w:p>
        </w:tc>
        <w:tc>
          <w:tcPr>
            <w:tcW w:w="1311" w:type="dxa"/>
            <w:vMerge w:val="restart"/>
            <w:shd w:val="clear" w:color="auto" w:fill="C6D9F1"/>
            <w:noWrap/>
            <w:vAlign w:val="center"/>
          </w:tcPr>
          <w:p w14:paraId="2BD41A2A" w14:textId="77777777" w:rsidR="009C6944" w:rsidRPr="0051384F" w:rsidRDefault="009C6944" w:rsidP="00255C17">
            <w:pPr>
              <w:spacing w:after="0"/>
              <w:jc w:val="center"/>
              <w:rPr>
                <w:rFonts w:ascii="Times New Roman" w:eastAsia="Calibri" w:hAnsi="Times New Roman" w:cs="Times New Roman"/>
                <w:b/>
                <w:bCs/>
                <w:noProof/>
                <w:color w:val="000000" w:themeColor="text1"/>
                <w:sz w:val="20"/>
                <w:szCs w:val="20"/>
              </w:rPr>
            </w:pPr>
            <w:r>
              <w:rPr>
                <w:rFonts w:ascii="Times New Roman" w:hAnsi="Times New Roman"/>
                <w:b/>
                <w:noProof/>
                <w:color w:val="000000" w:themeColor="text1"/>
                <w:sz w:val="20"/>
              </w:rPr>
              <w:t>Наименование</w:t>
            </w:r>
          </w:p>
        </w:tc>
        <w:tc>
          <w:tcPr>
            <w:tcW w:w="2004" w:type="dxa"/>
            <w:vMerge w:val="restart"/>
            <w:shd w:val="clear" w:color="auto" w:fill="C6D9F1"/>
            <w:noWrap/>
            <w:vAlign w:val="center"/>
          </w:tcPr>
          <w:p w14:paraId="02FC7DC6" w14:textId="77777777" w:rsidR="009C6944" w:rsidRPr="0051384F" w:rsidRDefault="009C6944" w:rsidP="00255C17">
            <w:pPr>
              <w:spacing w:after="0"/>
              <w:jc w:val="center"/>
              <w:rPr>
                <w:rFonts w:ascii="Times New Roman" w:eastAsia="Calibri" w:hAnsi="Times New Roman" w:cs="Times New Roman"/>
                <w:b/>
                <w:bCs/>
                <w:noProof/>
                <w:color w:val="000000" w:themeColor="text1"/>
                <w:sz w:val="20"/>
                <w:szCs w:val="20"/>
              </w:rPr>
            </w:pPr>
            <w:r>
              <w:rPr>
                <w:rFonts w:ascii="Times New Roman" w:hAnsi="Times New Roman"/>
                <w:b/>
                <w:noProof/>
                <w:color w:val="000000" w:themeColor="text1"/>
                <w:sz w:val="20"/>
              </w:rPr>
              <w:t>Качествени показатели за ключовите етапи</w:t>
            </w:r>
          </w:p>
        </w:tc>
        <w:tc>
          <w:tcPr>
            <w:tcW w:w="2410" w:type="dxa"/>
            <w:gridSpan w:val="3"/>
            <w:shd w:val="clear" w:color="auto" w:fill="C6D9F1"/>
            <w:noWrap/>
            <w:vAlign w:val="center"/>
          </w:tcPr>
          <w:p w14:paraId="2B71D778" w14:textId="77777777" w:rsidR="009C6944" w:rsidRPr="0051384F" w:rsidRDefault="009C6944" w:rsidP="00255C17">
            <w:pPr>
              <w:spacing w:after="0"/>
              <w:jc w:val="center"/>
              <w:rPr>
                <w:rFonts w:ascii="Times New Roman" w:eastAsia="Calibri" w:hAnsi="Times New Roman" w:cs="Times New Roman"/>
                <w:b/>
                <w:bCs/>
                <w:noProof/>
                <w:color w:val="000000" w:themeColor="text1"/>
                <w:sz w:val="20"/>
                <w:szCs w:val="20"/>
              </w:rPr>
            </w:pPr>
            <w:r>
              <w:rPr>
                <w:rFonts w:ascii="Times New Roman" w:hAnsi="Times New Roman"/>
                <w:b/>
                <w:noProof/>
                <w:color w:val="000000" w:themeColor="text1"/>
                <w:sz w:val="20"/>
              </w:rPr>
              <w:t>Качествени показатели за целите</w:t>
            </w:r>
          </w:p>
        </w:tc>
        <w:tc>
          <w:tcPr>
            <w:tcW w:w="1559" w:type="dxa"/>
            <w:gridSpan w:val="2"/>
            <w:shd w:val="clear" w:color="auto" w:fill="C6D9F1"/>
            <w:noWrap/>
            <w:vAlign w:val="center"/>
          </w:tcPr>
          <w:p w14:paraId="4963D576" w14:textId="77777777" w:rsidR="009C6944" w:rsidRPr="0051384F" w:rsidRDefault="009C6944" w:rsidP="00255C17">
            <w:pPr>
              <w:spacing w:after="0"/>
              <w:jc w:val="center"/>
              <w:rPr>
                <w:rFonts w:ascii="Times New Roman" w:eastAsia="Calibri" w:hAnsi="Times New Roman" w:cs="Times New Roman"/>
                <w:b/>
                <w:bCs/>
                <w:noProof/>
                <w:color w:val="000000" w:themeColor="text1"/>
                <w:sz w:val="20"/>
                <w:szCs w:val="20"/>
              </w:rPr>
            </w:pPr>
            <w:r>
              <w:rPr>
                <w:rFonts w:ascii="Times New Roman" w:hAnsi="Times New Roman"/>
                <w:b/>
                <w:noProof/>
                <w:color w:val="000000" w:themeColor="text1"/>
                <w:sz w:val="20"/>
              </w:rPr>
              <w:t>Време</w:t>
            </w:r>
          </w:p>
        </w:tc>
        <w:tc>
          <w:tcPr>
            <w:tcW w:w="4802" w:type="dxa"/>
            <w:vMerge w:val="restart"/>
            <w:shd w:val="clear" w:color="auto" w:fill="C6D9F1"/>
            <w:noWrap/>
            <w:vAlign w:val="center"/>
          </w:tcPr>
          <w:p w14:paraId="1600E98F" w14:textId="77777777" w:rsidR="009C6944" w:rsidRPr="0051384F" w:rsidRDefault="009C6944" w:rsidP="00255C17">
            <w:pPr>
              <w:spacing w:after="0"/>
              <w:jc w:val="center"/>
              <w:rPr>
                <w:rFonts w:ascii="Times New Roman" w:eastAsia="Calibri" w:hAnsi="Times New Roman" w:cs="Times New Roman"/>
                <w:b/>
                <w:bCs/>
                <w:noProof/>
                <w:color w:val="000000" w:themeColor="text1"/>
                <w:sz w:val="20"/>
                <w:szCs w:val="20"/>
              </w:rPr>
            </w:pPr>
            <w:r>
              <w:rPr>
                <w:rFonts w:ascii="Times New Roman" w:hAnsi="Times New Roman"/>
                <w:b/>
                <w:noProof/>
                <w:sz w:val="20"/>
              </w:rPr>
              <w:t>Описание на всеки ключов етап и цел</w:t>
            </w:r>
          </w:p>
        </w:tc>
      </w:tr>
      <w:tr w:rsidR="000D78BC" w:rsidRPr="0051384F" w14:paraId="64285EAA" w14:textId="77777777" w:rsidTr="702FA0E6">
        <w:trPr>
          <w:trHeight w:val="309"/>
          <w:tblHeader/>
          <w:jc w:val="center"/>
        </w:trPr>
        <w:tc>
          <w:tcPr>
            <w:tcW w:w="646" w:type="dxa"/>
            <w:vMerge/>
            <w:noWrap/>
            <w:vAlign w:val="center"/>
          </w:tcPr>
          <w:p w14:paraId="5394D934" w14:textId="77777777" w:rsidR="009C6944" w:rsidRPr="008A0F8A" w:rsidRDefault="009C6944" w:rsidP="0066695B">
            <w:pPr>
              <w:spacing w:after="0"/>
              <w:jc w:val="center"/>
              <w:rPr>
                <w:rFonts w:ascii="Times New Roman" w:eastAsia="Calibri" w:hAnsi="Times New Roman" w:cs="Times New Roman"/>
                <w:b/>
                <w:noProof/>
                <w:color w:val="000000"/>
                <w:sz w:val="20"/>
                <w:szCs w:val="20"/>
                <w:lang w:val="ru-RU"/>
              </w:rPr>
            </w:pPr>
          </w:p>
        </w:tc>
        <w:tc>
          <w:tcPr>
            <w:tcW w:w="1136" w:type="dxa"/>
            <w:vMerge/>
            <w:noWrap/>
            <w:vAlign w:val="center"/>
          </w:tcPr>
          <w:p w14:paraId="105D93BC" w14:textId="77777777" w:rsidR="009C6944" w:rsidRPr="008A0F8A" w:rsidRDefault="009C6944" w:rsidP="0066695B">
            <w:pPr>
              <w:spacing w:after="0"/>
              <w:jc w:val="center"/>
              <w:rPr>
                <w:rFonts w:ascii="Times New Roman" w:eastAsia="Calibri" w:hAnsi="Times New Roman" w:cs="Times New Roman"/>
                <w:b/>
                <w:noProof/>
                <w:color w:val="000000"/>
                <w:sz w:val="20"/>
                <w:szCs w:val="20"/>
                <w:lang w:val="ru-RU"/>
              </w:rPr>
            </w:pPr>
          </w:p>
        </w:tc>
        <w:tc>
          <w:tcPr>
            <w:tcW w:w="1011" w:type="dxa"/>
            <w:vMerge/>
            <w:noWrap/>
            <w:vAlign w:val="center"/>
          </w:tcPr>
          <w:p w14:paraId="70F93FBA" w14:textId="77777777" w:rsidR="009C6944" w:rsidRPr="008A0F8A" w:rsidRDefault="009C6944" w:rsidP="0066695B">
            <w:pPr>
              <w:spacing w:after="0"/>
              <w:jc w:val="center"/>
              <w:rPr>
                <w:rFonts w:ascii="Times New Roman" w:eastAsia="Calibri" w:hAnsi="Times New Roman" w:cs="Times New Roman"/>
                <w:b/>
                <w:noProof/>
                <w:color w:val="000000"/>
                <w:sz w:val="20"/>
                <w:szCs w:val="20"/>
                <w:lang w:val="ru-RU"/>
              </w:rPr>
            </w:pPr>
          </w:p>
        </w:tc>
        <w:tc>
          <w:tcPr>
            <w:tcW w:w="1311" w:type="dxa"/>
            <w:vMerge/>
            <w:noWrap/>
            <w:vAlign w:val="center"/>
          </w:tcPr>
          <w:p w14:paraId="250EB7C3" w14:textId="77777777" w:rsidR="009C6944" w:rsidRPr="008A0F8A" w:rsidRDefault="009C6944" w:rsidP="0066695B">
            <w:pPr>
              <w:spacing w:after="0"/>
              <w:rPr>
                <w:rFonts w:ascii="Times New Roman" w:eastAsia="Calibri" w:hAnsi="Times New Roman" w:cs="Times New Roman"/>
                <w:b/>
                <w:noProof/>
                <w:color w:val="000000"/>
                <w:sz w:val="20"/>
                <w:szCs w:val="20"/>
                <w:lang w:val="ru-RU"/>
              </w:rPr>
            </w:pPr>
          </w:p>
        </w:tc>
        <w:tc>
          <w:tcPr>
            <w:tcW w:w="2004" w:type="dxa"/>
            <w:vMerge/>
            <w:noWrap/>
            <w:vAlign w:val="center"/>
          </w:tcPr>
          <w:p w14:paraId="40AC6A9D" w14:textId="77777777" w:rsidR="009C6944" w:rsidRPr="008A0F8A" w:rsidRDefault="009C6944" w:rsidP="0066695B">
            <w:pPr>
              <w:spacing w:after="0"/>
              <w:jc w:val="center"/>
              <w:rPr>
                <w:rFonts w:ascii="Times New Roman" w:eastAsia="Calibri" w:hAnsi="Times New Roman" w:cs="Times New Roman"/>
                <w:b/>
                <w:noProof/>
                <w:color w:val="000000"/>
                <w:sz w:val="20"/>
                <w:szCs w:val="20"/>
                <w:lang w:val="ru-RU"/>
              </w:rPr>
            </w:pPr>
          </w:p>
        </w:tc>
        <w:tc>
          <w:tcPr>
            <w:tcW w:w="850" w:type="dxa"/>
            <w:shd w:val="clear" w:color="auto" w:fill="C6D9F1"/>
            <w:noWrap/>
            <w:vAlign w:val="center"/>
          </w:tcPr>
          <w:p w14:paraId="3182DA69" w14:textId="77777777" w:rsidR="009C6944" w:rsidRPr="0051384F" w:rsidRDefault="009C6944" w:rsidP="0066695B">
            <w:pPr>
              <w:spacing w:after="0"/>
              <w:jc w:val="center"/>
              <w:rPr>
                <w:rFonts w:ascii="Times New Roman" w:eastAsia="Calibri" w:hAnsi="Times New Roman" w:cs="Times New Roman"/>
                <w:b/>
                <w:bCs/>
                <w:noProof/>
                <w:color w:val="000000" w:themeColor="text1"/>
                <w:sz w:val="20"/>
                <w:szCs w:val="20"/>
              </w:rPr>
            </w:pPr>
            <w:r>
              <w:rPr>
                <w:rFonts w:ascii="Times New Roman" w:hAnsi="Times New Roman"/>
                <w:b/>
                <w:noProof/>
                <w:color w:val="000000" w:themeColor="text1"/>
                <w:sz w:val="20"/>
              </w:rPr>
              <w:t>Единица</w:t>
            </w:r>
          </w:p>
        </w:tc>
        <w:tc>
          <w:tcPr>
            <w:tcW w:w="851" w:type="dxa"/>
            <w:shd w:val="clear" w:color="auto" w:fill="C6D9F1"/>
            <w:noWrap/>
            <w:vAlign w:val="center"/>
          </w:tcPr>
          <w:p w14:paraId="0401ABAA" w14:textId="77777777" w:rsidR="009C6944" w:rsidRPr="0051384F" w:rsidRDefault="009C6944" w:rsidP="0066695B">
            <w:pPr>
              <w:spacing w:after="0"/>
              <w:jc w:val="center"/>
              <w:rPr>
                <w:rFonts w:ascii="Times New Roman" w:eastAsia="Calibri" w:hAnsi="Times New Roman" w:cs="Times New Roman"/>
                <w:b/>
                <w:bCs/>
                <w:noProof/>
                <w:color w:val="000000" w:themeColor="text1"/>
                <w:sz w:val="20"/>
                <w:szCs w:val="20"/>
              </w:rPr>
            </w:pPr>
            <w:r>
              <w:rPr>
                <w:rFonts w:ascii="Times New Roman" w:hAnsi="Times New Roman"/>
                <w:b/>
                <w:noProof/>
                <w:color w:val="000000" w:themeColor="text1"/>
                <w:sz w:val="20"/>
              </w:rPr>
              <w:t>Базова линия</w:t>
            </w:r>
          </w:p>
        </w:tc>
        <w:tc>
          <w:tcPr>
            <w:tcW w:w="709" w:type="dxa"/>
            <w:shd w:val="clear" w:color="auto" w:fill="C6D9F1"/>
            <w:noWrap/>
            <w:vAlign w:val="center"/>
          </w:tcPr>
          <w:p w14:paraId="4F23511A" w14:textId="77777777" w:rsidR="009C6944" w:rsidRPr="0051384F" w:rsidRDefault="009C6944" w:rsidP="0066695B">
            <w:pPr>
              <w:spacing w:after="0"/>
              <w:jc w:val="center"/>
              <w:rPr>
                <w:rFonts w:ascii="Times New Roman" w:eastAsia="Calibri" w:hAnsi="Times New Roman" w:cs="Times New Roman"/>
                <w:b/>
                <w:bCs/>
                <w:noProof/>
                <w:color w:val="000000" w:themeColor="text1"/>
                <w:sz w:val="20"/>
                <w:szCs w:val="20"/>
              </w:rPr>
            </w:pPr>
            <w:r>
              <w:rPr>
                <w:rFonts w:ascii="Times New Roman" w:hAnsi="Times New Roman"/>
                <w:b/>
                <w:noProof/>
                <w:color w:val="000000" w:themeColor="text1"/>
                <w:sz w:val="20"/>
              </w:rPr>
              <w:t>Цел</w:t>
            </w:r>
          </w:p>
        </w:tc>
        <w:tc>
          <w:tcPr>
            <w:tcW w:w="850" w:type="dxa"/>
            <w:shd w:val="clear" w:color="auto" w:fill="C6D9F1"/>
            <w:noWrap/>
            <w:vAlign w:val="center"/>
          </w:tcPr>
          <w:p w14:paraId="18EB4311" w14:textId="77777777" w:rsidR="009C6944" w:rsidRPr="0051384F" w:rsidRDefault="009C6944" w:rsidP="0066695B">
            <w:pPr>
              <w:spacing w:after="0"/>
              <w:jc w:val="center"/>
              <w:rPr>
                <w:rFonts w:ascii="Times New Roman" w:eastAsia="Calibri" w:hAnsi="Times New Roman" w:cs="Times New Roman"/>
                <w:b/>
                <w:bCs/>
                <w:noProof/>
                <w:color w:val="000000" w:themeColor="text1"/>
                <w:sz w:val="20"/>
                <w:szCs w:val="20"/>
              </w:rPr>
            </w:pPr>
            <w:r>
              <w:rPr>
                <w:rFonts w:ascii="Times New Roman" w:hAnsi="Times New Roman"/>
                <w:b/>
                <w:noProof/>
                <w:color w:val="000000" w:themeColor="text1"/>
                <w:sz w:val="20"/>
              </w:rPr>
              <w:t>Тримесечие</w:t>
            </w:r>
          </w:p>
        </w:tc>
        <w:tc>
          <w:tcPr>
            <w:tcW w:w="709" w:type="dxa"/>
            <w:shd w:val="clear" w:color="auto" w:fill="C6D9F1"/>
            <w:noWrap/>
            <w:vAlign w:val="center"/>
          </w:tcPr>
          <w:p w14:paraId="147896E1" w14:textId="77777777" w:rsidR="009C6944" w:rsidRPr="0051384F" w:rsidRDefault="009C6944" w:rsidP="0066695B">
            <w:pPr>
              <w:spacing w:after="0"/>
              <w:jc w:val="center"/>
              <w:rPr>
                <w:rFonts w:ascii="Times New Roman" w:eastAsia="Calibri" w:hAnsi="Times New Roman" w:cs="Times New Roman"/>
                <w:b/>
                <w:bCs/>
                <w:noProof/>
                <w:color w:val="000000" w:themeColor="text1"/>
                <w:sz w:val="20"/>
                <w:szCs w:val="20"/>
              </w:rPr>
            </w:pPr>
            <w:r>
              <w:rPr>
                <w:rFonts w:ascii="Times New Roman" w:hAnsi="Times New Roman"/>
                <w:b/>
                <w:noProof/>
                <w:color w:val="000000" w:themeColor="text1"/>
                <w:sz w:val="20"/>
              </w:rPr>
              <w:t>Година</w:t>
            </w:r>
          </w:p>
        </w:tc>
        <w:tc>
          <w:tcPr>
            <w:tcW w:w="4802" w:type="dxa"/>
            <w:vMerge/>
            <w:noWrap/>
            <w:vAlign w:val="center"/>
          </w:tcPr>
          <w:p w14:paraId="7140F5F3" w14:textId="77777777" w:rsidR="009C6944" w:rsidRPr="0051384F" w:rsidRDefault="009C6944" w:rsidP="0066695B">
            <w:pPr>
              <w:spacing w:after="0"/>
              <w:rPr>
                <w:rFonts w:ascii="Times New Roman" w:eastAsia="Calibri" w:hAnsi="Times New Roman" w:cs="Times New Roman"/>
                <w:b/>
                <w:noProof/>
                <w:color w:val="000000"/>
                <w:sz w:val="20"/>
                <w:szCs w:val="20"/>
              </w:rPr>
            </w:pPr>
          </w:p>
        </w:tc>
      </w:tr>
      <w:tr w:rsidR="000D78BC" w:rsidRPr="005241FC" w14:paraId="057E1EB0" w14:textId="77777777" w:rsidTr="702FA0E6">
        <w:trPr>
          <w:trHeight w:val="309"/>
          <w:jc w:val="center"/>
        </w:trPr>
        <w:tc>
          <w:tcPr>
            <w:tcW w:w="646" w:type="dxa"/>
            <w:tcBorders>
              <w:top w:val="single" w:sz="4" w:space="0" w:color="auto"/>
              <w:left w:val="single" w:sz="4" w:space="0" w:color="auto"/>
              <w:bottom w:val="single" w:sz="4" w:space="0" w:color="auto"/>
              <w:right w:val="single" w:sz="4" w:space="0" w:color="auto"/>
            </w:tcBorders>
            <w:shd w:val="clear" w:color="auto" w:fill="C6EFCE"/>
            <w:noWrap/>
          </w:tcPr>
          <w:p w14:paraId="7BC49578" w14:textId="1E6F0046" w:rsidR="00DA604C" w:rsidRPr="0051384F" w:rsidRDefault="00C723AC" w:rsidP="0066695B">
            <w:pPr>
              <w:jc w:val="center"/>
              <w:rPr>
                <w:rFonts w:ascii="Times New Roman" w:hAnsi="Times New Roman" w:cs="Times New Roman"/>
                <w:noProof/>
                <w:color w:val="006100"/>
                <w:sz w:val="20"/>
                <w:szCs w:val="20"/>
              </w:rPr>
            </w:pPr>
            <w:r>
              <w:rPr>
                <w:rFonts w:ascii="Times New Roman" w:hAnsi="Times New Roman"/>
                <w:noProof/>
                <w:color w:val="006100"/>
                <w:sz w:val="20"/>
              </w:rPr>
              <w:t> 286</w:t>
            </w:r>
          </w:p>
        </w:tc>
        <w:tc>
          <w:tcPr>
            <w:tcW w:w="1136" w:type="dxa"/>
            <w:tcBorders>
              <w:top w:val="single" w:sz="4" w:space="0" w:color="auto"/>
              <w:left w:val="nil"/>
              <w:bottom w:val="single" w:sz="4" w:space="0" w:color="auto"/>
              <w:right w:val="single" w:sz="4" w:space="0" w:color="auto"/>
            </w:tcBorders>
            <w:shd w:val="clear" w:color="auto" w:fill="C6EFCE"/>
            <w:noWrap/>
          </w:tcPr>
          <w:p w14:paraId="3FA70425" w14:textId="77777777" w:rsidR="00DA604C" w:rsidRPr="0051384F" w:rsidRDefault="00DA604C" w:rsidP="003B02A1">
            <w:pPr>
              <w:rPr>
                <w:rFonts w:ascii="Times New Roman" w:hAnsi="Times New Roman" w:cs="Times New Roman"/>
                <w:noProof/>
                <w:color w:val="006100"/>
                <w:sz w:val="20"/>
                <w:szCs w:val="20"/>
              </w:rPr>
            </w:pPr>
            <w:r>
              <w:rPr>
                <w:rFonts w:ascii="Times New Roman" w:hAnsi="Times New Roman"/>
                <w:noProof/>
                <w:color w:val="006100"/>
                <w:sz w:val="20"/>
              </w:rPr>
              <w:t xml:space="preserve">C11.R1: Реформа на схемата за минимален доход </w:t>
            </w:r>
          </w:p>
        </w:tc>
        <w:tc>
          <w:tcPr>
            <w:tcW w:w="1011" w:type="dxa"/>
            <w:tcBorders>
              <w:top w:val="single" w:sz="4" w:space="0" w:color="auto"/>
              <w:left w:val="nil"/>
              <w:bottom w:val="single" w:sz="4" w:space="0" w:color="auto"/>
              <w:right w:val="single" w:sz="4" w:space="0" w:color="auto"/>
            </w:tcBorders>
            <w:shd w:val="clear" w:color="auto" w:fill="C6EFCE"/>
            <w:noWrap/>
          </w:tcPr>
          <w:p w14:paraId="0556DA7C" w14:textId="77777777" w:rsidR="00DA604C" w:rsidRPr="0051384F" w:rsidRDefault="00DA604C" w:rsidP="003B02A1">
            <w:pPr>
              <w:rPr>
                <w:rFonts w:ascii="Times New Roman" w:hAnsi="Times New Roman" w:cs="Times New Roman"/>
                <w:noProof/>
                <w:color w:val="006100"/>
                <w:sz w:val="20"/>
                <w:szCs w:val="20"/>
              </w:rPr>
            </w:pPr>
            <w:r>
              <w:rPr>
                <w:rFonts w:ascii="Times New Roman" w:hAnsi="Times New Roman"/>
                <w:noProof/>
                <w:color w:val="006100"/>
                <w:sz w:val="20"/>
              </w:rPr>
              <w:t>Ключов етап</w:t>
            </w:r>
          </w:p>
        </w:tc>
        <w:tc>
          <w:tcPr>
            <w:tcW w:w="1311" w:type="dxa"/>
            <w:tcBorders>
              <w:top w:val="single" w:sz="4" w:space="0" w:color="auto"/>
              <w:left w:val="nil"/>
              <w:bottom w:val="single" w:sz="4" w:space="0" w:color="auto"/>
              <w:right w:val="single" w:sz="4" w:space="0" w:color="auto"/>
            </w:tcBorders>
            <w:shd w:val="clear" w:color="auto" w:fill="C6EFCE"/>
            <w:noWrap/>
          </w:tcPr>
          <w:p w14:paraId="70086EC2" w14:textId="77777777" w:rsidR="00DA604C" w:rsidRPr="0051384F" w:rsidRDefault="00DA604C" w:rsidP="003B02A1">
            <w:pPr>
              <w:rPr>
                <w:rFonts w:ascii="Times New Roman" w:hAnsi="Times New Roman" w:cs="Times New Roman"/>
                <w:noProof/>
                <w:color w:val="006100"/>
                <w:sz w:val="20"/>
                <w:szCs w:val="20"/>
              </w:rPr>
            </w:pPr>
            <w:r>
              <w:rPr>
                <w:rFonts w:ascii="Times New Roman" w:hAnsi="Times New Roman"/>
                <w:noProof/>
                <w:color w:val="006100"/>
                <w:sz w:val="20"/>
              </w:rPr>
              <w:t>Влизане в сила на измененията на подзаконовите нормативни актове към Закона за социално подпомагане</w:t>
            </w:r>
          </w:p>
        </w:tc>
        <w:tc>
          <w:tcPr>
            <w:tcW w:w="2004" w:type="dxa"/>
            <w:tcBorders>
              <w:top w:val="single" w:sz="4" w:space="0" w:color="auto"/>
              <w:left w:val="nil"/>
              <w:bottom w:val="single" w:sz="4" w:space="0" w:color="auto"/>
              <w:right w:val="single" w:sz="4" w:space="0" w:color="auto"/>
            </w:tcBorders>
            <w:shd w:val="clear" w:color="auto" w:fill="C6EFCE"/>
            <w:noWrap/>
          </w:tcPr>
          <w:p w14:paraId="0E8DECA9" w14:textId="19E9E40D" w:rsidR="00DA604C" w:rsidRPr="0051384F" w:rsidRDefault="00DA604C" w:rsidP="00297FBF">
            <w:pPr>
              <w:rPr>
                <w:rFonts w:ascii="Times New Roman" w:hAnsi="Times New Roman" w:cs="Times New Roman"/>
                <w:noProof/>
                <w:color w:val="006100"/>
                <w:sz w:val="20"/>
                <w:szCs w:val="20"/>
              </w:rPr>
            </w:pPr>
            <w:r>
              <w:rPr>
                <w:rFonts w:ascii="Times New Roman" w:hAnsi="Times New Roman"/>
                <w:noProof/>
                <w:color w:val="006100"/>
                <w:sz w:val="20"/>
              </w:rPr>
              <w:t>Разпоредба във вторичното законодателство, указваща влизането в сила на измененията на Закона за социално подпомагане</w:t>
            </w:r>
          </w:p>
        </w:tc>
        <w:tc>
          <w:tcPr>
            <w:tcW w:w="850" w:type="dxa"/>
            <w:tcBorders>
              <w:top w:val="single" w:sz="4" w:space="0" w:color="auto"/>
              <w:left w:val="nil"/>
              <w:bottom w:val="single" w:sz="4" w:space="0" w:color="auto"/>
              <w:right w:val="single" w:sz="4" w:space="0" w:color="auto"/>
            </w:tcBorders>
            <w:shd w:val="clear" w:color="auto" w:fill="C6EFCE"/>
            <w:noWrap/>
          </w:tcPr>
          <w:p w14:paraId="75BCBD53" w14:textId="77777777" w:rsidR="00DA604C" w:rsidRPr="008A0F8A" w:rsidRDefault="00DA604C" w:rsidP="0066695B">
            <w:pPr>
              <w:jc w:val="center"/>
              <w:rPr>
                <w:rFonts w:ascii="Times New Roman" w:hAnsi="Times New Roman" w:cs="Times New Roman"/>
                <w:noProof/>
                <w:color w:val="006100"/>
                <w:sz w:val="20"/>
                <w:szCs w:val="20"/>
                <w:lang w:val="ru-RU"/>
              </w:rPr>
            </w:pPr>
          </w:p>
        </w:tc>
        <w:tc>
          <w:tcPr>
            <w:tcW w:w="851" w:type="dxa"/>
            <w:tcBorders>
              <w:top w:val="single" w:sz="4" w:space="0" w:color="auto"/>
              <w:left w:val="nil"/>
              <w:bottom w:val="single" w:sz="4" w:space="0" w:color="auto"/>
              <w:right w:val="single" w:sz="4" w:space="0" w:color="auto"/>
            </w:tcBorders>
            <w:shd w:val="clear" w:color="auto" w:fill="C6EFCE"/>
            <w:noWrap/>
          </w:tcPr>
          <w:p w14:paraId="64B80040" w14:textId="77777777" w:rsidR="00DA604C" w:rsidRPr="008A0F8A" w:rsidRDefault="00DA604C" w:rsidP="0066695B">
            <w:pPr>
              <w:jc w:val="center"/>
              <w:rPr>
                <w:rFonts w:ascii="Times New Roman" w:hAnsi="Times New Roman" w:cs="Times New Roman"/>
                <w:noProof/>
                <w:color w:val="006100"/>
                <w:sz w:val="20"/>
                <w:szCs w:val="20"/>
                <w:lang w:val="ru-RU"/>
              </w:rPr>
            </w:pPr>
          </w:p>
        </w:tc>
        <w:tc>
          <w:tcPr>
            <w:tcW w:w="709" w:type="dxa"/>
            <w:tcBorders>
              <w:top w:val="single" w:sz="4" w:space="0" w:color="auto"/>
              <w:left w:val="nil"/>
              <w:bottom w:val="single" w:sz="4" w:space="0" w:color="auto"/>
              <w:right w:val="single" w:sz="4" w:space="0" w:color="auto"/>
            </w:tcBorders>
            <w:shd w:val="clear" w:color="auto" w:fill="C6EFCE"/>
            <w:noWrap/>
          </w:tcPr>
          <w:p w14:paraId="01EE950F" w14:textId="77777777" w:rsidR="00DA604C" w:rsidRPr="008A0F8A" w:rsidRDefault="00DA604C" w:rsidP="0066695B">
            <w:pPr>
              <w:jc w:val="center"/>
              <w:rPr>
                <w:rFonts w:ascii="Times New Roman" w:hAnsi="Times New Roman" w:cs="Times New Roman"/>
                <w:noProof/>
                <w:color w:val="006100"/>
                <w:sz w:val="20"/>
                <w:szCs w:val="20"/>
                <w:lang w:val="ru-RU"/>
              </w:rPr>
            </w:pPr>
          </w:p>
        </w:tc>
        <w:tc>
          <w:tcPr>
            <w:tcW w:w="850" w:type="dxa"/>
            <w:tcBorders>
              <w:top w:val="single" w:sz="4" w:space="0" w:color="auto"/>
              <w:left w:val="nil"/>
              <w:bottom w:val="single" w:sz="4" w:space="0" w:color="auto"/>
              <w:right w:val="single" w:sz="4" w:space="0" w:color="auto"/>
            </w:tcBorders>
            <w:shd w:val="clear" w:color="auto" w:fill="C6EFCE"/>
            <w:noWrap/>
          </w:tcPr>
          <w:p w14:paraId="38D912F4" w14:textId="77777777"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T1</w:t>
            </w:r>
          </w:p>
        </w:tc>
        <w:tc>
          <w:tcPr>
            <w:tcW w:w="709" w:type="dxa"/>
            <w:tcBorders>
              <w:top w:val="single" w:sz="4" w:space="0" w:color="auto"/>
              <w:left w:val="nil"/>
              <w:bottom w:val="single" w:sz="4" w:space="0" w:color="auto"/>
              <w:right w:val="single" w:sz="4" w:space="0" w:color="auto"/>
            </w:tcBorders>
            <w:shd w:val="clear" w:color="auto" w:fill="C6EFCE"/>
            <w:noWrap/>
          </w:tcPr>
          <w:p w14:paraId="7AB8DE73" w14:textId="77777777"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2022</w:t>
            </w:r>
          </w:p>
        </w:tc>
        <w:tc>
          <w:tcPr>
            <w:tcW w:w="4802" w:type="dxa"/>
            <w:tcBorders>
              <w:top w:val="single" w:sz="4" w:space="0" w:color="auto"/>
              <w:left w:val="nil"/>
              <w:bottom w:val="single" w:sz="4" w:space="0" w:color="auto"/>
              <w:right w:val="single" w:sz="4" w:space="0" w:color="auto"/>
            </w:tcBorders>
            <w:shd w:val="clear" w:color="auto" w:fill="C6EFCE"/>
            <w:noWrap/>
          </w:tcPr>
          <w:p w14:paraId="213AE162" w14:textId="77777777" w:rsidR="00DA604C" w:rsidRPr="0051384F" w:rsidRDefault="00DA604C" w:rsidP="0066695B">
            <w:pPr>
              <w:rPr>
                <w:rFonts w:ascii="Times New Roman" w:hAnsi="Times New Roman" w:cs="Times New Roman"/>
                <w:noProof/>
                <w:color w:val="006100"/>
                <w:sz w:val="20"/>
                <w:szCs w:val="20"/>
              </w:rPr>
            </w:pPr>
            <w:r>
              <w:rPr>
                <w:rFonts w:ascii="Times New Roman" w:hAnsi="Times New Roman"/>
                <w:noProof/>
                <w:color w:val="006100"/>
                <w:sz w:val="20"/>
              </w:rPr>
              <w:t>С цел увеличаване на адекватността и обхвата на схемата за минимален доход, измененията включват постепенно увеличаване на процентите, използвани за изчисляване на прага на доходите в схемата за минимален доход — диференциран минимален доход (ДМД), както следва:</w:t>
            </w:r>
          </w:p>
          <w:p w14:paraId="6AE52CF6" w14:textId="77777777" w:rsidR="00DA604C" w:rsidRPr="0051384F" w:rsidRDefault="00DA604C" w:rsidP="0051384F">
            <w:pPr>
              <w:pStyle w:val="ListParagraph"/>
              <w:numPr>
                <w:ilvl w:val="0"/>
                <w:numId w:val="57"/>
              </w:numPr>
              <w:ind w:left="360"/>
              <w:rPr>
                <w:rFonts w:ascii="Times New Roman" w:hAnsi="Times New Roman" w:cs="Times New Roman"/>
                <w:noProof/>
                <w:color w:val="006100"/>
                <w:sz w:val="20"/>
                <w:szCs w:val="20"/>
              </w:rPr>
            </w:pPr>
            <w:r>
              <w:rPr>
                <w:rFonts w:ascii="Times New Roman" w:hAnsi="Times New Roman"/>
                <w:noProof/>
                <w:color w:val="006100"/>
                <w:sz w:val="20"/>
              </w:rPr>
              <w:t>за 2022 г.: със среден коефициент най-малко 1,10;</w:t>
            </w:r>
          </w:p>
          <w:p w14:paraId="74FADAB1" w14:textId="77777777" w:rsidR="00DA604C" w:rsidRPr="0051384F" w:rsidRDefault="00DA604C" w:rsidP="0051384F">
            <w:pPr>
              <w:pStyle w:val="ListParagraph"/>
              <w:numPr>
                <w:ilvl w:val="0"/>
                <w:numId w:val="57"/>
              </w:numPr>
              <w:ind w:left="360"/>
              <w:rPr>
                <w:rFonts w:ascii="Times New Roman" w:hAnsi="Times New Roman" w:cs="Times New Roman"/>
                <w:noProof/>
                <w:color w:val="006100"/>
                <w:sz w:val="20"/>
                <w:szCs w:val="20"/>
              </w:rPr>
            </w:pPr>
            <w:r>
              <w:rPr>
                <w:rFonts w:ascii="Times New Roman" w:hAnsi="Times New Roman"/>
                <w:noProof/>
                <w:color w:val="006100"/>
                <w:sz w:val="20"/>
              </w:rPr>
              <w:t>за 2023 г.: с коефициент най-малко 1,365;</w:t>
            </w:r>
          </w:p>
          <w:p w14:paraId="56A4A5EB" w14:textId="77777777" w:rsidR="00DA604C" w:rsidRPr="0051384F" w:rsidRDefault="00DA604C" w:rsidP="0051384F">
            <w:pPr>
              <w:pStyle w:val="ListParagraph"/>
              <w:numPr>
                <w:ilvl w:val="0"/>
                <w:numId w:val="57"/>
              </w:numPr>
              <w:ind w:left="360"/>
              <w:rPr>
                <w:rFonts w:ascii="Times New Roman" w:hAnsi="Times New Roman" w:cs="Times New Roman"/>
                <w:noProof/>
                <w:sz w:val="20"/>
                <w:szCs w:val="20"/>
              </w:rPr>
            </w:pPr>
            <w:r>
              <w:rPr>
                <w:rFonts w:ascii="Times New Roman" w:hAnsi="Times New Roman"/>
                <w:noProof/>
                <w:color w:val="006100"/>
                <w:sz w:val="20"/>
              </w:rPr>
              <w:t>за 2024 г.: с коефициент най-малко 1,224</w:t>
            </w:r>
          </w:p>
        </w:tc>
      </w:tr>
      <w:tr w:rsidR="000D78BC" w:rsidRPr="005241FC" w14:paraId="27D6033C" w14:textId="77777777" w:rsidTr="702FA0E6">
        <w:trPr>
          <w:trHeight w:val="309"/>
          <w:jc w:val="center"/>
        </w:trPr>
        <w:tc>
          <w:tcPr>
            <w:tcW w:w="646" w:type="dxa"/>
            <w:tcBorders>
              <w:top w:val="single" w:sz="4" w:space="0" w:color="auto"/>
              <w:left w:val="single" w:sz="4" w:space="0" w:color="auto"/>
              <w:bottom w:val="single" w:sz="4" w:space="0" w:color="auto"/>
              <w:right w:val="single" w:sz="4" w:space="0" w:color="auto"/>
            </w:tcBorders>
            <w:shd w:val="clear" w:color="auto" w:fill="C6EFCE"/>
            <w:noWrap/>
          </w:tcPr>
          <w:p w14:paraId="526BF225" w14:textId="020E7443" w:rsidR="00DA604C" w:rsidRPr="0051384F" w:rsidRDefault="00DA604C" w:rsidP="00C723AC">
            <w:pPr>
              <w:jc w:val="center"/>
              <w:rPr>
                <w:rFonts w:ascii="Times New Roman" w:hAnsi="Times New Roman" w:cs="Times New Roman"/>
                <w:noProof/>
                <w:color w:val="006100"/>
                <w:sz w:val="20"/>
                <w:szCs w:val="20"/>
              </w:rPr>
            </w:pPr>
            <w:r>
              <w:rPr>
                <w:rFonts w:ascii="Times New Roman" w:hAnsi="Times New Roman"/>
                <w:noProof/>
                <w:color w:val="006100"/>
                <w:sz w:val="20"/>
              </w:rPr>
              <w:t> 287</w:t>
            </w:r>
          </w:p>
        </w:tc>
        <w:tc>
          <w:tcPr>
            <w:tcW w:w="1136" w:type="dxa"/>
            <w:tcBorders>
              <w:top w:val="single" w:sz="4" w:space="0" w:color="auto"/>
              <w:left w:val="nil"/>
              <w:bottom w:val="single" w:sz="4" w:space="0" w:color="auto"/>
              <w:right w:val="single" w:sz="4" w:space="0" w:color="auto"/>
            </w:tcBorders>
            <w:shd w:val="clear" w:color="auto" w:fill="C6EFCE"/>
            <w:noWrap/>
          </w:tcPr>
          <w:p w14:paraId="123555BA" w14:textId="77777777" w:rsidR="00DA604C" w:rsidRPr="0051384F" w:rsidRDefault="00DA604C" w:rsidP="003B02A1">
            <w:pPr>
              <w:rPr>
                <w:rFonts w:ascii="Times New Roman" w:hAnsi="Times New Roman" w:cs="Times New Roman"/>
                <w:noProof/>
                <w:color w:val="006100"/>
                <w:sz w:val="20"/>
                <w:szCs w:val="20"/>
              </w:rPr>
            </w:pPr>
            <w:r>
              <w:rPr>
                <w:rFonts w:ascii="Times New Roman" w:hAnsi="Times New Roman"/>
                <w:noProof/>
                <w:color w:val="006100"/>
                <w:sz w:val="20"/>
              </w:rPr>
              <w:t xml:space="preserve">C11.R1: Реформа на схемата за минимален доход </w:t>
            </w:r>
          </w:p>
        </w:tc>
        <w:tc>
          <w:tcPr>
            <w:tcW w:w="1011" w:type="dxa"/>
            <w:tcBorders>
              <w:top w:val="single" w:sz="4" w:space="0" w:color="auto"/>
              <w:left w:val="nil"/>
              <w:bottom w:val="single" w:sz="4" w:space="0" w:color="auto"/>
              <w:right w:val="single" w:sz="4" w:space="0" w:color="auto"/>
            </w:tcBorders>
            <w:shd w:val="clear" w:color="auto" w:fill="C6EFCE"/>
            <w:noWrap/>
          </w:tcPr>
          <w:p w14:paraId="232683B5" w14:textId="77777777" w:rsidR="00DA604C" w:rsidRPr="0051384F" w:rsidRDefault="00DA604C" w:rsidP="003B02A1">
            <w:pPr>
              <w:rPr>
                <w:rFonts w:ascii="Times New Roman" w:hAnsi="Times New Roman" w:cs="Times New Roman"/>
                <w:noProof/>
                <w:color w:val="006100"/>
                <w:sz w:val="20"/>
                <w:szCs w:val="20"/>
              </w:rPr>
            </w:pPr>
            <w:r>
              <w:rPr>
                <w:rFonts w:ascii="Times New Roman" w:hAnsi="Times New Roman"/>
                <w:noProof/>
                <w:color w:val="006100"/>
                <w:sz w:val="20"/>
              </w:rPr>
              <w:t>Ключов етап</w:t>
            </w:r>
          </w:p>
        </w:tc>
        <w:tc>
          <w:tcPr>
            <w:tcW w:w="1311" w:type="dxa"/>
            <w:tcBorders>
              <w:top w:val="single" w:sz="4" w:space="0" w:color="auto"/>
              <w:left w:val="nil"/>
              <w:bottom w:val="single" w:sz="4" w:space="0" w:color="auto"/>
              <w:right w:val="single" w:sz="4" w:space="0" w:color="auto"/>
            </w:tcBorders>
            <w:shd w:val="clear" w:color="auto" w:fill="C6EFCE"/>
            <w:noWrap/>
          </w:tcPr>
          <w:p w14:paraId="17978701" w14:textId="77777777" w:rsidR="00DA604C" w:rsidRPr="0051384F" w:rsidRDefault="00DA604C" w:rsidP="003B02A1">
            <w:pPr>
              <w:rPr>
                <w:rFonts w:ascii="Times New Roman" w:hAnsi="Times New Roman" w:cs="Times New Roman"/>
                <w:noProof/>
                <w:color w:val="006100"/>
                <w:sz w:val="20"/>
                <w:szCs w:val="20"/>
              </w:rPr>
            </w:pPr>
            <w:r>
              <w:rPr>
                <w:rFonts w:ascii="Times New Roman" w:hAnsi="Times New Roman"/>
                <w:noProof/>
                <w:color w:val="006100"/>
                <w:sz w:val="20"/>
              </w:rPr>
              <w:t>Финализиране на доклада за схемата за минимален доход</w:t>
            </w:r>
          </w:p>
        </w:tc>
        <w:tc>
          <w:tcPr>
            <w:tcW w:w="2004" w:type="dxa"/>
            <w:tcBorders>
              <w:top w:val="single" w:sz="4" w:space="0" w:color="auto"/>
              <w:left w:val="nil"/>
              <w:bottom w:val="single" w:sz="4" w:space="0" w:color="auto"/>
              <w:right w:val="single" w:sz="4" w:space="0" w:color="auto"/>
            </w:tcBorders>
            <w:shd w:val="clear" w:color="auto" w:fill="C6EFCE"/>
            <w:noWrap/>
          </w:tcPr>
          <w:p w14:paraId="2B22F972" w14:textId="77777777" w:rsidR="00DA604C" w:rsidRPr="0051384F" w:rsidRDefault="00DA604C" w:rsidP="003B02A1">
            <w:pPr>
              <w:rPr>
                <w:rFonts w:ascii="Times New Roman" w:hAnsi="Times New Roman" w:cs="Times New Roman"/>
                <w:noProof/>
                <w:color w:val="006100"/>
                <w:sz w:val="20"/>
                <w:szCs w:val="20"/>
              </w:rPr>
            </w:pPr>
            <w:r>
              <w:rPr>
                <w:rFonts w:ascii="Times New Roman" w:hAnsi="Times New Roman"/>
                <w:noProof/>
                <w:color w:val="006100"/>
                <w:sz w:val="20"/>
              </w:rPr>
              <w:t>Окончателен доклад, издаден от Министерството на труда и социалната политика и публикуван на уебсайта на министерството.</w:t>
            </w:r>
          </w:p>
        </w:tc>
        <w:tc>
          <w:tcPr>
            <w:tcW w:w="850" w:type="dxa"/>
            <w:tcBorders>
              <w:top w:val="single" w:sz="4" w:space="0" w:color="auto"/>
              <w:left w:val="nil"/>
              <w:bottom w:val="single" w:sz="4" w:space="0" w:color="auto"/>
              <w:right w:val="single" w:sz="4" w:space="0" w:color="auto"/>
            </w:tcBorders>
            <w:shd w:val="clear" w:color="auto" w:fill="C6EFCE"/>
            <w:noWrap/>
          </w:tcPr>
          <w:p w14:paraId="77C85A36" w14:textId="77777777" w:rsidR="00DA604C" w:rsidRPr="008A0F8A" w:rsidRDefault="00DA604C" w:rsidP="0066695B">
            <w:pPr>
              <w:jc w:val="center"/>
              <w:rPr>
                <w:rFonts w:ascii="Times New Roman" w:hAnsi="Times New Roman" w:cs="Times New Roman"/>
                <w:noProof/>
                <w:color w:val="006100"/>
                <w:sz w:val="20"/>
                <w:szCs w:val="20"/>
                <w:lang w:val="ru-RU"/>
              </w:rPr>
            </w:pPr>
          </w:p>
        </w:tc>
        <w:tc>
          <w:tcPr>
            <w:tcW w:w="851" w:type="dxa"/>
            <w:tcBorders>
              <w:top w:val="single" w:sz="4" w:space="0" w:color="auto"/>
              <w:left w:val="nil"/>
              <w:bottom w:val="single" w:sz="4" w:space="0" w:color="auto"/>
              <w:right w:val="single" w:sz="4" w:space="0" w:color="auto"/>
            </w:tcBorders>
            <w:shd w:val="clear" w:color="auto" w:fill="C6EFCE"/>
            <w:noWrap/>
          </w:tcPr>
          <w:p w14:paraId="5C39B49D" w14:textId="77777777" w:rsidR="00DA604C" w:rsidRPr="008A0F8A" w:rsidRDefault="00DA604C" w:rsidP="0066695B">
            <w:pPr>
              <w:jc w:val="center"/>
              <w:rPr>
                <w:rFonts w:ascii="Times New Roman" w:hAnsi="Times New Roman" w:cs="Times New Roman"/>
                <w:noProof/>
                <w:color w:val="006100"/>
                <w:sz w:val="20"/>
                <w:szCs w:val="20"/>
                <w:lang w:val="ru-RU"/>
              </w:rPr>
            </w:pPr>
          </w:p>
        </w:tc>
        <w:tc>
          <w:tcPr>
            <w:tcW w:w="709" w:type="dxa"/>
            <w:tcBorders>
              <w:top w:val="single" w:sz="4" w:space="0" w:color="auto"/>
              <w:left w:val="nil"/>
              <w:bottom w:val="single" w:sz="4" w:space="0" w:color="auto"/>
              <w:right w:val="single" w:sz="4" w:space="0" w:color="auto"/>
            </w:tcBorders>
            <w:shd w:val="clear" w:color="auto" w:fill="C6EFCE"/>
            <w:noWrap/>
          </w:tcPr>
          <w:p w14:paraId="2CD2D390" w14:textId="77777777" w:rsidR="00DA604C" w:rsidRPr="008A0F8A" w:rsidRDefault="00DA604C" w:rsidP="0066695B">
            <w:pPr>
              <w:jc w:val="center"/>
              <w:rPr>
                <w:rFonts w:ascii="Times New Roman" w:hAnsi="Times New Roman" w:cs="Times New Roman"/>
                <w:noProof/>
                <w:color w:val="006100"/>
                <w:sz w:val="20"/>
                <w:szCs w:val="20"/>
                <w:lang w:val="ru-RU"/>
              </w:rPr>
            </w:pPr>
          </w:p>
        </w:tc>
        <w:tc>
          <w:tcPr>
            <w:tcW w:w="850" w:type="dxa"/>
            <w:tcBorders>
              <w:top w:val="single" w:sz="4" w:space="0" w:color="auto"/>
              <w:left w:val="nil"/>
              <w:bottom w:val="single" w:sz="4" w:space="0" w:color="auto"/>
              <w:right w:val="single" w:sz="4" w:space="0" w:color="auto"/>
            </w:tcBorders>
            <w:shd w:val="clear" w:color="auto" w:fill="C6EFCE"/>
            <w:noWrap/>
          </w:tcPr>
          <w:p w14:paraId="2F0AFDB3" w14:textId="77777777"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T4</w:t>
            </w:r>
          </w:p>
        </w:tc>
        <w:tc>
          <w:tcPr>
            <w:tcW w:w="709" w:type="dxa"/>
            <w:tcBorders>
              <w:top w:val="single" w:sz="4" w:space="0" w:color="auto"/>
              <w:left w:val="nil"/>
              <w:bottom w:val="single" w:sz="4" w:space="0" w:color="auto"/>
              <w:right w:val="single" w:sz="4" w:space="0" w:color="auto"/>
            </w:tcBorders>
            <w:shd w:val="clear" w:color="auto" w:fill="C6EFCE"/>
            <w:noWrap/>
          </w:tcPr>
          <w:p w14:paraId="53B39351" w14:textId="77777777"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2022</w:t>
            </w:r>
          </w:p>
        </w:tc>
        <w:tc>
          <w:tcPr>
            <w:tcW w:w="4802" w:type="dxa"/>
            <w:tcBorders>
              <w:top w:val="single" w:sz="4" w:space="0" w:color="auto"/>
              <w:left w:val="nil"/>
              <w:bottom w:val="single" w:sz="4" w:space="0" w:color="auto"/>
              <w:right w:val="single" w:sz="4" w:space="0" w:color="auto"/>
            </w:tcBorders>
            <w:shd w:val="clear" w:color="auto" w:fill="C6EFCE"/>
            <w:noWrap/>
          </w:tcPr>
          <w:p w14:paraId="2B277BB8" w14:textId="77777777" w:rsidR="00DA604C" w:rsidRPr="0051384F" w:rsidRDefault="00DA604C" w:rsidP="0066695B">
            <w:pPr>
              <w:rPr>
                <w:rFonts w:ascii="Times New Roman" w:hAnsi="Times New Roman" w:cs="Times New Roman"/>
                <w:noProof/>
                <w:color w:val="006100"/>
                <w:sz w:val="20"/>
                <w:szCs w:val="20"/>
              </w:rPr>
            </w:pPr>
            <w:r>
              <w:rPr>
                <w:rFonts w:ascii="Times New Roman" w:hAnsi="Times New Roman"/>
                <w:noProof/>
                <w:color w:val="006100"/>
                <w:sz w:val="20"/>
              </w:rPr>
              <w:t>В анализа се отправят основани на доказателства препоръки за разширяване на ефективното покритие, подобряване на насочеността на схемата за минимален доход, стимулиране на започването на платена заетост, подобряване на свързаните мерки за активизиране чрез ПСЗ и значително намаляване на административната тежест за отделните лица и за администрацията в процедурите за кандидатстване. Анализът трябва:</w:t>
            </w:r>
          </w:p>
          <w:p w14:paraId="24C20DE6" w14:textId="77777777" w:rsidR="00DA604C" w:rsidRPr="0051384F" w:rsidRDefault="00DA604C" w:rsidP="0051384F">
            <w:pPr>
              <w:pStyle w:val="ListParagraph"/>
              <w:numPr>
                <w:ilvl w:val="0"/>
                <w:numId w:val="58"/>
              </w:numPr>
              <w:spacing w:after="0" w:line="240" w:lineRule="auto"/>
              <w:ind w:left="360"/>
              <w:rPr>
                <w:rFonts w:ascii="Times New Roman" w:hAnsi="Times New Roman" w:cs="Times New Roman"/>
                <w:noProof/>
                <w:color w:val="006100"/>
                <w:sz w:val="20"/>
                <w:szCs w:val="20"/>
              </w:rPr>
            </w:pPr>
            <w:r>
              <w:rPr>
                <w:rFonts w:ascii="Times New Roman" w:hAnsi="Times New Roman"/>
                <w:noProof/>
                <w:color w:val="006100"/>
                <w:sz w:val="20"/>
              </w:rPr>
              <w:t xml:space="preserve">да прави преглед на критериите за допустимост и работа на схемата за минимален доход, включително критериите за собственост, регистрацията в ПСЗ и изискванията на общността за работа, заедно с прилагането на мерки за активизиране; </w:t>
            </w:r>
          </w:p>
          <w:p w14:paraId="439BF20B" w14:textId="77777777" w:rsidR="00DA604C" w:rsidRPr="0051384F" w:rsidRDefault="00DA604C" w:rsidP="0051384F">
            <w:pPr>
              <w:pStyle w:val="ListParagraph"/>
              <w:numPr>
                <w:ilvl w:val="0"/>
                <w:numId w:val="58"/>
              </w:numPr>
              <w:spacing w:after="0" w:line="240" w:lineRule="auto"/>
              <w:ind w:left="360"/>
              <w:rPr>
                <w:rFonts w:ascii="Times New Roman" w:hAnsi="Times New Roman" w:cs="Times New Roman"/>
                <w:noProof/>
                <w:color w:val="006100"/>
                <w:sz w:val="20"/>
                <w:szCs w:val="20"/>
              </w:rPr>
            </w:pPr>
            <w:r>
              <w:rPr>
                <w:rFonts w:ascii="Times New Roman" w:hAnsi="Times New Roman"/>
                <w:noProof/>
                <w:color w:val="006100"/>
                <w:sz w:val="20"/>
              </w:rPr>
              <w:t xml:space="preserve">да прави преглед на стимулите за заетост, включително намаляване на обезщетенията за получателите на подпомагане за минимален доход, които са започнали платена заетост; </w:t>
            </w:r>
          </w:p>
          <w:p w14:paraId="50A16065" w14:textId="77777777" w:rsidR="00DA604C" w:rsidRPr="0051384F" w:rsidRDefault="00DA604C" w:rsidP="0051384F">
            <w:pPr>
              <w:pStyle w:val="ListParagraph"/>
              <w:numPr>
                <w:ilvl w:val="0"/>
                <w:numId w:val="58"/>
              </w:numPr>
              <w:spacing w:after="0" w:line="240" w:lineRule="auto"/>
              <w:ind w:left="360"/>
              <w:rPr>
                <w:rFonts w:ascii="Times New Roman" w:hAnsi="Times New Roman" w:cs="Times New Roman"/>
                <w:noProof/>
                <w:color w:val="006100"/>
                <w:sz w:val="20"/>
                <w:szCs w:val="20"/>
              </w:rPr>
            </w:pPr>
            <w:r>
              <w:rPr>
                <w:rFonts w:ascii="Times New Roman" w:hAnsi="Times New Roman"/>
                <w:noProof/>
                <w:color w:val="006100"/>
                <w:sz w:val="20"/>
              </w:rPr>
              <w:t xml:space="preserve">да анализира административната тежест на процеса и да вземе това предвид в своите препоръки с оглед постигане на значително намаление; </w:t>
            </w:r>
          </w:p>
          <w:p w14:paraId="59FBD8B5" w14:textId="77777777" w:rsidR="00DA604C" w:rsidRPr="008A0F8A" w:rsidRDefault="00DA604C" w:rsidP="0066695B">
            <w:pPr>
              <w:rPr>
                <w:rFonts w:ascii="Times New Roman" w:hAnsi="Times New Roman" w:cs="Times New Roman"/>
                <w:noProof/>
                <w:color w:val="006100"/>
                <w:sz w:val="20"/>
                <w:szCs w:val="20"/>
                <w:lang w:val="ru-RU"/>
              </w:rPr>
            </w:pPr>
          </w:p>
          <w:p w14:paraId="2DB585AD" w14:textId="77777777" w:rsidR="00DA604C" w:rsidRPr="0051384F" w:rsidRDefault="00DA604C" w:rsidP="0066695B">
            <w:pPr>
              <w:rPr>
                <w:rFonts w:ascii="Times New Roman" w:hAnsi="Times New Roman" w:cs="Times New Roman"/>
                <w:noProof/>
                <w:sz w:val="20"/>
                <w:szCs w:val="20"/>
              </w:rPr>
            </w:pPr>
            <w:r>
              <w:rPr>
                <w:rFonts w:ascii="Times New Roman" w:hAnsi="Times New Roman"/>
                <w:noProof/>
                <w:color w:val="006100"/>
                <w:sz w:val="20"/>
              </w:rPr>
              <w:t>За гореупоменатите елементи анализът трябва да съдържа препратки към предизвикателствата, определени в контекста на европейския семестър и към анализ от международни организации със съответния експертен опит.</w:t>
            </w:r>
          </w:p>
        </w:tc>
      </w:tr>
      <w:tr w:rsidR="000D78BC" w:rsidRPr="005241FC" w14:paraId="67D358E6" w14:textId="77777777" w:rsidTr="702FA0E6">
        <w:trPr>
          <w:trHeight w:val="309"/>
          <w:jc w:val="center"/>
        </w:trPr>
        <w:tc>
          <w:tcPr>
            <w:tcW w:w="646" w:type="dxa"/>
            <w:tcBorders>
              <w:top w:val="single" w:sz="4" w:space="0" w:color="auto"/>
              <w:left w:val="single" w:sz="4" w:space="0" w:color="auto"/>
              <w:bottom w:val="single" w:sz="4" w:space="0" w:color="auto"/>
              <w:right w:val="single" w:sz="4" w:space="0" w:color="auto"/>
            </w:tcBorders>
            <w:shd w:val="clear" w:color="auto" w:fill="C6EFCE"/>
            <w:noWrap/>
          </w:tcPr>
          <w:p w14:paraId="5846CFEA" w14:textId="793206CF"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 288</w:t>
            </w:r>
          </w:p>
        </w:tc>
        <w:tc>
          <w:tcPr>
            <w:tcW w:w="1136" w:type="dxa"/>
            <w:tcBorders>
              <w:top w:val="single" w:sz="4" w:space="0" w:color="auto"/>
              <w:left w:val="single" w:sz="4" w:space="0" w:color="auto"/>
              <w:bottom w:val="single" w:sz="4" w:space="0" w:color="auto"/>
              <w:right w:val="single" w:sz="4" w:space="0" w:color="auto"/>
            </w:tcBorders>
            <w:shd w:val="clear" w:color="auto" w:fill="C6EFCE"/>
            <w:noWrap/>
          </w:tcPr>
          <w:p w14:paraId="2FA329E9" w14:textId="77777777" w:rsidR="00DA604C" w:rsidRPr="0051384F" w:rsidRDefault="00DA604C" w:rsidP="003B02A1">
            <w:pPr>
              <w:rPr>
                <w:rFonts w:ascii="Times New Roman" w:hAnsi="Times New Roman" w:cs="Times New Roman"/>
                <w:noProof/>
                <w:color w:val="006100"/>
                <w:sz w:val="20"/>
                <w:szCs w:val="20"/>
              </w:rPr>
            </w:pPr>
            <w:r>
              <w:rPr>
                <w:rFonts w:ascii="Times New Roman" w:hAnsi="Times New Roman"/>
                <w:noProof/>
                <w:color w:val="006100"/>
                <w:sz w:val="20"/>
              </w:rPr>
              <w:t>C11.R1: Реформа на схемата за минимален доход</w:t>
            </w:r>
          </w:p>
        </w:tc>
        <w:tc>
          <w:tcPr>
            <w:tcW w:w="1011" w:type="dxa"/>
            <w:tcBorders>
              <w:top w:val="single" w:sz="4" w:space="0" w:color="auto"/>
              <w:left w:val="single" w:sz="4" w:space="0" w:color="auto"/>
              <w:bottom w:val="single" w:sz="4" w:space="0" w:color="auto"/>
              <w:right w:val="single" w:sz="4" w:space="0" w:color="auto"/>
            </w:tcBorders>
            <w:shd w:val="clear" w:color="auto" w:fill="C6EFCE"/>
            <w:noWrap/>
          </w:tcPr>
          <w:p w14:paraId="218BAAAF" w14:textId="77777777" w:rsidR="00DA604C" w:rsidRPr="0051384F" w:rsidRDefault="00DA604C" w:rsidP="003B02A1">
            <w:pPr>
              <w:rPr>
                <w:rFonts w:ascii="Times New Roman" w:hAnsi="Times New Roman" w:cs="Times New Roman"/>
                <w:noProof/>
                <w:color w:val="006100"/>
                <w:sz w:val="20"/>
                <w:szCs w:val="20"/>
              </w:rPr>
            </w:pPr>
            <w:r>
              <w:rPr>
                <w:rFonts w:ascii="Times New Roman" w:hAnsi="Times New Roman"/>
                <w:noProof/>
                <w:color w:val="006100"/>
                <w:sz w:val="20"/>
              </w:rPr>
              <w:t>Ключов етап</w:t>
            </w:r>
          </w:p>
        </w:tc>
        <w:tc>
          <w:tcPr>
            <w:tcW w:w="1311" w:type="dxa"/>
            <w:tcBorders>
              <w:top w:val="single" w:sz="4" w:space="0" w:color="auto"/>
              <w:left w:val="single" w:sz="4" w:space="0" w:color="auto"/>
              <w:bottom w:val="single" w:sz="4" w:space="0" w:color="auto"/>
              <w:right w:val="single" w:sz="4" w:space="0" w:color="auto"/>
            </w:tcBorders>
            <w:shd w:val="clear" w:color="auto" w:fill="C6EFCE"/>
            <w:noWrap/>
          </w:tcPr>
          <w:p w14:paraId="061FC9A7" w14:textId="77777777" w:rsidR="00DA604C" w:rsidRPr="0051384F" w:rsidRDefault="00DA604C" w:rsidP="003B02A1">
            <w:pPr>
              <w:rPr>
                <w:rFonts w:ascii="Times New Roman" w:hAnsi="Times New Roman" w:cs="Times New Roman"/>
                <w:noProof/>
                <w:color w:val="006100"/>
                <w:sz w:val="20"/>
                <w:szCs w:val="20"/>
              </w:rPr>
            </w:pPr>
            <w:r>
              <w:rPr>
                <w:rFonts w:ascii="Times New Roman" w:hAnsi="Times New Roman"/>
                <w:noProof/>
                <w:color w:val="006100"/>
                <w:sz w:val="20"/>
              </w:rPr>
              <w:t xml:space="preserve">Влизане в сила на Кодекса за социално подпомагане, на измененията на подзаконовата нормативна база и на Закона за насърчаване на заетостта </w:t>
            </w:r>
          </w:p>
        </w:tc>
        <w:tc>
          <w:tcPr>
            <w:tcW w:w="2004" w:type="dxa"/>
            <w:tcBorders>
              <w:top w:val="single" w:sz="4" w:space="0" w:color="auto"/>
              <w:left w:val="single" w:sz="4" w:space="0" w:color="auto"/>
              <w:bottom w:val="single" w:sz="4" w:space="0" w:color="auto"/>
              <w:right w:val="single" w:sz="4" w:space="0" w:color="auto"/>
            </w:tcBorders>
            <w:shd w:val="clear" w:color="auto" w:fill="C6EFCE"/>
            <w:noWrap/>
          </w:tcPr>
          <w:p w14:paraId="0C87C97D" w14:textId="77777777" w:rsidR="00DA604C" w:rsidRPr="0051384F" w:rsidRDefault="00DA604C" w:rsidP="003B02A1">
            <w:pPr>
              <w:rPr>
                <w:rFonts w:ascii="Times New Roman" w:hAnsi="Times New Roman" w:cs="Times New Roman"/>
                <w:noProof/>
                <w:color w:val="006100"/>
                <w:sz w:val="20"/>
                <w:szCs w:val="20"/>
              </w:rPr>
            </w:pPr>
            <w:r>
              <w:rPr>
                <w:rFonts w:ascii="Times New Roman" w:hAnsi="Times New Roman"/>
                <w:noProof/>
                <w:color w:val="006100"/>
                <w:sz w:val="20"/>
              </w:rPr>
              <w:t>Разпоредби в закона, указващи влизането в сила на Кодекса за социално подпомагане, измененията на подзаконовите нормативни актове и на Закона за насърчаване на заетостта</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14:paraId="50496E44" w14:textId="77777777" w:rsidR="00DA604C" w:rsidRPr="008A0F8A" w:rsidRDefault="00DA604C" w:rsidP="0066695B">
            <w:pPr>
              <w:jc w:val="center"/>
              <w:rPr>
                <w:rFonts w:ascii="Times New Roman" w:hAnsi="Times New Roman" w:cs="Times New Roman"/>
                <w:noProof/>
                <w:color w:val="006100"/>
                <w:sz w:val="20"/>
                <w:szCs w:val="20"/>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14:paraId="2C1806D6" w14:textId="77777777" w:rsidR="00DA604C" w:rsidRPr="008A0F8A" w:rsidRDefault="00DA604C" w:rsidP="0066695B">
            <w:pPr>
              <w:jc w:val="center"/>
              <w:rPr>
                <w:rFonts w:ascii="Times New Roman" w:hAnsi="Times New Roman" w:cs="Times New Roman"/>
                <w:noProof/>
                <w:color w:val="006100"/>
                <w:sz w:val="20"/>
                <w:szCs w:val="20"/>
                <w:lang w:val="ru-RU"/>
              </w:rPr>
            </w:pPr>
          </w:p>
        </w:tc>
        <w:tc>
          <w:tcPr>
            <w:tcW w:w="709" w:type="dxa"/>
            <w:tcBorders>
              <w:top w:val="single" w:sz="4" w:space="0" w:color="auto"/>
              <w:left w:val="single" w:sz="4" w:space="0" w:color="auto"/>
              <w:bottom w:val="single" w:sz="4" w:space="0" w:color="auto"/>
              <w:right w:val="single" w:sz="4" w:space="0" w:color="auto"/>
            </w:tcBorders>
            <w:shd w:val="clear" w:color="auto" w:fill="C6EFCE"/>
            <w:noWrap/>
          </w:tcPr>
          <w:p w14:paraId="30CB1B4E" w14:textId="77777777" w:rsidR="00DA604C" w:rsidRPr="008A0F8A" w:rsidRDefault="00DA604C" w:rsidP="0066695B">
            <w:pPr>
              <w:jc w:val="center"/>
              <w:rPr>
                <w:rFonts w:ascii="Times New Roman" w:hAnsi="Times New Roman" w:cs="Times New Roman"/>
                <w:noProof/>
                <w:color w:val="006100"/>
                <w:sz w:val="20"/>
                <w:szCs w:val="20"/>
                <w:lang w:val="ru-RU"/>
              </w:rPr>
            </w:pP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14:paraId="7AE357D3" w14:textId="77777777"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T4</w:t>
            </w:r>
          </w:p>
        </w:tc>
        <w:tc>
          <w:tcPr>
            <w:tcW w:w="709" w:type="dxa"/>
            <w:tcBorders>
              <w:top w:val="single" w:sz="4" w:space="0" w:color="auto"/>
              <w:left w:val="single" w:sz="4" w:space="0" w:color="auto"/>
              <w:bottom w:val="single" w:sz="4" w:space="0" w:color="auto"/>
              <w:right w:val="single" w:sz="4" w:space="0" w:color="auto"/>
            </w:tcBorders>
            <w:shd w:val="clear" w:color="auto" w:fill="C6EFCE"/>
            <w:noWrap/>
          </w:tcPr>
          <w:p w14:paraId="7EAD2758" w14:textId="77777777"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2023</w:t>
            </w:r>
          </w:p>
        </w:tc>
        <w:tc>
          <w:tcPr>
            <w:tcW w:w="4802" w:type="dxa"/>
            <w:tcBorders>
              <w:top w:val="single" w:sz="4" w:space="0" w:color="auto"/>
              <w:left w:val="single" w:sz="4" w:space="0" w:color="auto"/>
              <w:bottom w:val="single" w:sz="4" w:space="0" w:color="auto"/>
              <w:right w:val="single" w:sz="4" w:space="0" w:color="auto"/>
            </w:tcBorders>
            <w:shd w:val="clear" w:color="auto" w:fill="C6EFCE"/>
            <w:noWrap/>
          </w:tcPr>
          <w:p w14:paraId="53CB582C" w14:textId="77777777" w:rsidR="00DA604C" w:rsidRPr="0051384F" w:rsidRDefault="00DA604C" w:rsidP="0066695B">
            <w:pPr>
              <w:rPr>
                <w:rFonts w:ascii="Times New Roman" w:hAnsi="Times New Roman" w:cs="Times New Roman"/>
                <w:noProof/>
                <w:color w:val="006100"/>
                <w:sz w:val="20"/>
                <w:szCs w:val="20"/>
              </w:rPr>
            </w:pPr>
            <w:r>
              <w:rPr>
                <w:rFonts w:ascii="Times New Roman" w:hAnsi="Times New Roman"/>
                <w:noProof/>
                <w:color w:val="006100"/>
                <w:sz w:val="20"/>
              </w:rPr>
              <w:t>Кодексът за социално подпомагане разглежда разпокъсаността на действащото законодателство в областта на социалните обезщетения, услуги и подкрепа, като кодифицира съответното законодателство.</w:t>
            </w:r>
          </w:p>
          <w:p w14:paraId="3B027DE8" w14:textId="77777777" w:rsidR="00DA604C" w:rsidRPr="0051384F" w:rsidRDefault="00DA604C" w:rsidP="0066695B">
            <w:pPr>
              <w:rPr>
                <w:rFonts w:ascii="Times New Roman" w:hAnsi="Times New Roman" w:cs="Times New Roman"/>
                <w:noProof/>
                <w:color w:val="006100"/>
                <w:sz w:val="20"/>
                <w:szCs w:val="20"/>
              </w:rPr>
            </w:pPr>
            <w:r>
              <w:rPr>
                <w:rFonts w:ascii="Times New Roman" w:hAnsi="Times New Roman"/>
                <w:noProof/>
                <w:color w:val="006100"/>
                <w:sz w:val="20"/>
              </w:rPr>
              <w:t>Кодексът за социално подпомагане или измененията на вторичното законодателство трябва да обхващат следните изменения на схемата за минимален доход:</w:t>
            </w:r>
          </w:p>
          <w:p w14:paraId="69A4F2AA" w14:textId="5E95C72C" w:rsidR="00DA604C" w:rsidRPr="0051384F" w:rsidRDefault="00DA604C" w:rsidP="0051384F">
            <w:pPr>
              <w:pStyle w:val="ListParagraph"/>
              <w:numPr>
                <w:ilvl w:val="0"/>
                <w:numId w:val="58"/>
              </w:numPr>
              <w:ind w:left="360"/>
              <w:rPr>
                <w:rFonts w:ascii="Times New Roman" w:hAnsi="Times New Roman" w:cs="Times New Roman"/>
                <w:noProof/>
                <w:color w:val="006100"/>
                <w:sz w:val="20"/>
                <w:szCs w:val="20"/>
              </w:rPr>
            </w:pPr>
            <w:r>
              <w:rPr>
                <w:rFonts w:ascii="Times New Roman" w:hAnsi="Times New Roman"/>
                <w:noProof/>
                <w:color w:val="006100"/>
                <w:sz w:val="20"/>
              </w:rPr>
              <w:t>преразглеждане на критериите за допустимост и изискването за работа, включително намаляване на изискваното време за регистрация в службите по заетостта от 6 на 3 месеца, и въвеждане на стимули за започване на платена заетост, с цел разширяване на ефективното покритие и подобряване на насочеността, следвайки препоръките на публикуваното проучване на работната група относно схемата за минимален доход (ключов етап 287)</w:t>
            </w:r>
          </w:p>
          <w:p w14:paraId="77FE453D" w14:textId="77777777" w:rsidR="00DA604C" w:rsidRPr="0051384F" w:rsidRDefault="00DA604C" w:rsidP="0051384F">
            <w:pPr>
              <w:pStyle w:val="ListParagraph"/>
              <w:numPr>
                <w:ilvl w:val="0"/>
                <w:numId w:val="58"/>
              </w:numPr>
              <w:ind w:left="360"/>
              <w:rPr>
                <w:rFonts w:ascii="Times New Roman" w:hAnsi="Times New Roman" w:cs="Times New Roman"/>
                <w:noProof/>
                <w:color w:val="006100"/>
                <w:sz w:val="20"/>
                <w:szCs w:val="20"/>
              </w:rPr>
            </w:pPr>
            <w:r>
              <w:rPr>
                <w:rFonts w:ascii="Times New Roman" w:hAnsi="Times New Roman"/>
                <w:noProof/>
                <w:color w:val="006100"/>
                <w:sz w:val="20"/>
              </w:rPr>
              <w:t xml:space="preserve">Въвеждане на автоматично актуализиране на прага на доходите в схемата за минимален доход чрез създаване на механизъм за годишна индексация на диференцирания минимален доход (ДМД) спрямо прага на риска от бедност, считано от 1 януари 2025 г. </w:t>
            </w:r>
          </w:p>
          <w:p w14:paraId="70B31B0F" w14:textId="77777777" w:rsidR="00DA604C" w:rsidRPr="008A0F8A" w:rsidRDefault="00DA604C" w:rsidP="0066695B">
            <w:pPr>
              <w:pStyle w:val="ListParagraph"/>
              <w:rPr>
                <w:rFonts w:ascii="Times New Roman" w:hAnsi="Times New Roman" w:cs="Times New Roman"/>
                <w:noProof/>
                <w:color w:val="006100"/>
                <w:sz w:val="20"/>
                <w:szCs w:val="20"/>
                <w:lang w:val="ru-RU"/>
              </w:rPr>
            </w:pPr>
          </w:p>
          <w:p w14:paraId="22220FDA" w14:textId="564D56DD" w:rsidR="00DA604C" w:rsidRPr="0051384F" w:rsidRDefault="00DA604C" w:rsidP="0051384F">
            <w:pPr>
              <w:pStyle w:val="ListParagraph"/>
              <w:ind w:left="0"/>
              <w:rPr>
                <w:rFonts w:ascii="Times New Roman" w:hAnsi="Times New Roman" w:cs="Times New Roman"/>
                <w:noProof/>
                <w:color w:val="006100"/>
                <w:sz w:val="20"/>
                <w:szCs w:val="20"/>
              </w:rPr>
            </w:pPr>
            <w:r>
              <w:rPr>
                <w:rFonts w:ascii="Times New Roman" w:hAnsi="Times New Roman"/>
                <w:noProof/>
                <w:color w:val="006100"/>
                <w:sz w:val="20"/>
              </w:rPr>
              <w:t xml:space="preserve">За всяка целева група на схемата ДМД се изчислява чрез умножаване на специфичен за групата коефициент по базов елемент, който замества гарантирания минимален доход (ГМД), общ за всички целеви групи: </w:t>
            </w:r>
          </w:p>
          <w:p w14:paraId="0FC6EC59" w14:textId="76717907" w:rsidR="00DA604C" w:rsidRPr="0051384F" w:rsidRDefault="00DA604C" w:rsidP="0051384F">
            <w:pPr>
              <w:pStyle w:val="ListParagraph"/>
              <w:numPr>
                <w:ilvl w:val="1"/>
                <w:numId w:val="58"/>
              </w:numPr>
              <w:ind w:left="360"/>
              <w:rPr>
                <w:rFonts w:ascii="Times New Roman" w:hAnsi="Times New Roman" w:cs="Times New Roman"/>
                <w:noProof/>
                <w:color w:val="006100"/>
                <w:sz w:val="20"/>
                <w:szCs w:val="20"/>
              </w:rPr>
            </w:pPr>
            <w:r>
              <w:rPr>
                <w:rFonts w:ascii="Times New Roman" w:hAnsi="Times New Roman"/>
                <w:noProof/>
                <w:color w:val="006100"/>
                <w:sz w:val="20"/>
              </w:rPr>
              <w:t>За всяка целева група специфичният за групата коефициент не трябва да бъде по-нисък от стойността му за 2021 г.;</w:t>
            </w:r>
          </w:p>
          <w:p w14:paraId="5D65D71D" w14:textId="77777777" w:rsidR="00DA604C" w:rsidRPr="0051384F" w:rsidRDefault="00DA604C" w:rsidP="0051384F">
            <w:pPr>
              <w:pStyle w:val="ListParagraph"/>
              <w:numPr>
                <w:ilvl w:val="1"/>
                <w:numId w:val="58"/>
              </w:numPr>
              <w:ind w:left="360"/>
              <w:rPr>
                <w:rFonts w:ascii="Times New Roman" w:hAnsi="Times New Roman" w:cs="Times New Roman"/>
                <w:noProof/>
                <w:color w:val="006100"/>
                <w:sz w:val="20"/>
                <w:szCs w:val="20"/>
              </w:rPr>
            </w:pPr>
            <w:r>
              <w:rPr>
                <w:rFonts w:ascii="Times New Roman" w:hAnsi="Times New Roman"/>
                <w:noProof/>
                <w:color w:val="006100"/>
                <w:sz w:val="20"/>
              </w:rPr>
              <w:t>Базовият елемент трябва да бъде равен на най-малко 30 % от най-актуалния праг за риска от изпадане в бедност;</w:t>
            </w:r>
          </w:p>
          <w:p w14:paraId="26FA6A00" w14:textId="77777777" w:rsidR="00DA604C" w:rsidRPr="0051384F" w:rsidRDefault="00DA604C" w:rsidP="0051384F">
            <w:pPr>
              <w:pStyle w:val="ListParagraph"/>
              <w:numPr>
                <w:ilvl w:val="1"/>
                <w:numId w:val="58"/>
              </w:numPr>
              <w:ind w:left="360"/>
              <w:rPr>
                <w:rFonts w:ascii="Times New Roman" w:hAnsi="Times New Roman" w:cs="Times New Roman"/>
                <w:noProof/>
                <w:color w:val="006100"/>
                <w:sz w:val="20"/>
                <w:szCs w:val="20"/>
              </w:rPr>
            </w:pPr>
            <w:r>
              <w:rPr>
                <w:rFonts w:ascii="Times New Roman" w:hAnsi="Times New Roman"/>
                <w:noProof/>
                <w:color w:val="006100"/>
                <w:sz w:val="20"/>
              </w:rPr>
              <w:t>прагът на риска от изпадане в бедност, използван за индексирането, се хармонизира с методиката на Евростат.</w:t>
            </w:r>
          </w:p>
          <w:p w14:paraId="6FC13C24" w14:textId="77777777" w:rsidR="00DA604C" w:rsidRPr="0051384F" w:rsidRDefault="00DA604C" w:rsidP="0066695B">
            <w:pPr>
              <w:rPr>
                <w:rFonts w:ascii="Times New Roman" w:hAnsi="Times New Roman" w:cs="Times New Roman"/>
                <w:noProof/>
                <w:color w:val="006100"/>
                <w:sz w:val="20"/>
                <w:szCs w:val="20"/>
              </w:rPr>
            </w:pPr>
            <w:r>
              <w:rPr>
                <w:rFonts w:ascii="Times New Roman" w:hAnsi="Times New Roman"/>
                <w:noProof/>
                <w:color w:val="006100"/>
                <w:sz w:val="20"/>
              </w:rPr>
              <w:t xml:space="preserve">В допълнение измененията на Закона за заетостта обхващат: </w:t>
            </w:r>
          </w:p>
          <w:p w14:paraId="632D2F7B" w14:textId="77777777" w:rsidR="00DA604C" w:rsidRPr="0051384F" w:rsidRDefault="00DA604C" w:rsidP="0051384F">
            <w:pPr>
              <w:pStyle w:val="ListParagraph"/>
              <w:numPr>
                <w:ilvl w:val="0"/>
                <w:numId w:val="59"/>
              </w:numPr>
              <w:ind w:left="360"/>
              <w:rPr>
                <w:rFonts w:ascii="Times New Roman" w:hAnsi="Times New Roman" w:cs="Times New Roman"/>
                <w:noProof/>
                <w:color w:val="006100"/>
                <w:sz w:val="20"/>
                <w:szCs w:val="20"/>
              </w:rPr>
            </w:pPr>
            <w:r>
              <w:rPr>
                <w:rFonts w:ascii="Times New Roman" w:hAnsi="Times New Roman"/>
                <w:noProof/>
                <w:color w:val="006100"/>
                <w:sz w:val="20"/>
              </w:rPr>
              <w:t>правното определение за „икономически неактивен“;</w:t>
            </w:r>
          </w:p>
          <w:p w14:paraId="57836C01" w14:textId="77777777" w:rsidR="00DA604C" w:rsidRPr="0051384F" w:rsidRDefault="00DA604C" w:rsidP="0051384F">
            <w:pPr>
              <w:pStyle w:val="ListParagraph"/>
              <w:numPr>
                <w:ilvl w:val="0"/>
                <w:numId w:val="59"/>
              </w:numPr>
              <w:ind w:left="360"/>
              <w:rPr>
                <w:rFonts w:ascii="Times New Roman" w:hAnsi="Times New Roman" w:cs="Times New Roman"/>
                <w:noProof/>
                <w:color w:val="006100"/>
                <w:sz w:val="20"/>
                <w:szCs w:val="20"/>
              </w:rPr>
            </w:pPr>
            <w:r>
              <w:rPr>
                <w:rFonts w:ascii="Times New Roman" w:hAnsi="Times New Roman"/>
                <w:noProof/>
                <w:color w:val="006100"/>
                <w:sz w:val="20"/>
              </w:rPr>
              <w:t>нова глава, определяща набора от дейности, насочени към активирането на „икономически неактивните“</w:t>
            </w:r>
          </w:p>
        </w:tc>
      </w:tr>
      <w:tr w:rsidR="000D78BC" w:rsidRPr="005241FC" w14:paraId="18FEEDB2" w14:textId="77777777" w:rsidTr="702FA0E6">
        <w:trPr>
          <w:trHeight w:val="309"/>
          <w:jc w:val="center"/>
        </w:trPr>
        <w:tc>
          <w:tcPr>
            <w:tcW w:w="646" w:type="dxa"/>
            <w:tcBorders>
              <w:top w:val="single" w:sz="4" w:space="0" w:color="auto"/>
              <w:left w:val="single" w:sz="4" w:space="0" w:color="auto"/>
              <w:bottom w:val="single" w:sz="4" w:space="0" w:color="auto"/>
              <w:right w:val="single" w:sz="4" w:space="0" w:color="auto"/>
            </w:tcBorders>
            <w:shd w:val="clear" w:color="auto" w:fill="C6EFCE"/>
            <w:noWrap/>
          </w:tcPr>
          <w:p w14:paraId="32065708" w14:textId="0C7B33E6" w:rsidR="00DA604C" w:rsidRPr="0051384F" w:rsidRDefault="00C723AC" w:rsidP="005853E9">
            <w:pPr>
              <w:jc w:val="center"/>
              <w:rPr>
                <w:rFonts w:ascii="Times New Roman" w:hAnsi="Times New Roman" w:cs="Times New Roman"/>
                <w:noProof/>
                <w:color w:val="006100"/>
                <w:sz w:val="20"/>
                <w:szCs w:val="20"/>
              </w:rPr>
            </w:pPr>
            <w:r>
              <w:rPr>
                <w:rFonts w:ascii="Times New Roman" w:hAnsi="Times New Roman"/>
                <w:noProof/>
                <w:color w:val="006100"/>
                <w:sz w:val="20"/>
              </w:rPr>
              <w:t>289</w:t>
            </w:r>
          </w:p>
        </w:tc>
        <w:tc>
          <w:tcPr>
            <w:tcW w:w="1136" w:type="dxa"/>
            <w:tcBorders>
              <w:top w:val="single" w:sz="4" w:space="0" w:color="auto"/>
              <w:left w:val="nil"/>
              <w:bottom w:val="single" w:sz="4" w:space="0" w:color="auto"/>
              <w:right w:val="single" w:sz="4" w:space="0" w:color="auto"/>
            </w:tcBorders>
            <w:shd w:val="clear" w:color="auto" w:fill="C6EFCE"/>
            <w:noWrap/>
          </w:tcPr>
          <w:p w14:paraId="3845A1D4" w14:textId="77777777" w:rsidR="00DA604C" w:rsidRPr="0051384F" w:rsidRDefault="00DA604C" w:rsidP="003B02A1">
            <w:pPr>
              <w:rPr>
                <w:rFonts w:ascii="Times New Roman" w:hAnsi="Times New Roman" w:cs="Times New Roman"/>
                <w:noProof/>
                <w:color w:val="006100"/>
                <w:sz w:val="20"/>
                <w:szCs w:val="20"/>
              </w:rPr>
            </w:pPr>
            <w:r>
              <w:rPr>
                <w:rFonts w:ascii="Times New Roman" w:hAnsi="Times New Roman"/>
                <w:noProof/>
                <w:color w:val="006100"/>
                <w:sz w:val="20"/>
              </w:rPr>
              <w:t>C11.R1: Реформа на схемата за минимален доход</w:t>
            </w:r>
          </w:p>
        </w:tc>
        <w:tc>
          <w:tcPr>
            <w:tcW w:w="1011" w:type="dxa"/>
            <w:tcBorders>
              <w:top w:val="single" w:sz="4" w:space="0" w:color="auto"/>
              <w:left w:val="nil"/>
              <w:bottom w:val="single" w:sz="4" w:space="0" w:color="auto"/>
              <w:right w:val="single" w:sz="4" w:space="0" w:color="auto"/>
            </w:tcBorders>
            <w:shd w:val="clear" w:color="auto" w:fill="C6EFCE"/>
            <w:noWrap/>
          </w:tcPr>
          <w:p w14:paraId="625E0646" w14:textId="77777777"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Цел</w:t>
            </w:r>
          </w:p>
        </w:tc>
        <w:tc>
          <w:tcPr>
            <w:tcW w:w="1311" w:type="dxa"/>
            <w:tcBorders>
              <w:top w:val="single" w:sz="4" w:space="0" w:color="auto"/>
              <w:left w:val="nil"/>
              <w:bottom w:val="single" w:sz="4" w:space="0" w:color="auto"/>
              <w:right w:val="single" w:sz="4" w:space="0" w:color="auto"/>
            </w:tcBorders>
            <w:shd w:val="clear" w:color="auto" w:fill="C6EFCE"/>
            <w:noWrap/>
          </w:tcPr>
          <w:p w14:paraId="4C23977A" w14:textId="77777777" w:rsidR="00DA604C" w:rsidRPr="0051384F" w:rsidRDefault="00DA604C" w:rsidP="0066695B">
            <w:pPr>
              <w:rPr>
                <w:rFonts w:ascii="Times New Roman" w:hAnsi="Times New Roman" w:cs="Times New Roman"/>
                <w:noProof/>
                <w:color w:val="006100"/>
                <w:sz w:val="20"/>
                <w:szCs w:val="20"/>
              </w:rPr>
            </w:pPr>
            <w:r>
              <w:rPr>
                <w:rFonts w:ascii="Times New Roman" w:hAnsi="Times New Roman"/>
                <w:noProof/>
                <w:color w:val="006100"/>
                <w:sz w:val="20"/>
              </w:rPr>
              <w:t>Бенефициери на подпомагане за месечен минимален доход</w:t>
            </w:r>
          </w:p>
        </w:tc>
        <w:tc>
          <w:tcPr>
            <w:tcW w:w="2004" w:type="dxa"/>
            <w:tcBorders>
              <w:top w:val="single" w:sz="4" w:space="0" w:color="auto"/>
              <w:left w:val="nil"/>
              <w:bottom w:val="single" w:sz="4" w:space="0" w:color="auto"/>
              <w:right w:val="single" w:sz="4" w:space="0" w:color="auto"/>
            </w:tcBorders>
            <w:shd w:val="clear" w:color="auto" w:fill="C6EFCE"/>
            <w:noWrap/>
          </w:tcPr>
          <w:p w14:paraId="0C76FA51" w14:textId="3CDE739B" w:rsidR="00DA604C" w:rsidRPr="008A0F8A" w:rsidRDefault="00DA604C" w:rsidP="0066695B">
            <w:pPr>
              <w:rPr>
                <w:rFonts w:ascii="Times New Roman" w:hAnsi="Times New Roman" w:cs="Times New Roman"/>
                <w:noProof/>
                <w:color w:val="006100"/>
                <w:sz w:val="20"/>
                <w:szCs w:val="20"/>
                <w:lang w:val="ru-RU"/>
              </w:rPr>
            </w:pPr>
          </w:p>
        </w:tc>
        <w:tc>
          <w:tcPr>
            <w:tcW w:w="850" w:type="dxa"/>
            <w:tcBorders>
              <w:top w:val="single" w:sz="4" w:space="0" w:color="auto"/>
              <w:left w:val="nil"/>
              <w:bottom w:val="single" w:sz="4" w:space="0" w:color="auto"/>
              <w:right w:val="single" w:sz="4" w:space="0" w:color="auto"/>
            </w:tcBorders>
            <w:shd w:val="clear" w:color="auto" w:fill="C6EFCE"/>
            <w:noWrap/>
          </w:tcPr>
          <w:p w14:paraId="4B6DA47B" w14:textId="77777777"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Брой</w:t>
            </w:r>
          </w:p>
        </w:tc>
        <w:tc>
          <w:tcPr>
            <w:tcW w:w="851" w:type="dxa"/>
            <w:tcBorders>
              <w:top w:val="single" w:sz="4" w:space="0" w:color="auto"/>
              <w:left w:val="nil"/>
              <w:bottom w:val="single" w:sz="4" w:space="0" w:color="auto"/>
              <w:right w:val="single" w:sz="4" w:space="0" w:color="auto"/>
            </w:tcBorders>
            <w:shd w:val="clear" w:color="auto" w:fill="C6EFCE"/>
            <w:noWrap/>
          </w:tcPr>
          <w:p w14:paraId="484BDF38" w14:textId="77777777"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63518</w:t>
            </w:r>
          </w:p>
        </w:tc>
        <w:tc>
          <w:tcPr>
            <w:tcW w:w="709" w:type="dxa"/>
            <w:tcBorders>
              <w:top w:val="single" w:sz="4" w:space="0" w:color="auto"/>
              <w:left w:val="nil"/>
              <w:bottom w:val="single" w:sz="4" w:space="0" w:color="auto"/>
              <w:right w:val="single" w:sz="4" w:space="0" w:color="auto"/>
            </w:tcBorders>
            <w:shd w:val="clear" w:color="auto" w:fill="C6EFCE"/>
            <w:noWrap/>
          </w:tcPr>
          <w:p w14:paraId="21BF4DB3" w14:textId="77777777"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116873</w:t>
            </w:r>
          </w:p>
        </w:tc>
        <w:tc>
          <w:tcPr>
            <w:tcW w:w="850" w:type="dxa"/>
            <w:tcBorders>
              <w:top w:val="single" w:sz="4" w:space="0" w:color="auto"/>
              <w:left w:val="nil"/>
              <w:bottom w:val="single" w:sz="4" w:space="0" w:color="auto"/>
              <w:right w:val="single" w:sz="4" w:space="0" w:color="auto"/>
            </w:tcBorders>
            <w:shd w:val="clear" w:color="auto" w:fill="C6EFCE"/>
            <w:noWrap/>
          </w:tcPr>
          <w:p w14:paraId="43148426" w14:textId="77777777"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T4</w:t>
            </w:r>
          </w:p>
        </w:tc>
        <w:tc>
          <w:tcPr>
            <w:tcW w:w="709" w:type="dxa"/>
            <w:tcBorders>
              <w:top w:val="single" w:sz="4" w:space="0" w:color="auto"/>
              <w:left w:val="nil"/>
              <w:bottom w:val="single" w:sz="4" w:space="0" w:color="auto"/>
              <w:right w:val="single" w:sz="4" w:space="0" w:color="auto"/>
            </w:tcBorders>
            <w:shd w:val="clear" w:color="auto" w:fill="C6EFCE"/>
            <w:noWrap/>
          </w:tcPr>
          <w:p w14:paraId="051E8185" w14:textId="77777777"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2024</w:t>
            </w:r>
          </w:p>
        </w:tc>
        <w:tc>
          <w:tcPr>
            <w:tcW w:w="4802" w:type="dxa"/>
            <w:tcBorders>
              <w:top w:val="single" w:sz="4" w:space="0" w:color="auto"/>
              <w:left w:val="nil"/>
              <w:bottom w:val="single" w:sz="4" w:space="0" w:color="auto"/>
              <w:right w:val="single" w:sz="4" w:space="0" w:color="auto"/>
            </w:tcBorders>
            <w:shd w:val="clear" w:color="auto" w:fill="C6EFCE"/>
            <w:noWrap/>
          </w:tcPr>
          <w:p w14:paraId="7E5B8B60" w14:textId="77777777" w:rsidR="00DA604C" w:rsidRPr="0051384F" w:rsidRDefault="00DA604C" w:rsidP="0066695B">
            <w:pPr>
              <w:rPr>
                <w:rFonts w:ascii="Times New Roman" w:hAnsi="Times New Roman" w:cs="Times New Roman"/>
                <w:noProof/>
                <w:color w:val="006100"/>
                <w:sz w:val="20"/>
                <w:szCs w:val="20"/>
              </w:rPr>
            </w:pPr>
            <w:r>
              <w:rPr>
                <w:rFonts w:ascii="Times New Roman" w:hAnsi="Times New Roman"/>
                <w:noProof/>
                <w:color w:val="006100"/>
                <w:sz w:val="20"/>
              </w:rPr>
              <w:t>Броят на получателите, измерен като физически лица, на подпомагането за месечен минимален доход се увеличава от 63518 през 2020 г. на 116873 през 2024 г.</w:t>
            </w:r>
          </w:p>
        </w:tc>
      </w:tr>
      <w:tr w:rsidR="000D78BC" w:rsidRPr="005241FC" w14:paraId="5EFEE20B" w14:textId="77777777" w:rsidTr="702FA0E6">
        <w:trPr>
          <w:trHeight w:val="309"/>
          <w:jc w:val="center"/>
        </w:trPr>
        <w:tc>
          <w:tcPr>
            <w:tcW w:w="646" w:type="dxa"/>
            <w:tcBorders>
              <w:top w:val="single" w:sz="4" w:space="0" w:color="auto"/>
              <w:left w:val="single" w:sz="4" w:space="0" w:color="auto"/>
              <w:bottom w:val="single" w:sz="4" w:space="0" w:color="auto"/>
              <w:right w:val="single" w:sz="4" w:space="0" w:color="auto"/>
            </w:tcBorders>
            <w:shd w:val="clear" w:color="auto" w:fill="C6EFCE"/>
            <w:noWrap/>
          </w:tcPr>
          <w:p w14:paraId="06F1770C" w14:textId="5E6E9D3A" w:rsidR="00DA604C" w:rsidRPr="0051384F" w:rsidRDefault="00C723AC" w:rsidP="0066695B">
            <w:pPr>
              <w:jc w:val="center"/>
              <w:rPr>
                <w:rFonts w:ascii="Times New Roman" w:hAnsi="Times New Roman" w:cs="Times New Roman"/>
                <w:noProof/>
                <w:color w:val="006100"/>
                <w:sz w:val="20"/>
                <w:szCs w:val="20"/>
              </w:rPr>
            </w:pPr>
            <w:r>
              <w:rPr>
                <w:rFonts w:ascii="Times New Roman" w:hAnsi="Times New Roman"/>
                <w:noProof/>
                <w:color w:val="006100"/>
                <w:sz w:val="20"/>
              </w:rPr>
              <w:t>290</w:t>
            </w:r>
          </w:p>
        </w:tc>
        <w:tc>
          <w:tcPr>
            <w:tcW w:w="1136" w:type="dxa"/>
            <w:tcBorders>
              <w:top w:val="single" w:sz="4" w:space="0" w:color="auto"/>
              <w:left w:val="nil"/>
              <w:bottom w:val="single" w:sz="4" w:space="0" w:color="auto"/>
              <w:right w:val="single" w:sz="4" w:space="0" w:color="auto"/>
            </w:tcBorders>
            <w:shd w:val="clear" w:color="auto" w:fill="C6EFCE"/>
            <w:noWrap/>
          </w:tcPr>
          <w:p w14:paraId="7870AF5E" w14:textId="77777777" w:rsidR="00DA604C" w:rsidRPr="0051384F" w:rsidRDefault="00DA604C" w:rsidP="003B02A1">
            <w:pPr>
              <w:rPr>
                <w:rFonts w:ascii="Times New Roman" w:hAnsi="Times New Roman" w:cs="Times New Roman"/>
                <w:noProof/>
                <w:color w:val="006100"/>
                <w:sz w:val="20"/>
                <w:szCs w:val="20"/>
              </w:rPr>
            </w:pPr>
            <w:r>
              <w:rPr>
                <w:rFonts w:ascii="Times New Roman" w:hAnsi="Times New Roman"/>
                <w:noProof/>
                <w:color w:val="006100"/>
                <w:sz w:val="20"/>
              </w:rPr>
              <w:t>C11.R2: Реформа на социалните услуги</w:t>
            </w:r>
          </w:p>
        </w:tc>
        <w:tc>
          <w:tcPr>
            <w:tcW w:w="1011" w:type="dxa"/>
            <w:tcBorders>
              <w:top w:val="single" w:sz="4" w:space="0" w:color="auto"/>
              <w:left w:val="nil"/>
              <w:bottom w:val="single" w:sz="4" w:space="0" w:color="auto"/>
              <w:right w:val="single" w:sz="4" w:space="0" w:color="auto"/>
            </w:tcBorders>
            <w:shd w:val="clear" w:color="auto" w:fill="C6EFCE"/>
            <w:noWrap/>
          </w:tcPr>
          <w:p w14:paraId="1604A934" w14:textId="77777777"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Ключов етап</w:t>
            </w:r>
          </w:p>
        </w:tc>
        <w:tc>
          <w:tcPr>
            <w:tcW w:w="1311" w:type="dxa"/>
            <w:tcBorders>
              <w:top w:val="single" w:sz="4" w:space="0" w:color="auto"/>
              <w:left w:val="nil"/>
              <w:bottom w:val="single" w:sz="4" w:space="0" w:color="auto"/>
              <w:right w:val="single" w:sz="4" w:space="0" w:color="auto"/>
            </w:tcBorders>
            <w:shd w:val="clear" w:color="auto" w:fill="C6EFCE"/>
            <w:noWrap/>
          </w:tcPr>
          <w:p w14:paraId="4BDBF3B3" w14:textId="3D05D395" w:rsidR="00DA604C" w:rsidRPr="0051384F" w:rsidRDefault="00DA604C" w:rsidP="0066695B">
            <w:pPr>
              <w:rPr>
                <w:rFonts w:ascii="Times New Roman" w:hAnsi="Times New Roman" w:cs="Times New Roman"/>
                <w:noProof/>
                <w:color w:val="006100"/>
                <w:sz w:val="20"/>
                <w:szCs w:val="20"/>
              </w:rPr>
            </w:pPr>
            <w:r>
              <w:rPr>
                <w:rFonts w:ascii="Times New Roman" w:hAnsi="Times New Roman"/>
                <w:noProof/>
                <w:color w:val="006100"/>
                <w:sz w:val="20"/>
              </w:rPr>
              <w:t>Влизане в сила на Наредбата за качеството на социалните услуги</w:t>
            </w:r>
          </w:p>
        </w:tc>
        <w:tc>
          <w:tcPr>
            <w:tcW w:w="2004" w:type="dxa"/>
            <w:tcBorders>
              <w:top w:val="single" w:sz="4" w:space="0" w:color="auto"/>
              <w:left w:val="nil"/>
              <w:bottom w:val="single" w:sz="4" w:space="0" w:color="auto"/>
              <w:right w:val="single" w:sz="4" w:space="0" w:color="auto"/>
            </w:tcBorders>
            <w:shd w:val="clear" w:color="auto" w:fill="C6EFCE"/>
            <w:noWrap/>
          </w:tcPr>
          <w:p w14:paraId="502102A0" w14:textId="2392BF8A" w:rsidR="00DA604C" w:rsidRPr="0051384F" w:rsidRDefault="00DA604C" w:rsidP="006232C5">
            <w:pPr>
              <w:rPr>
                <w:rFonts w:ascii="Times New Roman" w:hAnsi="Times New Roman" w:cs="Times New Roman"/>
                <w:noProof/>
                <w:color w:val="006100"/>
                <w:sz w:val="20"/>
                <w:szCs w:val="20"/>
              </w:rPr>
            </w:pPr>
            <w:r>
              <w:rPr>
                <w:rFonts w:ascii="Times New Roman" w:hAnsi="Times New Roman"/>
                <w:noProof/>
                <w:color w:val="006100"/>
                <w:sz w:val="20"/>
              </w:rPr>
              <w:t>Разпоредба в постановлението за влизането в сила на Наредбата за качеството на социалните услуги</w:t>
            </w:r>
          </w:p>
        </w:tc>
        <w:tc>
          <w:tcPr>
            <w:tcW w:w="850" w:type="dxa"/>
            <w:tcBorders>
              <w:top w:val="single" w:sz="4" w:space="0" w:color="auto"/>
              <w:left w:val="nil"/>
              <w:bottom w:val="single" w:sz="4" w:space="0" w:color="auto"/>
              <w:right w:val="single" w:sz="4" w:space="0" w:color="auto"/>
            </w:tcBorders>
            <w:shd w:val="clear" w:color="auto" w:fill="C6EFCE"/>
            <w:noWrap/>
          </w:tcPr>
          <w:p w14:paraId="1D6EA3D8" w14:textId="77777777" w:rsidR="00DA604C" w:rsidRPr="008A0F8A" w:rsidRDefault="00DA604C" w:rsidP="0066695B">
            <w:pPr>
              <w:jc w:val="center"/>
              <w:rPr>
                <w:rFonts w:ascii="Times New Roman" w:hAnsi="Times New Roman" w:cs="Times New Roman"/>
                <w:noProof/>
                <w:color w:val="006100"/>
                <w:sz w:val="20"/>
                <w:szCs w:val="20"/>
                <w:lang w:val="ru-RU"/>
              </w:rPr>
            </w:pPr>
          </w:p>
        </w:tc>
        <w:tc>
          <w:tcPr>
            <w:tcW w:w="851" w:type="dxa"/>
            <w:tcBorders>
              <w:top w:val="single" w:sz="4" w:space="0" w:color="auto"/>
              <w:left w:val="nil"/>
              <w:bottom w:val="single" w:sz="4" w:space="0" w:color="auto"/>
              <w:right w:val="single" w:sz="4" w:space="0" w:color="auto"/>
            </w:tcBorders>
            <w:shd w:val="clear" w:color="auto" w:fill="C6EFCE"/>
            <w:noWrap/>
          </w:tcPr>
          <w:p w14:paraId="389068A4" w14:textId="77777777" w:rsidR="00DA604C" w:rsidRPr="008A0F8A" w:rsidRDefault="00DA604C" w:rsidP="0066695B">
            <w:pPr>
              <w:jc w:val="center"/>
              <w:rPr>
                <w:rFonts w:ascii="Times New Roman" w:hAnsi="Times New Roman" w:cs="Times New Roman"/>
                <w:noProof/>
                <w:color w:val="006100"/>
                <w:sz w:val="20"/>
                <w:szCs w:val="20"/>
                <w:lang w:val="ru-RU"/>
              </w:rPr>
            </w:pPr>
          </w:p>
        </w:tc>
        <w:tc>
          <w:tcPr>
            <w:tcW w:w="709" w:type="dxa"/>
            <w:tcBorders>
              <w:top w:val="single" w:sz="4" w:space="0" w:color="auto"/>
              <w:left w:val="nil"/>
              <w:bottom w:val="single" w:sz="4" w:space="0" w:color="auto"/>
              <w:right w:val="single" w:sz="4" w:space="0" w:color="auto"/>
            </w:tcBorders>
            <w:shd w:val="clear" w:color="auto" w:fill="C6EFCE"/>
            <w:noWrap/>
          </w:tcPr>
          <w:p w14:paraId="170B26E2" w14:textId="77777777" w:rsidR="00DA604C" w:rsidRPr="008A0F8A" w:rsidRDefault="00DA604C" w:rsidP="0066695B">
            <w:pPr>
              <w:jc w:val="center"/>
              <w:rPr>
                <w:rFonts w:ascii="Times New Roman" w:hAnsi="Times New Roman" w:cs="Times New Roman"/>
                <w:noProof/>
                <w:color w:val="006100"/>
                <w:sz w:val="20"/>
                <w:szCs w:val="20"/>
                <w:lang w:val="ru-RU"/>
              </w:rPr>
            </w:pPr>
          </w:p>
        </w:tc>
        <w:tc>
          <w:tcPr>
            <w:tcW w:w="850" w:type="dxa"/>
            <w:tcBorders>
              <w:top w:val="single" w:sz="4" w:space="0" w:color="auto"/>
              <w:left w:val="nil"/>
              <w:bottom w:val="single" w:sz="4" w:space="0" w:color="auto"/>
              <w:right w:val="single" w:sz="4" w:space="0" w:color="auto"/>
            </w:tcBorders>
            <w:shd w:val="clear" w:color="auto" w:fill="C6EFCE"/>
            <w:noWrap/>
          </w:tcPr>
          <w:p w14:paraId="21DF74A2" w14:textId="10173DF8"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T2</w:t>
            </w:r>
          </w:p>
        </w:tc>
        <w:tc>
          <w:tcPr>
            <w:tcW w:w="709" w:type="dxa"/>
            <w:tcBorders>
              <w:top w:val="single" w:sz="4" w:space="0" w:color="auto"/>
              <w:left w:val="nil"/>
              <w:bottom w:val="single" w:sz="4" w:space="0" w:color="auto"/>
              <w:right w:val="single" w:sz="4" w:space="0" w:color="auto"/>
            </w:tcBorders>
            <w:shd w:val="clear" w:color="auto" w:fill="C6EFCE"/>
            <w:noWrap/>
          </w:tcPr>
          <w:p w14:paraId="148A3E1A" w14:textId="66B10E5C"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2022</w:t>
            </w:r>
          </w:p>
        </w:tc>
        <w:tc>
          <w:tcPr>
            <w:tcW w:w="4802" w:type="dxa"/>
            <w:tcBorders>
              <w:top w:val="single" w:sz="4" w:space="0" w:color="auto"/>
              <w:left w:val="nil"/>
              <w:bottom w:val="single" w:sz="4" w:space="0" w:color="auto"/>
              <w:right w:val="single" w:sz="4" w:space="0" w:color="auto"/>
            </w:tcBorders>
            <w:shd w:val="clear" w:color="auto" w:fill="C6EFCE"/>
            <w:noWrap/>
          </w:tcPr>
          <w:p w14:paraId="167D175B" w14:textId="4FCAE4C1" w:rsidR="00DA604C" w:rsidRPr="0051384F" w:rsidRDefault="00DA604C"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 xml:space="preserve">В Наредбата за качеството на социалните услуги се определят минималните стандарти за качество при предоставянето на социални услуги. </w:t>
            </w:r>
          </w:p>
          <w:p w14:paraId="57F5C278" w14:textId="77777777" w:rsidR="00DA604C" w:rsidRPr="008A0F8A" w:rsidRDefault="00DA604C" w:rsidP="0066695B">
            <w:pPr>
              <w:spacing w:after="0"/>
              <w:rPr>
                <w:rFonts w:ascii="Times New Roman" w:hAnsi="Times New Roman" w:cs="Times New Roman"/>
                <w:noProof/>
                <w:color w:val="006100"/>
                <w:sz w:val="20"/>
                <w:szCs w:val="20"/>
                <w:lang w:val="ru-RU"/>
              </w:rPr>
            </w:pPr>
          </w:p>
          <w:p w14:paraId="0A324938" w14:textId="77777777" w:rsidR="00DA604C" w:rsidRPr="0051384F" w:rsidRDefault="00DA604C"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Минималните стандарти за качество обхващат:</w:t>
            </w:r>
          </w:p>
          <w:p w14:paraId="462F91BB" w14:textId="35B68EDD" w:rsidR="00DA604C" w:rsidRPr="0051384F" w:rsidRDefault="00DA604C" w:rsidP="0051384F">
            <w:pPr>
              <w:pStyle w:val="ListParagraph"/>
              <w:numPr>
                <w:ilvl w:val="0"/>
                <w:numId w:val="56"/>
              </w:numPr>
              <w:spacing w:after="0"/>
              <w:ind w:left="360"/>
              <w:rPr>
                <w:rFonts w:ascii="Times New Roman" w:hAnsi="Times New Roman" w:cs="Times New Roman"/>
                <w:noProof/>
                <w:color w:val="006100"/>
                <w:sz w:val="20"/>
                <w:szCs w:val="20"/>
              </w:rPr>
            </w:pPr>
            <w:r>
              <w:rPr>
                <w:rFonts w:ascii="Times New Roman" w:hAnsi="Times New Roman"/>
                <w:noProof/>
                <w:color w:val="006100"/>
                <w:sz w:val="20"/>
              </w:rPr>
              <w:t xml:space="preserve">архитектурните изисквания към нови заведения, предоставящи грижи с настаняване, включително относно максималния брой ползватели на заведение, предоставящо социални услуги, и относно максималния брой ползватели на стая. Ползвателите на стая не трябва да бъдат повече от двама души; </w:t>
            </w:r>
          </w:p>
          <w:p w14:paraId="29F6891A" w14:textId="77777777" w:rsidR="00DA604C" w:rsidRPr="0051384F" w:rsidRDefault="00DA604C" w:rsidP="0051384F">
            <w:pPr>
              <w:pStyle w:val="ListParagraph"/>
              <w:numPr>
                <w:ilvl w:val="0"/>
                <w:numId w:val="56"/>
              </w:numPr>
              <w:ind w:left="360"/>
              <w:rPr>
                <w:rFonts w:ascii="Times New Roman" w:hAnsi="Times New Roman" w:cs="Times New Roman"/>
                <w:noProof/>
                <w:color w:val="006100"/>
                <w:sz w:val="20"/>
                <w:szCs w:val="20"/>
              </w:rPr>
            </w:pPr>
            <w:r>
              <w:rPr>
                <w:rFonts w:ascii="Times New Roman" w:hAnsi="Times New Roman"/>
                <w:noProof/>
                <w:color w:val="006100"/>
                <w:sz w:val="20"/>
              </w:rPr>
              <w:t xml:space="preserve">социалните услуги, предоставяни от заведенията за дневни грижи, които придружават заведенията, предоставящи грижи с настаняване, включително предоставените консултантски дейности и терапия; </w:t>
            </w:r>
          </w:p>
          <w:p w14:paraId="71F67FF0" w14:textId="37938A74" w:rsidR="00DA604C" w:rsidRPr="0051384F" w:rsidRDefault="00DA604C" w:rsidP="0051384F">
            <w:pPr>
              <w:pStyle w:val="ListParagraph"/>
              <w:numPr>
                <w:ilvl w:val="0"/>
                <w:numId w:val="56"/>
              </w:numPr>
              <w:ind w:left="360"/>
              <w:rPr>
                <w:rFonts w:ascii="Times New Roman" w:hAnsi="Times New Roman" w:cs="Times New Roman"/>
                <w:noProof/>
                <w:color w:val="006100"/>
                <w:sz w:val="20"/>
                <w:szCs w:val="20"/>
              </w:rPr>
            </w:pPr>
            <w:r>
              <w:rPr>
                <w:rFonts w:ascii="Times New Roman" w:hAnsi="Times New Roman"/>
                <w:noProof/>
                <w:color w:val="006100"/>
                <w:sz w:val="20"/>
              </w:rPr>
              <w:t>изискванията за модернизация на съществуващите заведения за предоставяне на грижи с настаняване, включително домове за стари хора.</w:t>
            </w:r>
          </w:p>
          <w:p w14:paraId="1896FDB2" w14:textId="77027F5A" w:rsidR="00DA604C" w:rsidRPr="0051384F" w:rsidRDefault="00DA604C"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В допълнение наредбата обхваща:</w:t>
            </w:r>
          </w:p>
          <w:p w14:paraId="738F5187" w14:textId="4ABB5C91" w:rsidR="00DA604C" w:rsidRPr="0051384F" w:rsidRDefault="00DA604C" w:rsidP="0051384F">
            <w:pPr>
              <w:pStyle w:val="ListParagraph"/>
              <w:numPr>
                <w:ilvl w:val="0"/>
                <w:numId w:val="56"/>
              </w:numPr>
              <w:spacing w:after="0"/>
              <w:ind w:left="360"/>
              <w:rPr>
                <w:rFonts w:ascii="Times New Roman" w:hAnsi="Times New Roman" w:cs="Times New Roman"/>
                <w:noProof/>
                <w:color w:val="006100"/>
                <w:sz w:val="20"/>
                <w:szCs w:val="20"/>
              </w:rPr>
            </w:pPr>
            <w:r>
              <w:rPr>
                <w:rFonts w:ascii="Times New Roman" w:hAnsi="Times New Roman"/>
                <w:noProof/>
                <w:color w:val="006100"/>
                <w:sz w:val="20"/>
              </w:rPr>
              <w:t xml:space="preserve">процедурите за наблюдение и оценка от отговорните структури на предоставянето на социални услуги; </w:t>
            </w:r>
          </w:p>
          <w:p w14:paraId="5C37AD44" w14:textId="59FAF664" w:rsidR="00DA604C" w:rsidRPr="0051384F" w:rsidRDefault="00DA604C" w:rsidP="0051384F">
            <w:pPr>
              <w:pStyle w:val="ListParagraph"/>
              <w:numPr>
                <w:ilvl w:val="0"/>
                <w:numId w:val="56"/>
              </w:numPr>
              <w:ind w:left="360"/>
              <w:rPr>
                <w:rFonts w:ascii="Times New Roman" w:hAnsi="Times New Roman" w:cs="Times New Roman"/>
                <w:noProof/>
                <w:color w:val="006100"/>
                <w:sz w:val="20"/>
                <w:szCs w:val="20"/>
              </w:rPr>
            </w:pPr>
            <w:r>
              <w:rPr>
                <w:rFonts w:ascii="Times New Roman" w:hAnsi="Times New Roman"/>
                <w:noProof/>
                <w:color w:val="006100"/>
                <w:sz w:val="20"/>
              </w:rPr>
              <w:t xml:space="preserve">стандартите за квалификацията и професионалното развитие на персонала, предоставящ социални услуги. </w:t>
            </w:r>
          </w:p>
        </w:tc>
      </w:tr>
      <w:tr w:rsidR="000D78BC" w:rsidRPr="005241FC" w14:paraId="2C63C349" w14:textId="77777777" w:rsidTr="702FA0E6">
        <w:trPr>
          <w:trHeight w:val="309"/>
          <w:jc w:val="center"/>
        </w:trPr>
        <w:tc>
          <w:tcPr>
            <w:tcW w:w="646" w:type="dxa"/>
            <w:tcBorders>
              <w:top w:val="nil"/>
              <w:left w:val="single" w:sz="4" w:space="0" w:color="auto"/>
              <w:bottom w:val="single" w:sz="4" w:space="0" w:color="auto"/>
              <w:right w:val="single" w:sz="4" w:space="0" w:color="auto"/>
            </w:tcBorders>
            <w:shd w:val="clear" w:color="auto" w:fill="C6EFCE"/>
            <w:noWrap/>
          </w:tcPr>
          <w:p w14:paraId="73329FC0" w14:textId="30D1913E" w:rsidR="00DA604C" w:rsidRPr="0051384F" w:rsidRDefault="00C723AC" w:rsidP="0066695B">
            <w:pPr>
              <w:jc w:val="center"/>
              <w:rPr>
                <w:rFonts w:ascii="Times New Roman" w:hAnsi="Times New Roman" w:cs="Times New Roman"/>
                <w:noProof/>
                <w:color w:val="006100"/>
                <w:sz w:val="20"/>
                <w:szCs w:val="20"/>
              </w:rPr>
            </w:pPr>
            <w:r>
              <w:rPr>
                <w:rFonts w:ascii="Times New Roman" w:hAnsi="Times New Roman"/>
                <w:noProof/>
                <w:color w:val="006100"/>
                <w:sz w:val="20"/>
              </w:rPr>
              <w:t> 291</w:t>
            </w:r>
          </w:p>
        </w:tc>
        <w:tc>
          <w:tcPr>
            <w:tcW w:w="1136" w:type="dxa"/>
            <w:tcBorders>
              <w:top w:val="nil"/>
              <w:left w:val="nil"/>
              <w:bottom w:val="single" w:sz="4" w:space="0" w:color="auto"/>
              <w:right w:val="single" w:sz="4" w:space="0" w:color="auto"/>
            </w:tcBorders>
            <w:shd w:val="clear" w:color="auto" w:fill="C6EFCE"/>
            <w:noWrap/>
          </w:tcPr>
          <w:p w14:paraId="78278E32" w14:textId="77777777" w:rsidR="00DA604C" w:rsidRPr="0051384F" w:rsidRDefault="00DA604C" w:rsidP="003B02A1">
            <w:pPr>
              <w:rPr>
                <w:rFonts w:ascii="Times New Roman" w:hAnsi="Times New Roman" w:cs="Times New Roman"/>
                <w:noProof/>
                <w:color w:val="006100"/>
                <w:sz w:val="20"/>
                <w:szCs w:val="20"/>
              </w:rPr>
            </w:pPr>
            <w:r>
              <w:rPr>
                <w:rFonts w:ascii="Times New Roman" w:hAnsi="Times New Roman"/>
                <w:noProof/>
                <w:color w:val="006100"/>
                <w:sz w:val="20"/>
              </w:rPr>
              <w:t>C11.R2: Реформа на социалните услуги</w:t>
            </w:r>
          </w:p>
        </w:tc>
        <w:tc>
          <w:tcPr>
            <w:tcW w:w="1011" w:type="dxa"/>
            <w:tcBorders>
              <w:top w:val="nil"/>
              <w:left w:val="nil"/>
              <w:bottom w:val="single" w:sz="4" w:space="0" w:color="auto"/>
              <w:right w:val="single" w:sz="4" w:space="0" w:color="auto"/>
            </w:tcBorders>
            <w:shd w:val="clear" w:color="auto" w:fill="C6EFCE"/>
            <w:noWrap/>
          </w:tcPr>
          <w:p w14:paraId="20870156" w14:textId="77777777"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Ключов етап</w:t>
            </w:r>
          </w:p>
        </w:tc>
        <w:tc>
          <w:tcPr>
            <w:tcW w:w="1311" w:type="dxa"/>
            <w:tcBorders>
              <w:top w:val="nil"/>
              <w:left w:val="nil"/>
              <w:bottom w:val="single" w:sz="4" w:space="0" w:color="auto"/>
              <w:right w:val="single" w:sz="4" w:space="0" w:color="auto"/>
            </w:tcBorders>
            <w:shd w:val="clear" w:color="auto" w:fill="C6EFCE"/>
            <w:noWrap/>
          </w:tcPr>
          <w:p w14:paraId="764B0CBE" w14:textId="77777777" w:rsidR="00DA604C" w:rsidRPr="0051384F" w:rsidRDefault="00DA604C" w:rsidP="0066695B">
            <w:pPr>
              <w:rPr>
                <w:rFonts w:ascii="Times New Roman" w:hAnsi="Times New Roman" w:cs="Times New Roman"/>
                <w:noProof/>
                <w:color w:val="006100"/>
                <w:sz w:val="20"/>
                <w:szCs w:val="20"/>
              </w:rPr>
            </w:pPr>
            <w:r>
              <w:rPr>
                <w:rFonts w:ascii="Times New Roman" w:hAnsi="Times New Roman"/>
                <w:noProof/>
                <w:color w:val="006100"/>
                <w:sz w:val="20"/>
              </w:rPr>
              <w:t>Национална карта на социалните услуги</w:t>
            </w:r>
          </w:p>
        </w:tc>
        <w:tc>
          <w:tcPr>
            <w:tcW w:w="2004" w:type="dxa"/>
            <w:tcBorders>
              <w:top w:val="nil"/>
              <w:left w:val="nil"/>
              <w:bottom w:val="single" w:sz="4" w:space="0" w:color="auto"/>
              <w:right w:val="single" w:sz="4" w:space="0" w:color="auto"/>
            </w:tcBorders>
            <w:shd w:val="clear" w:color="auto" w:fill="C6EFCE"/>
            <w:noWrap/>
          </w:tcPr>
          <w:p w14:paraId="3834C052" w14:textId="77777777" w:rsidR="00DA604C" w:rsidRPr="0051384F" w:rsidRDefault="00DA604C" w:rsidP="0066695B">
            <w:pPr>
              <w:rPr>
                <w:rFonts w:ascii="Times New Roman" w:hAnsi="Times New Roman" w:cs="Times New Roman"/>
                <w:noProof/>
                <w:color w:val="006100"/>
                <w:sz w:val="20"/>
                <w:szCs w:val="20"/>
              </w:rPr>
            </w:pPr>
            <w:r>
              <w:rPr>
                <w:rFonts w:ascii="Times New Roman" w:hAnsi="Times New Roman"/>
                <w:noProof/>
                <w:color w:val="006100"/>
                <w:sz w:val="20"/>
              </w:rPr>
              <w:t>Приета Национална карта на социалните услуги</w:t>
            </w:r>
          </w:p>
        </w:tc>
        <w:tc>
          <w:tcPr>
            <w:tcW w:w="850" w:type="dxa"/>
            <w:tcBorders>
              <w:top w:val="nil"/>
              <w:left w:val="nil"/>
              <w:bottom w:val="single" w:sz="4" w:space="0" w:color="auto"/>
              <w:right w:val="single" w:sz="4" w:space="0" w:color="auto"/>
            </w:tcBorders>
            <w:shd w:val="clear" w:color="auto" w:fill="C6EFCE"/>
            <w:noWrap/>
          </w:tcPr>
          <w:p w14:paraId="5AC2E7D3" w14:textId="77777777" w:rsidR="00DA604C" w:rsidRPr="008A0F8A" w:rsidRDefault="00DA604C" w:rsidP="0066695B">
            <w:pPr>
              <w:jc w:val="center"/>
              <w:rPr>
                <w:rFonts w:ascii="Times New Roman" w:hAnsi="Times New Roman" w:cs="Times New Roman"/>
                <w:noProof/>
                <w:color w:val="006100"/>
                <w:sz w:val="20"/>
                <w:szCs w:val="20"/>
                <w:lang w:val="ru-RU"/>
              </w:rPr>
            </w:pPr>
          </w:p>
        </w:tc>
        <w:tc>
          <w:tcPr>
            <w:tcW w:w="851" w:type="dxa"/>
            <w:tcBorders>
              <w:top w:val="nil"/>
              <w:left w:val="nil"/>
              <w:bottom w:val="single" w:sz="4" w:space="0" w:color="auto"/>
              <w:right w:val="single" w:sz="4" w:space="0" w:color="auto"/>
            </w:tcBorders>
            <w:shd w:val="clear" w:color="auto" w:fill="C6EFCE"/>
            <w:noWrap/>
          </w:tcPr>
          <w:p w14:paraId="024461EC" w14:textId="77777777" w:rsidR="00DA604C" w:rsidRPr="008A0F8A" w:rsidRDefault="00DA604C" w:rsidP="0066695B">
            <w:pPr>
              <w:jc w:val="center"/>
              <w:rPr>
                <w:rFonts w:ascii="Times New Roman" w:hAnsi="Times New Roman" w:cs="Times New Roman"/>
                <w:noProof/>
                <w:color w:val="006100"/>
                <w:sz w:val="20"/>
                <w:szCs w:val="20"/>
                <w:lang w:val="ru-RU"/>
              </w:rPr>
            </w:pPr>
          </w:p>
        </w:tc>
        <w:tc>
          <w:tcPr>
            <w:tcW w:w="709" w:type="dxa"/>
            <w:tcBorders>
              <w:top w:val="nil"/>
              <w:left w:val="nil"/>
              <w:bottom w:val="single" w:sz="4" w:space="0" w:color="auto"/>
              <w:right w:val="single" w:sz="4" w:space="0" w:color="auto"/>
            </w:tcBorders>
            <w:shd w:val="clear" w:color="auto" w:fill="C6EFCE"/>
            <w:noWrap/>
          </w:tcPr>
          <w:p w14:paraId="146D4D2A" w14:textId="77777777" w:rsidR="00DA604C" w:rsidRPr="008A0F8A" w:rsidRDefault="00DA604C" w:rsidP="0066695B">
            <w:pPr>
              <w:jc w:val="center"/>
              <w:rPr>
                <w:rFonts w:ascii="Times New Roman" w:hAnsi="Times New Roman" w:cs="Times New Roman"/>
                <w:noProof/>
                <w:color w:val="006100"/>
                <w:sz w:val="20"/>
                <w:szCs w:val="20"/>
                <w:lang w:val="ru-RU"/>
              </w:rPr>
            </w:pPr>
          </w:p>
        </w:tc>
        <w:tc>
          <w:tcPr>
            <w:tcW w:w="850" w:type="dxa"/>
            <w:tcBorders>
              <w:top w:val="nil"/>
              <w:left w:val="nil"/>
              <w:bottom w:val="single" w:sz="4" w:space="0" w:color="auto"/>
              <w:right w:val="single" w:sz="4" w:space="0" w:color="auto"/>
            </w:tcBorders>
            <w:shd w:val="clear" w:color="auto" w:fill="C6EFCE"/>
            <w:noWrap/>
          </w:tcPr>
          <w:p w14:paraId="4036011A" w14:textId="77777777"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T4</w:t>
            </w:r>
          </w:p>
        </w:tc>
        <w:tc>
          <w:tcPr>
            <w:tcW w:w="709" w:type="dxa"/>
            <w:tcBorders>
              <w:top w:val="nil"/>
              <w:left w:val="nil"/>
              <w:bottom w:val="single" w:sz="4" w:space="0" w:color="auto"/>
              <w:right w:val="single" w:sz="4" w:space="0" w:color="auto"/>
            </w:tcBorders>
            <w:shd w:val="clear" w:color="auto" w:fill="C6EFCE"/>
            <w:noWrap/>
          </w:tcPr>
          <w:p w14:paraId="72D51FCE" w14:textId="77777777"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2023</w:t>
            </w:r>
          </w:p>
        </w:tc>
        <w:tc>
          <w:tcPr>
            <w:tcW w:w="4802" w:type="dxa"/>
            <w:tcBorders>
              <w:top w:val="nil"/>
              <w:left w:val="nil"/>
              <w:bottom w:val="single" w:sz="4" w:space="0" w:color="auto"/>
              <w:right w:val="single" w:sz="4" w:space="0" w:color="auto"/>
            </w:tcBorders>
            <w:shd w:val="clear" w:color="auto" w:fill="C6EFCE"/>
            <w:noWrap/>
          </w:tcPr>
          <w:p w14:paraId="7532081C" w14:textId="77777777" w:rsidR="00DA604C" w:rsidRPr="0051384F" w:rsidRDefault="00DA604C" w:rsidP="0066695B">
            <w:pPr>
              <w:rPr>
                <w:rFonts w:ascii="Times New Roman" w:hAnsi="Times New Roman" w:cs="Times New Roman"/>
                <w:noProof/>
                <w:color w:val="006100"/>
                <w:sz w:val="20"/>
                <w:szCs w:val="20"/>
              </w:rPr>
            </w:pPr>
            <w:r>
              <w:rPr>
                <w:rFonts w:ascii="Times New Roman" w:hAnsi="Times New Roman"/>
                <w:noProof/>
                <w:color w:val="006100"/>
                <w:sz w:val="20"/>
              </w:rPr>
              <w:t>Националната карта на социалните услуги съдържа анализ на предлагането на социални услуги и нуждите от социални услуги на общинско и областно равнище.</w:t>
            </w:r>
          </w:p>
          <w:p w14:paraId="1B6E1821" w14:textId="10DB0563" w:rsidR="00DA604C" w:rsidRPr="0051384F" w:rsidRDefault="00DA604C"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Въз основа на този анализ картата обхваща:</w:t>
            </w:r>
          </w:p>
          <w:p w14:paraId="69A06A80" w14:textId="3607BB5C" w:rsidR="00DA604C" w:rsidRPr="0051384F" w:rsidRDefault="00E5655D" w:rsidP="0051384F">
            <w:pPr>
              <w:pStyle w:val="ListParagraph"/>
              <w:numPr>
                <w:ilvl w:val="0"/>
                <w:numId w:val="56"/>
              </w:numPr>
              <w:spacing w:after="0"/>
              <w:ind w:left="360"/>
              <w:rPr>
                <w:rFonts w:ascii="Times New Roman" w:hAnsi="Times New Roman" w:cs="Times New Roman"/>
                <w:noProof/>
                <w:color w:val="006100"/>
                <w:sz w:val="20"/>
                <w:szCs w:val="20"/>
              </w:rPr>
            </w:pPr>
            <w:r>
              <w:rPr>
                <w:rFonts w:ascii="Times New Roman" w:hAnsi="Times New Roman"/>
                <w:noProof/>
                <w:color w:val="006100"/>
                <w:sz w:val="20"/>
              </w:rPr>
              <w:t>пакета от социални услуги на общинско и областно равнище, финансирани от държавния бюджет;</w:t>
            </w:r>
          </w:p>
          <w:p w14:paraId="4A229966" w14:textId="61AB8572" w:rsidR="00DA604C" w:rsidRPr="0051384F" w:rsidRDefault="00DA604C" w:rsidP="0051384F">
            <w:pPr>
              <w:pStyle w:val="ListParagraph"/>
              <w:numPr>
                <w:ilvl w:val="0"/>
                <w:numId w:val="56"/>
              </w:numPr>
              <w:ind w:left="360"/>
              <w:rPr>
                <w:rFonts w:ascii="Times New Roman" w:hAnsi="Times New Roman" w:cs="Times New Roman"/>
                <w:noProof/>
                <w:color w:val="006100"/>
                <w:sz w:val="20"/>
                <w:szCs w:val="20"/>
              </w:rPr>
            </w:pPr>
            <w:r>
              <w:rPr>
                <w:rFonts w:ascii="Times New Roman" w:hAnsi="Times New Roman"/>
                <w:noProof/>
                <w:color w:val="006100"/>
                <w:sz w:val="20"/>
              </w:rPr>
              <w:t xml:space="preserve">максималния брой ползватели на всички социални услуги, за които е предоставено финансиране от държавния бюджет. </w:t>
            </w:r>
          </w:p>
        </w:tc>
      </w:tr>
      <w:tr w:rsidR="000D78BC" w:rsidRPr="005241FC" w14:paraId="51CF1A14" w14:textId="77777777" w:rsidTr="702FA0E6">
        <w:trPr>
          <w:trHeight w:val="309"/>
          <w:jc w:val="center"/>
        </w:trPr>
        <w:tc>
          <w:tcPr>
            <w:tcW w:w="646" w:type="dxa"/>
            <w:tcBorders>
              <w:top w:val="nil"/>
              <w:left w:val="single" w:sz="4" w:space="0" w:color="auto"/>
              <w:bottom w:val="single" w:sz="4" w:space="0" w:color="auto"/>
              <w:right w:val="single" w:sz="4" w:space="0" w:color="auto"/>
            </w:tcBorders>
            <w:shd w:val="clear" w:color="auto" w:fill="C6EFCE"/>
            <w:noWrap/>
          </w:tcPr>
          <w:p w14:paraId="0A478A36" w14:textId="048C5424" w:rsidR="00DA604C" w:rsidRPr="0051384F" w:rsidRDefault="00C723AC" w:rsidP="005853E9">
            <w:pPr>
              <w:jc w:val="center"/>
              <w:rPr>
                <w:rFonts w:ascii="Times New Roman" w:hAnsi="Times New Roman" w:cs="Times New Roman"/>
                <w:noProof/>
                <w:color w:val="006100"/>
                <w:sz w:val="20"/>
                <w:szCs w:val="20"/>
              </w:rPr>
            </w:pPr>
            <w:r>
              <w:rPr>
                <w:rFonts w:ascii="Times New Roman" w:hAnsi="Times New Roman"/>
                <w:noProof/>
                <w:color w:val="006100"/>
                <w:sz w:val="20"/>
              </w:rPr>
              <w:t>292</w:t>
            </w:r>
          </w:p>
        </w:tc>
        <w:tc>
          <w:tcPr>
            <w:tcW w:w="1136" w:type="dxa"/>
            <w:tcBorders>
              <w:top w:val="nil"/>
              <w:left w:val="nil"/>
              <w:bottom w:val="single" w:sz="4" w:space="0" w:color="auto"/>
              <w:right w:val="single" w:sz="4" w:space="0" w:color="auto"/>
            </w:tcBorders>
            <w:shd w:val="clear" w:color="auto" w:fill="C6EFCE"/>
            <w:noWrap/>
          </w:tcPr>
          <w:p w14:paraId="758DE00D" w14:textId="77777777" w:rsidR="00DA604C" w:rsidRPr="0051384F" w:rsidRDefault="00DA604C" w:rsidP="003B02A1">
            <w:pPr>
              <w:rPr>
                <w:rFonts w:ascii="Times New Roman" w:hAnsi="Times New Roman" w:cs="Times New Roman"/>
                <w:noProof/>
                <w:color w:val="006100"/>
                <w:sz w:val="20"/>
                <w:szCs w:val="20"/>
              </w:rPr>
            </w:pPr>
            <w:r>
              <w:rPr>
                <w:rFonts w:ascii="Times New Roman" w:hAnsi="Times New Roman"/>
                <w:noProof/>
                <w:color w:val="006100"/>
                <w:sz w:val="20"/>
              </w:rPr>
              <w:t xml:space="preserve">C11.I1: </w:t>
            </w:r>
            <w:r>
              <w:rPr>
                <w:rFonts w:ascii="Times New Roman" w:hAnsi="Times New Roman"/>
                <w:noProof/>
                <w:color w:val="006100"/>
                <w:sz w:val="18"/>
              </w:rPr>
              <w:t>Модернизация на дългосрочните грижи</w:t>
            </w:r>
          </w:p>
        </w:tc>
        <w:tc>
          <w:tcPr>
            <w:tcW w:w="1011" w:type="dxa"/>
            <w:tcBorders>
              <w:top w:val="nil"/>
              <w:left w:val="nil"/>
              <w:bottom w:val="single" w:sz="4" w:space="0" w:color="auto"/>
              <w:right w:val="single" w:sz="4" w:space="0" w:color="auto"/>
            </w:tcBorders>
            <w:shd w:val="clear" w:color="auto" w:fill="C6EFCE"/>
            <w:noWrap/>
          </w:tcPr>
          <w:p w14:paraId="5ED959E4" w14:textId="77777777"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Ключов етап</w:t>
            </w:r>
          </w:p>
        </w:tc>
        <w:tc>
          <w:tcPr>
            <w:tcW w:w="1311" w:type="dxa"/>
            <w:tcBorders>
              <w:top w:val="nil"/>
              <w:left w:val="nil"/>
              <w:bottom w:val="single" w:sz="4" w:space="0" w:color="auto"/>
              <w:right w:val="single" w:sz="4" w:space="0" w:color="auto"/>
            </w:tcBorders>
            <w:shd w:val="clear" w:color="auto" w:fill="C6EFCE"/>
            <w:noWrap/>
          </w:tcPr>
          <w:p w14:paraId="535A73BE" w14:textId="0C2B5C21" w:rsidR="00DA604C" w:rsidRPr="0051384F" w:rsidRDefault="00DA604C" w:rsidP="00917A77">
            <w:pPr>
              <w:rPr>
                <w:rFonts w:ascii="Times New Roman" w:hAnsi="Times New Roman" w:cs="Times New Roman"/>
                <w:noProof/>
                <w:color w:val="006100"/>
                <w:sz w:val="20"/>
                <w:szCs w:val="20"/>
              </w:rPr>
            </w:pPr>
            <w:r>
              <w:rPr>
                <w:rFonts w:ascii="Times New Roman" w:hAnsi="Times New Roman"/>
                <w:noProof/>
                <w:color w:val="006100"/>
                <w:sz w:val="20"/>
              </w:rPr>
              <w:t>Сключване на договори за строителство и ремонт на заведения за дългосрочни грижи</w:t>
            </w:r>
          </w:p>
        </w:tc>
        <w:tc>
          <w:tcPr>
            <w:tcW w:w="2004" w:type="dxa"/>
            <w:tcBorders>
              <w:top w:val="nil"/>
              <w:left w:val="nil"/>
              <w:bottom w:val="single" w:sz="4" w:space="0" w:color="auto"/>
              <w:right w:val="single" w:sz="4" w:space="0" w:color="auto"/>
            </w:tcBorders>
            <w:shd w:val="clear" w:color="auto" w:fill="C6EFCE"/>
            <w:noWrap/>
          </w:tcPr>
          <w:p w14:paraId="501719C9" w14:textId="77777777" w:rsidR="00DA604C" w:rsidRPr="0051384F" w:rsidRDefault="00DA604C" w:rsidP="0066695B">
            <w:pPr>
              <w:rPr>
                <w:rFonts w:ascii="Times New Roman" w:hAnsi="Times New Roman" w:cs="Times New Roman"/>
                <w:noProof/>
                <w:color w:val="006100"/>
                <w:sz w:val="20"/>
                <w:szCs w:val="20"/>
              </w:rPr>
            </w:pPr>
            <w:r>
              <w:rPr>
                <w:rFonts w:ascii="Times New Roman" w:hAnsi="Times New Roman"/>
                <w:noProof/>
                <w:color w:val="006100"/>
                <w:sz w:val="20"/>
              </w:rPr>
              <w:t>Сключени договори</w:t>
            </w:r>
          </w:p>
        </w:tc>
        <w:tc>
          <w:tcPr>
            <w:tcW w:w="850" w:type="dxa"/>
            <w:tcBorders>
              <w:top w:val="nil"/>
              <w:left w:val="nil"/>
              <w:bottom w:val="single" w:sz="4" w:space="0" w:color="auto"/>
              <w:right w:val="single" w:sz="4" w:space="0" w:color="auto"/>
            </w:tcBorders>
            <w:shd w:val="clear" w:color="auto" w:fill="C6EFCE"/>
            <w:noWrap/>
          </w:tcPr>
          <w:p w14:paraId="21452517" w14:textId="77777777" w:rsidR="00DA604C" w:rsidRPr="0051384F" w:rsidRDefault="00DA604C" w:rsidP="0066695B">
            <w:pPr>
              <w:jc w:val="center"/>
              <w:rPr>
                <w:rFonts w:ascii="Times New Roman" w:hAnsi="Times New Roman" w:cs="Times New Roman"/>
                <w:noProof/>
                <w:color w:val="006100"/>
                <w:sz w:val="20"/>
                <w:szCs w:val="20"/>
                <w:lang w:val="en-US"/>
              </w:rPr>
            </w:pPr>
          </w:p>
        </w:tc>
        <w:tc>
          <w:tcPr>
            <w:tcW w:w="851" w:type="dxa"/>
            <w:tcBorders>
              <w:top w:val="nil"/>
              <w:left w:val="nil"/>
              <w:bottom w:val="single" w:sz="4" w:space="0" w:color="auto"/>
              <w:right w:val="single" w:sz="4" w:space="0" w:color="auto"/>
            </w:tcBorders>
            <w:shd w:val="clear" w:color="auto" w:fill="C6EFCE"/>
            <w:noWrap/>
          </w:tcPr>
          <w:p w14:paraId="74AC9A80" w14:textId="77777777" w:rsidR="00DA604C" w:rsidRPr="0051384F" w:rsidRDefault="00DA604C" w:rsidP="0066695B">
            <w:pPr>
              <w:jc w:val="center"/>
              <w:rPr>
                <w:rFonts w:ascii="Times New Roman" w:hAnsi="Times New Roman" w:cs="Times New Roman"/>
                <w:noProof/>
                <w:color w:val="006100"/>
                <w:sz w:val="20"/>
                <w:szCs w:val="20"/>
                <w:lang w:val="en-US"/>
              </w:rPr>
            </w:pPr>
          </w:p>
        </w:tc>
        <w:tc>
          <w:tcPr>
            <w:tcW w:w="709" w:type="dxa"/>
            <w:tcBorders>
              <w:top w:val="nil"/>
              <w:left w:val="nil"/>
              <w:bottom w:val="single" w:sz="4" w:space="0" w:color="auto"/>
              <w:right w:val="single" w:sz="4" w:space="0" w:color="auto"/>
            </w:tcBorders>
            <w:shd w:val="clear" w:color="auto" w:fill="C6EFCE"/>
            <w:noWrap/>
          </w:tcPr>
          <w:p w14:paraId="1CB014B7" w14:textId="77777777" w:rsidR="00DA604C" w:rsidRPr="0051384F" w:rsidRDefault="00DA604C" w:rsidP="0066695B">
            <w:pPr>
              <w:jc w:val="center"/>
              <w:rPr>
                <w:rFonts w:ascii="Times New Roman" w:hAnsi="Times New Roman" w:cs="Times New Roman"/>
                <w:noProof/>
                <w:color w:val="006100"/>
                <w:sz w:val="20"/>
                <w:szCs w:val="20"/>
                <w:lang w:val="en-US"/>
              </w:rPr>
            </w:pPr>
          </w:p>
        </w:tc>
        <w:tc>
          <w:tcPr>
            <w:tcW w:w="850" w:type="dxa"/>
            <w:tcBorders>
              <w:top w:val="nil"/>
              <w:left w:val="nil"/>
              <w:bottom w:val="single" w:sz="4" w:space="0" w:color="auto"/>
              <w:right w:val="single" w:sz="4" w:space="0" w:color="auto"/>
            </w:tcBorders>
            <w:shd w:val="clear" w:color="auto" w:fill="C6EFCE"/>
            <w:noWrap/>
          </w:tcPr>
          <w:p w14:paraId="2A177FD5" w14:textId="767A1F2C"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T2</w:t>
            </w:r>
          </w:p>
        </w:tc>
        <w:tc>
          <w:tcPr>
            <w:tcW w:w="709" w:type="dxa"/>
            <w:tcBorders>
              <w:top w:val="nil"/>
              <w:left w:val="nil"/>
              <w:bottom w:val="single" w:sz="4" w:space="0" w:color="auto"/>
              <w:right w:val="single" w:sz="4" w:space="0" w:color="auto"/>
            </w:tcBorders>
            <w:shd w:val="clear" w:color="auto" w:fill="C6EFCE"/>
            <w:noWrap/>
          </w:tcPr>
          <w:p w14:paraId="628FCF91" w14:textId="460ADC3C" w:rsidR="00DA604C" w:rsidRPr="0051384F" w:rsidRDefault="00DA604C" w:rsidP="00CA127F">
            <w:pPr>
              <w:jc w:val="center"/>
              <w:rPr>
                <w:rFonts w:ascii="Times New Roman" w:hAnsi="Times New Roman" w:cs="Times New Roman"/>
                <w:noProof/>
                <w:color w:val="006100"/>
                <w:sz w:val="20"/>
                <w:szCs w:val="20"/>
              </w:rPr>
            </w:pPr>
            <w:r>
              <w:rPr>
                <w:rFonts w:ascii="Times New Roman" w:hAnsi="Times New Roman"/>
                <w:noProof/>
                <w:color w:val="006100"/>
                <w:sz w:val="20"/>
              </w:rPr>
              <w:t>2024</w:t>
            </w:r>
          </w:p>
        </w:tc>
        <w:tc>
          <w:tcPr>
            <w:tcW w:w="4802" w:type="dxa"/>
            <w:tcBorders>
              <w:top w:val="nil"/>
              <w:left w:val="nil"/>
              <w:bottom w:val="single" w:sz="4" w:space="0" w:color="auto"/>
              <w:right w:val="single" w:sz="4" w:space="0" w:color="auto"/>
            </w:tcBorders>
            <w:shd w:val="clear" w:color="auto" w:fill="C6EFCE"/>
            <w:noWrap/>
          </w:tcPr>
          <w:p w14:paraId="421AC890" w14:textId="5F155DA0" w:rsidR="00DA604C" w:rsidRPr="0051384F" w:rsidRDefault="00DA604C" w:rsidP="0066695B">
            <w:pPr>
              <w:rPr>
                <w:rFonts w:ascii="Times New Roman" w:hAnsi="Times New Roman" w:cs="Times New Roman"/>
                <w:noProof/>
                <w:color w:val="006100"/>
                <w:sz w:val="20"/>
                <w:szCs w:val="20"/>
              </w:rPr>
            </w:pPr>
            <w:r>
              <w:rPr>
                <w:rFonts w:ascii="Times New Roman" w:hAnsi="Times New Roman"/>
                <w:noProof/>
                <w:color w:val="006100"/>
                <w:sz w:val="20"/>
              </w:rPr>
              <w:t>За избора на изпълнители се провеждат процедури за възлагане на обществени поръчки.</w:t>
            </w:r>
          </w:p>
          <w:p w14:paraId="188D22D1" w14:textId="77777777" w:rsidR="00DA604C" w:rsidRPr="0051384F" w:rsidRDefault="00DA604C"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Договорите обхващат:</w:t>
            </w:r>
          </w:p>
          <w:p w14:paraId="797D71FB" w14:textId="77777777" w:rsidR="00DA604C" w:rsidRPr="0051384F" w:rsidRDefault="00DA604C" w:rsidP="0051384F">
            <w:pPr>
              <w:pStyle w:val="ListParagraph"/>
              <w:numPr>
                <w:ilvl w:val="0"/>
                <w:numId w:val="56"/>
              </w:numPr>
              <w:spacing w:after="0"/>
              <w:ind w:left="360"/>
              <w:rPr>
                <w:rFonts w:ascii="Times New Roman" w:hAnsi="Times New Roman" w:cs="Times New Roman"/>
                <w:noProof/>
                <w:color w:val="006100"/>
                <w:sz w:val="20"/>
                <w:szCs w:val="20"/>
              </w:rPr>
            </w:pPr>
            <w:r>
              <w:rPr>
                <w:rFonts w:ascii="Times New Roman" w:hAnsi="Times New Roman"/>
                <w:noProof/>
                <w:color w:val="006100"/>
                <w:sz w:val="20"/>
              </w:rPr>
              <w:t>строителни работи за 250 заведения за дългосрочни грижи, 125 от които са за предоставяне на грижи с настаняване, а 125 са за предоставяне на дневни грижи. Всяко заведение, предоставящо дневни грижи, допълва предоставянето на услуги от дадено заведение за предоставяне на грижи с настаняване, и следователно се строи в близост до него;</w:t>
            </w:r>
          </w:p>
          <w:p w14:paraId="5C8AA404" w14:textId="35DCA84A" w:rsidR="00DA604C" w:rsidRPr="0051384F" w:rsidRDefault="00DA604C" w:rsidP="0051384F">
            <w:pPr>
              <w:pStyle w:val="ListParagraph"/>
              <w:numPr>
                <w:ilvl w:val="0"/>
                <w:numId w:val="56"/>
              </w:numPr>
              <w:ind w:left="360"/>
              <w:rPr>
                <w:rFonts w:ascii="Times New Roman" w:hAnsi="Times New Roman" w:cs="Times New Roman"/>
                <w:noProof/>
                <w:color w:val="006100"/>
                <w:sz w:val="20"/>
                <w:szCs w:val="20"/>
              </w:rPr>
            </w:pPr>
            <w:r>
              <w:rPr>
                <w:rFonts w:ascii="Times New Roman" w:hAnsi="Times New Roman"/>
                <w:noProof/>
                <w:color w:val="006100"/>
                <w:sz w:val="20"/>
              </w:rPr>
              <w:t xml:space="preserve">ремонт на 82 дома за стари хора. </w:t>
            </w:r>
          </w:p>
          <w:p w14:paraId="4DC314C7" w14:textId="0B861A17" w:rsidR="00DA604C" w:rsidRPr="0051384F" w:rsidRDefault="00DA604C" w:rsidP="0066695B">
            <w:pPr>
              <w:rPr>
                <w:rFonts w:ascii="Times New Roman" w:hAnsi="Times New Roman" w:cs="Times New Roman"/>
                <w:noProof/>
                <w:color w:val="006100"/>
                <w:sz w:val="20"/>
                <w:szCs w:val="20"/>
              </w:rPr>
            </w:pPr>
            <w:r>
              <w:rPr>
                <w:rFonts w:ascii="Times New Roman" w:hAnsi="Times New Roman"/>
                <w:noProof/>
                <w:color w:val="006100"/>
                <w:sz w:val="20"/>
              </w:rPr>
              <w:t>Строителството на новите обекти, както и ремонта на домовете за стари хора трябва да отговарят на изискванията, определени в Наредбата за качеството на социалните услуги и анализа на предлагането на социални услуги и на нуждите от социални услуги на общинско и областно равнище, включително за местоположение, брой на ползвателите на заведение и брой на ползвателите, обитаващи една стая (ключов етап 290 и 291).</w:t>
            </w:r>
          </w:p>
          <w:p w14:paraId="500102A3" w14:textId="77777777" w:rsidR="00DA604C" w:rsidRPr="00E528AB" w:rsidRDefault="00DA604C" w:rsidP="00E528AB">
            <w:pPr>
              <w:rPr>
                <w:rFonts w:ascii="Times New Roman" w:hAnsi="Times New Roman" w:cs="Times New Roman"/>
                <w:noProof/>
                <w:color w:val="006100"/>
                <w:sz w:val="20"/>
                <w:szCs w:val="20"/>
              </w:rPr>
            </w:pPr>
            <w:r>
              <w:rPr>
                <w:rFonts w:ascii="Times New Roman" w:hAnsi="Times New Roman"/>
                <w:noProof/>
                <w:color w:val="006100"/>
                <w:sz w:val="20"/>
              </w:rPr>
              <w:t xml:space="preserve">Освен това договорите трябва също така да обхващат санирането за енергийна ефективност на 840 съществуващи заведения, предоставящи социални или административни услуги, свързани със социалните услуги. </w:t>
            </w:r>
          </w:p>
        </w:tc>
      </w:tr>
      <w:tr w:rsidR="000D78BC" w:rsidRPr="005241FC" w14:paraId="3EADEF2D" w14:textId="77777777" w:rsidTr="702FA0E6">
        <w:trPr>
          <w:trHeight w:val="309"/>
          <w:jc w:val="center"/>
        </w:trPr>
        <w:tc>
          <w:tcPr>
            <w:tcW w:w="646" w:type="dxa"/>
            <w:tcBorders>
              <w:top w:val="nil"/>
              <w:left w:val="single" w:sz="4" w:space="0" w:color="auto"/>
              <w:bottom w:val="single" w:sz="4" w:space="0" w:color="auto"/>
              <w:right w:val="single" w:sz="4" w:space="0" w:color="auto"/>
            </w:tcBorders>
            <w:shd w:val="clear" w:color="auto" w:fill="C6EFCE"/>
            <w:noWrap/>
          </w:tcPr>
          <w:p w14:paraId="11285C91" w14:textId="433064FC" w:rsidR="00DA604C" w:rsidRPr="0051384F" w:rsidRDefault="00C723AC" w:rsidP="0066695B">
            <w:pPr>
              <w:jc w:val="center"/>
              <w:rPr>
                <w:rFonts w:ascii="Times New Roman" w:hAnsi="Times New Roman" w:cs="Times New Roman"/>
                <w:noProof/>
                <w:color w:val="006100"/>
                <w:sz w:val="20"/>
                <w:szCs w:val="20"/>
              </w:rPr>
            </w:pPr>
            <w:r>
              <w:rPr>
                <w:rFonts w:ascii="Times New Roman" w:hAnsi="Times New Roman"/>
                <w:noProof/>
                <w:color w:val="006100"/>
                <w:sz w:val="20"/>
              </w:rPr>
              <w:t>293</w:t>
            </w:r>
          </w:p>
        </w:tc>
        <w:tc>
          <w:tcPr>
            <w:tcW w:w="1136" w:type="dxa"/>
            <w:tcBorders>
              <w:top w:val="nil"/>
              <w:left w:val="nil"/>
              <w:bottom w:val="single" w:sz="4" w:space="0" w:color="auto"/>
              <w:right w:val="single" w:sz="4" w:space="0" w:color="auto"/>
            </w:tcBorders>
            <w:shd w:val="clear" w:color="auto" w:fill="C6EFCE"/>
            <w:noWrap/>
          </w:tcPr>
          <w:p w14:paraId="5473DE59" w14:textId="77777777" w:rsidR="00DA604C" w:rsidRPr="009902CB" w:rsidRDefault="00DA604C" w:rsidP="003B02A1">
            <w:pPr>
              <w:rPr>
                <w:rFonts w:ascii="Times New Roman" w:hAnsi="Times New Roman" w:cs="Times New Roman"/>
                <w:noProof/>
                <w:color w:val="006100"/>
                <w:sz w:val="18"/>
                <w:szCs w:val="18"/>
              </w:rPr>
            </w:pPr>
            <w:r>
              <w:rPr>
                <w:rFonts w:ascii="Times New Roman" w:hAnsi="Times New Roman"/>
                <w:noProof/>
                <w:color w:val="006100"/>
                <w:sz w:val="18"/>
              </w:rPr>
              <w:t>C11.I1: Модернизация на дългосрочните грижи</w:t>
            </w:r>
          </w:p>
        </w:tc>
        <w:tc>
          <w:tcPr>
            <w:tcW w:w="1011" w:type="dxa"/>
            <w:tcBorders>
              <w:top w:val="nil"/>
              <w:left w:val="nil"/>
              <w:bottom w:val="single" w:sz="4" w:space="0" w:color="auto"/>
              <w:right w:val="single" w:sz="4" w:space="0" w:color="auto"/>
            </w:tcBorders>
            <w:shd w:val="clear" w:color="auto" w:fill="C6EFCE"/>
            <w:noWrap/>
          </w:tcPr>
          <w:p w14:paraId="7C25D498" w14:textId="77777777"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Цел</w:t>
            </w:r>
          </w:p>
        </w:tc>
        <w:tc>
          <w:tcPr>
            <w:tcW w:w="1311" w:type="dxa"/>
            <w:tcBorders>
              <w:top w:val="nil"/>
              <w:left w:val="nil"/>
              <w:bottom w:val="single" w:sz="4" w:space="0" w:color="auto"/>
              <w:right w:val="single" w:sz="4" w:space="0" w:color="auto"/>
            </w:tcBorders>
            <w:shd w:val="clear" w:color="auto" w:fill="C6EFCE"/>
            <w:noWrap/>
          </w:tcPr>
          <w:p w14:paraId="5259CA5F" w14:textId="32A38BD8" w:rsidR="00DA604C" w:rsidRPr="0051384F" w:rsidRDefault="00DA604C" w:rsidP="0066695B">
            <w:pPr>
              <w:rPr>
                <w:rFonts w:ascii="Times New Roman" w:hAnsi="Times New Roman" w:cs="Times New Roman"/>
                <w:noProof/>
                <w:color w:val="006100"/>
                <w:sz w:val="20"/>
                <w:szCs w:val="20"/>
              </w:rPr>
            </w:pPr>
            <w:r>
              <w:rPr>
                <w:rFonts w:ascii="Times New Roman" w:hAnsi="Times New Roman"/>
                <w:noProof/>
                <w:color w:val="006100"/>
                <w:sz w:val="20"/>
              </w:rPr>
              <w:t xml:space="preserve">Ремонт на домове за стари хора </w:t>
            </w:r>
          </w:p>
        </w:tc>
        <w:tc>
          <w:tcPr>
            <w:tcW w:w="2004" w:type="dxa"/>
            <w:tcBorders>
              <w:top w:val="nil"/>
              <w:left w:val="nil"/>
              <w:bottom w:val="single" w:sz="4" w:space="0" w:color="auto"/>
              <w:right w:val="single" w:sz="4" w:space="0" w:color="auto"/>
            </w:tcBorders>
            <w:shd w:val="clear" w:color="auto" w:fill="C6EFCE"/>
            <w:noWrap/>
          </w:tcPr>
          <w:p w14:paraId="59B581CA" w14:textId="77777777" w:rsidR="00DA604C" w:rsidRPr="008A0F8A" w:rsidRDefault="00DA604C" w:rsidP="0066695B">
            <w:pPr>
              <w:rPr>
                <w:rFonts w:ascii="Times New Roman" w:hAnsi="Times New Roman" w:cs="Times New Roman"/>
                <w:noProof/>
                <w:color w:val="006100"/>
                <w:sz w:val="20"/>
                <w:szCs w:val="20"/>
                <w:lang w:val="ru-RU"/>
              </w:rPr>
            </w:pPr>
          </w:p>
        </w:tc>
        <w:tc>
          <w:tcPr>
            <w:tcW w:w="850" w:type="dxa"/>
            <w:tcBorders>
              <w:top w:val="nil"/>
              <w:left w:val="nil"/>
              <w:bottom w:val="single" w:sz="4" w:space="0" w:color="auto"/>
              <w:right w:val="single" w:sz="4" w:space="0" w:color="auto"/>
            </w:tcBorders>
            <w:shd w:val="clear" w:color="auto" w:fill="C6EFCE"/>
            <w:noWrap/>
          </w:tcPr>
          <w:p w14:paraId="23411613" w14:textId="77777777"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Брой</w:t>
            </w:r>
          </w:p>
        </w:tc>
        <w:tc>
          <w:tcPr>
            <w:tcW w:w="851" w:type="dxa"/>
            <w:tcBorders>
              <w:top w:val="nil"/>
              <w:left w:val="nil"/>
              <w:bottom w:val="single" w:sz="4" w:space="0" w:color="auto"/>
              <w:right w:val="single" w:sz="4" w:space="0" w:color="auto"/>
            </w:tcBorders>
            <w:shd w:val="clear" w:color="auto" w:fill="C6EFCE"/>
            <w:noWrap/>
          </w:tcPr>
          <w:p w14:paraId="12F89BC4" w14:textId="77777777"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0</w:t>
            </w:r>
          </w:p>
        </w:tc>
        <w:tc>
          <w:tcPr>
            <w:tcW w:w="709" w:type="dxa"/>
            <w:tcBorders>
              <w:top w:val="nil"/>
              <w:left w:val="nil"/>
              <w:bottom w:val="single" w:sz="4" w:space="0" w:color="auto"/>
              <w:right w:val="single" w:sz="4" w:space="0" w:color="auto"/>
            </w:tcBorders>
            <w:shd w:val="clear" w:color="auto" w:fill="C6EFCE"/>
            <w:noWrap/>
          </w:tcPr>
          <w:p w14:paraId="667C5EE8" w14:textId="77777777"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82</w:t>
            </w:r>
          </w:p>
        </w:tc>
        <w:tc>
          <w:tcPr>
            <w:tcW w:w="850" w:type="dxa"/>
            <w:tcBorders>
              <w:top w:val="nil"/>
              <w:left w:val="nil"/>
              <w:bottom w:val="single" w:sz="4" w:space="0" w:color="auto"/>
              <w:right w:val="single" w:sz="4" w:space="0" w:color="auto"/>
            </w:tcBorders>
            <w:shd w:val="clear" w:color="auto" w:fill="C6EFCE"/>
            <w:noWrap/>
          </w:tcPr>
          <w:p w14:paraId="4C51C6AB" w14:textId="29AFD060"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T4</w:t>
            </w:r>
          </w:p>
        </w:tc>
        <w:tc>
          <w:tcPr>
            <w:tcW w:w="709" w:type="dxa"/>
            <w:tcBorders>
              <w:top w:val="nil"/>
              <w:left w:val="nil"/>
              <w:bottom w:val="single" w:sz="4" w:space="0" w:color="auto"/>
              <w:right w:val="single" w:sz="4" w:space="0" w:color="auto"/>
            </w:tcBorders>
            <w:shd w:val="clear" w:color="auto" w:fill="C6EFCE"/>
            <w:noWrap/>
          </w:tcPr>
          <w:p w14:paraId="783F6689" w14:textId="77777777"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2025</w:t>
            </w:r>
          </w:p>
        </w:tc>
        <w:tc>
          <w:tcPr>
            <w:tcW w:w="4802" w:type="dxa"/>
            <w:tcBorders>
              <w:top w:val="nil"/>
              <w:left w:val="nil"/>
              <w:bottom w:val="single" w:sz="4" w:space="0" w:color="auto"/>
              <w:right w:val="single" w:sz="4" w:space="0" w:color="auto"/>
            </w:tcBorders>
            <w:shd w:val="clear" w:color="auto" w:fill="C6EFCE"/>
            <w:noWrap/>
          </w:tcPr>
          <w:p w14:paraId="334D7C7F" w14:textId="4738ACBE" w:rsidR="00DA604C" w:rsidRPr="0051384F" w:rsidRDefault="00DA604C" w:rsidP="0066695B">
            <w:pPr>
              <w:rPr>
                <w:rFonts w:ascii="Times New Roman" w:hAnsi="Times New Roman" w:cs="Times New Roman"/>
                <w:noProof/>
                <w:color w:val="006100"/>
                <w:sz w:val="20"/>
                <w:szCs w:val="20"/>
              </w:rPr>
            </w:pPr>
            <w:r>
              <w:rPr>
                <w:rFonts w:ascii="Times New Roman" w:hAnsi="Times New Roman"/>
                <w:noProof/>
                <w:color w:val="006100"/>
                <w:sz w:val="20"/>
              </w:rPr>
              <w:t>След сключването на договори (ключов етап 292) се прави ремонт на 82 съществуващи дома за стари хора.</w:t>
            </w:r>
          </w:p>
        </w:tc>
      </w:tr>
      <w:tr w:rsidR="000D78BC" w:rsidRPr="005241FC" w14:paraId="78474E59" w14:textId="77777777" w:rsidTr="702FA0E6">
        <w:trPr>
          <w:trHeight w:val="309"/>
          <w:jc w:val="center"/>
        </w:trPr>
        <w:tc>
          <w:tcPr>
            <w:tcW w:w="646" w:type="dxa"/>
            <w:tcBorders>
              <w:top w:val="nil"/>
              <w:left w:val="single" w:sz="4" w:space="0" w:color="auto"/>
              <w:bottom w:val="single" w:sz="4" w:space="0" w:color="auto"/>
              <w:right w:val="single" w:sz="4" w:space="0" w:color="auto"/>
            </w:tcBorders>
            <w:shd w:val="clear" w:color="auto" w:fill="C6EFCE"/>
            <w:noWrap/>
          </w:tcPr>
          <w:p w14:paraId="31BD5F6D" w14:textId="5AB97289" w:rsidR="00DA604C" w:rsidRPr="0051384F" w:rsidRDefault="00C723AC" w:rsidP="0066695B">
            <w:pPr>
              <w:jc w:val="center"/>
              <w:rPr>
                <w:rFonts w:ascii="Times New Roman" w:hAnsi="Times New Roman" w:cs="Times New Roman"/>
                <w:noProof/>
                <w:color w:val="006100"/>
                <w:sz w:val="20"/>
                <w:szCs w:val="20"/>
              </w:rPr>
            </w:pPr>
            <w:r>
              <w:rPr>
                <w:rFonts w:ascii="Times New Roman" w:hAnsi="Times New Roman"/>
                <w:noProof/>
                <w:color w:val="006100"/>
                <w:sz w:val="20"/>
              </w:rPr>
              <w:t>294</w:t>
            </w:r>
          </w:p>
        </w:tc>
        <w:tc>
          <w:tcPr>
            <w:tcW w:w="1136" w:type="dxa"/>
            <w:tcBorders>
              <w:top w:val="nil"/>
              <w:left w:val="nil"/>
              <w:bottom w:val="single" w:sz="4" w:space="0" w:color="auto"/>
              <w:right w:val="single" w:sz="4" w:space="0" w:color="auto"/>
            </w:tcBorders>
            <w:shd w:val="clear" w:color="auto" w:fill="C6EFCE"/>
            <w:noWrap/>
          </w:tcPr>
          <w:p w14:paraId="4902966A" w14:textId="77777777" w:rsidR="00DA604C" w:rsidRPr="009902CB" w:rsidRDefault="00DA604C" w:rsidP="003B02A1">
            <w:pPr>
              <w:rPr>
                <w:rFonts w:ascii="Times New Roman" w:hAnsi="Times New Roman" w:cs="Times New Roman"/>
                <w:noProof/>
                <w:color w:val="006100"/>
                <w:sz w:val="18"/>
                <w:szCs w:val="18"/>
              </w:rPr>
            </w:pPr>
            <w:r>
              <w:rPr>
                <w:rFonts w:ascii="Times New Roman" w:hAnsi="Times New Roman"/>
                <w:noProof/>
                <w:color w:val="006100"/>
                <w:sz w:val="18"/>
              </w:rPr>
              <w:t>C11.I1: Модернизация на дългосрочните грижи</w:t>
            </w:r>
          </w:p>
        </w:tc>
        <w:tc>
          <w:tcPr>
            <w:tcW w:w="1011" w:type="dxa"/>
            <w:tcBorders>
              <w:top w:val="nil"/>
              <w:left w:val="nil"/>
              <w:bottom w:val="single" w:sz="4" w:space="0" w:color="auto"/>
              <w:right w:val="single" w:sz="4" w:space="0" w:color="auto"/>
            </w:tcBorders>
            <w:shd w:val="clear" w:color="auto" w:fill="C6EFCE"/>
            <w:noWrap/>
          </w:tcPr>
          <w:p w14:paraId="035134BB" w14:textId="77777777"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Цел</w:t>
            </w:r>
          </w:p>
        </w:tc>
        <w:tc>
          <w:tcPr>
            <w:tcW w:w="1311" w:type="dxa"/>
            <w:tcBorders>
              <w:top w:val="nil"/>
              <w:left w:val="nil"/>
              <w:bottom w:val="single" w:sz="4" w:space="0" w:color="auto"/>
              <w:right w:val="single" w:sz="4" w:space="0" w:color="auto"/>
            </w:tcBorders>
            <w:shd w:val="clear" w:color="auto" w:fill="C6EFCE"/>
            <w:noWrap/>
          </w:tcPr>
          <w:p w14:paraId="5D60A3B4" w14:textId="58D9BFE6" w:rsidR="00DA604C" w:rsidRPr="0051384F" w:rsidRDefault="00DA604C" w:rsidP="00EE49D1">
            <w:pPr>
              <w:rPr>
                <w:rFonts w:ascii="Times New Roman" w:hAnsi="Times New Roman" w:cs="Times New Roman"/>
                <w:noProof/>
                <w:color w:val="006100"/>
                <w:sz w:val="20"/>
                <w:szCs w:val="20"/>
              </w:rPr>
            </w:pPr>
            <w:r>
              <w:rPr>
                <w:rFonts w:ascii="Times New Roman" w:hAnsi="Times New Roman"/>
                <w:noProof/>
                <w:color w:val="006100"/>
                <w:sz w:val="20"/>
              </w:rPr>
              <w:t>Нови заведения, предоставящи грижи с настаняване за лица с увреждания</w:t>
            </w:r>
          </w:p>
        </w:tc>
        <w:tc>
          <w:tcPr>
            <w:tcW w:w="2004" w:type="dxa"/>
            <w:tcBorders>
              <w:top w:val="nil"/>
              <w:left w:val="nil"/>
              <w:bottom w:val="single" w:sz="4" w:space="0" w:color="auto"/>
              <w:right w:val="single" w:sz="4" w:space="0" w:color="auto"/>
            </w:tcBorders>
            <w:shd w:val="clear" w:color="auto" w:fill="C6EFCE"/>
            <w:noWrap/>
          </w:tcPr>
          <w:p w14:paraId="5F750BF4" w14:textId="77777777" w:rsidR="00DA604C" w:rsidRPr="008A0F8A" w:rsidRDefault="00DA604C" w:rsidP="0066695B">
            <w:pPr>
              <w:rPr>
                <w:rFonts w:ascii="Times New Roman" w:hAnsi="Times New Roman" w:cs="Times New Roman"/>
                <w:noProof/>
                <w:color w:val="006100"/>
                <w:sz w:val="20"/>
                <w:szCs w:val="20"/>
                <w:lang w:val="ru-RU"/>
              </w:rPr>
            </w:pPr>
          </w:p>
        </w:tc>
        <w:tc>
          <w:tcPr>
            <w:tcW w:w="850" w:type="dxa"/>
            <w:tcBorders>
              <w:top w:val="nil"/>
              <w:left w:val="nil"/>
              <w:bottom w:val="single" w:sz="4" w:space="0" w:color="auto"/>
              <w:right w:val="single" w:sz="4" w:space="0" w:color="auto"/>
            </w:tcBorders>
            <w:shd w:val="clear" w:color="auto" w:fill="C6EFCE"/>
            <w:noWrap/>
          </w:tcPr>
          <w:p w14:paraId="28587F23" w14:textId="77777777"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Брой</w:t>
            </w:r>
          </w:p>
        </w:tc>
        <w:tc>
          <w:tcPr>
            <w:tcW w:w="851" w:type="dxa"/>
            <w:tcBorders>
              <w:top w:val="nil"/>
              <w:left w:val="nil"/>
              <w:bottom w:val="single" w:sz="4" w:space="0" w:color="auto"/>
              <w:right w:val="single" w:sz="4" w:space="0" w:color="auto"/>
            </w:tcBorders>
            <w:shd w:val="clear" w:color="auto" w:fill="C6EFCE"/>
            <w:noWrap/>
          </w:tcPr>
          <w:p w14:paraId="66121FFA" w14:textId="77777777"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0</w:t>
            </w:r>
          </w:p>
        </w:tc>
        <w:tc>
          <w:tcPr>
            <w:tcW w:w="709" w:type="dxa"/>
            <w:tcBorders>
              <w:top w:val="nil"/>
              <w:left w:val="nil"/>
              <w:bottom w:val="single" w:sz="4" w:space="0" w:color="auto"/>
              <w:right w:val="single" w:sz="4" w:space="0" w:color="auto"/>
            </w:tcBorders>
            <w:shd w:val="clear" w:color="auto" w:fill="C6EFCE"/>
            <w:noWrap/>
          </w:tcPr>
          <w:p w14:paraId="6061B7D9" w14:textId="2414979C" w:rsidR="00DA604C" w:rsidRPr="0051384F" w:rsidRDefault="00167984" w:rsidP="0066695B">
            <w:pPr>
              <w:jc w:val="center"/>
              <w:rPr>
                <w:rFonts w:ascii="Times New Roman" w:hAnsi="Times New Roman" w:cs="Times New Roman"/>
                <w:noProof/>
                <w:color w:val="006100"/>
                <w:sz w:val="20"/>
                <w:szCs w:val="20"/>
              </w:rPr>
            </w:pPr>
            <w:r>
              <w:rPr>
                <w:rFonts w:ascii="Times New Roman" w:hAnsi="Times New Roman"/>
                <w:noProof/>
                <w:color w:val="006100"/>
                <w:sz w:val="20"/>
              </w:rPr>
              <w:t>250</w:t>
            </w:r>
          </w:p>
        </w:tc>
        <w:tc>
          <w:tcPr>
            <w:tcW w:w="850" w:type="dxa"/>
            <w:tcBorders>
              <w:top w:val="nil"/>
              <w:left w:val="nil"/>
              <w:bottom w:val="single" w:sz="4" w:space="0" w:color="auto"/>
              <w:right w:val="single" w:sz="4" w:space="0" w:color="auto"/>
            </w:tcBorders>
            <w:shd w:val="clear" w:color="auto" w:fill="C6EFCE"/>
            <w:noWrap/>
          </w:tcPr>
          <w:p w14:paraId="1FD6ED9B" w14:textId="77777777"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T2</w:t>
            </w:r>
          </w:p>
        </w:tc>
        <w:tc>
          <w:tcPr>
            <w:tcW w:w="709" w:type="dxa"/>
            <w:tcBorders>
              <w:top w:val="nil"/>
              <w:left w:val="nil"/>
              <w:bottom w:val="single" w:sz="4" w:space="0" w:color="auto"/>
              <w:right w:val="single" w:sz="4" w:space="0" w:color="auto"/>
            </w:tcBorders>
            <w:shd w:val="clear" w:color="auto" w:fill="C6EFCE"/>
            <w:noWrap/>
          </w:tcPr>
          <w:p w14:paraId="13660AC2" w14:textId="77777777"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2026</w:t>
            </w:r>
          </w:p>
        </w:tc>
        <w:tc>
          <w:tcPr>
            <w:tcW w:w="4802" w:type="dxa"/>
            <w:tcBorders>
              <w:top w:val="nil"/>
              <w:left w:val="nil"/>
              <w:bottom w:val="single" w:sz="4" w:space="0" w:color="auto"/>
              <w:right w:val="single" w:sz="4" w:space="0" w:color="auto"/>
            </w:tcBorders>
            <w:shd w:val="clear" w:color="auto" w:fill="C6EFCE"/>
            <w:noWrap/>
          </w:tcPr>
          <w:p w14:paraId="4CB777D6" w14:textId="37F496D0" w:rsidR="00DA604C" w:rsidRPr="0051384F" w:rsidRDefault="00DA604C" w:rsidP="0066695B">
            <w:pPr>
              <w:rPr>
                <w:rFonts w:ascii="Times New Roman" w:hAnsi="Times New Roman" w:cs="Times New Roman"/>
                <w:noProof/>
                <w:color w:val="006100"/>
                <w:sz w:val="20"/>
                <w:szCs w:val="20"/>
              </w:rPr>
            </w:pPr>
            <w:r>
              <w:rPr>
                <w:rFonts w:ascii="Times New Roman" w:hAnsi="Times New Roman"/>
                <w:noProof/>
                <w:color w:val="006100"/>
                <w:sz w:val="20"/>
              </w:rPr>
              <w:t>След сключването на договори (ключов етап 292) се изграждат 125 нови заведения, предоставящи грижи с настаняване, и 125 нови заведения, предоставящи дневни грижи за хора с увреждания.</w:t>
            </w:r>
          </w:p>
          <w:p w14:paraId="357D31E5" w14:textId="77777777" w:rsidR="00DA604C" w:rsidRPr="0051384F" w:rsidRDefault="00DA604C" w:rsidP="0066695B">
            <w:pPr>
              <w:rPr>
                <w:rFonts w:ascii="Times New Roman" w:hAnsi="Times New Roman" w:cs="Times New Roman"/>
                <w:noProof/>
                <w:color w:val="006100"/>
                <w:sz w:val="20"/>
                <w:szCs w:val="20"/>
              </w:rPr>
            </w:pPr>
            <w:r>
              <w:rPr>
                <w:rFonts w:ascii="Times New Roman" w:hAnsi="Times New Roman"/>
                <w:noProof/>
                <w:color w:val="006100"/>
                <w:sz w:val="20"/>
              </w:rPr>
              <w:t xml:space="preserve">В допълнение, се доставя и монтира оборудване, включително обзавеждане. </w:t>
            </w:r>
          </w:p>
          <w:p w14:paraId="1EF00046" w14:textId="77777777" w:rsidR="00DA604C" w:rsidRPr="0051384F" w:rsidRDefault="00DA604C" w:rsidP="0066695B">
            <w:pPr>
              <w:rPr>
                <w:rFonts w:ascii="Times New Roman" w:hAnsi="Times New Roman" w:cs="Times New Roman"/>
                <w:noProof/>
                <w:sz w:val="20"/>
                <w:szCs w:val="20"/>
              </w:rPr>
            </w:pPr>
            <w:r>
              <w:rPr>
                <w:rFonts w:ascii="Times New Roman" w:hAnsi="Times New Roman"/>
                <w:noProof/>
                <w:color w:val="006100"/>
                <w:sz w:val="20"/>
              </w:rPr>
              <w:t>От заведенията, осигуряващи дневни грижи, се очаква да предоставят подходящи дейности за дневни грижи, консултации, терапия и рехабилитация, като насърчават придобиването на умения за независим живот от хората с увреждания, обитаващи новопостроени заведения, предоставящи грижи с настаняване.</w:t>
            </w:r>
          </w:p>
        </w:tc>
      </w:tr>
      <w:tr w:rsidR="000D78BC" w:rsidRPr="005241FC" w14:paraId="2F1638F3" w14:textId="77777777" w:rsidTr="702FA0E6">
        <w:trPr>
          <w:trHeight w:val="309"/>
          <w:jc w:val="center"/>
        </w:trPr>
        <w:tc>
          <w:tcPr>
            <w:tcW w:w="646" w:type="dxa"/>
            <w:tcBorders>
              <w:top w:val="nil"/>
              <w:left w:val="single" w:sz="4" w:space="0" w:color="auto"/>
              <w:bottom w:val="single" w:sz="4" w:space="0" w:color="auto"/>
              <w:right w:val="single" w:sz="4" w:space="0" w:color="auto"/>
            </w:tcBorders>
            <w:shd w:val="clear" w:color="auto" w:fill="C6EFCE"/>
            <w:noWrap/>
          </w:tcPr>
          <w:p w14:paraId="6295B320" w14:textId="59785AE6" w:rsidR="00DA604C" w:rsidRPr="0051384F" w:rsidRDefault="00C723AC" w:rsidP="0066695B">
            <w:pPr>
              <w:jc w:val="center"/>
              <w:rPr>
                <w:rFonts w:ascii="Times New Roman" w:hAnsi="Times New Roman" w:cs="Times New Roman"/>
                <w:noProof/>
                <w:color w:val="006100"/>
                <w:sz w:val="20"/>
                <w:szCs w:val="20"/>
              </w:rPr>
            </w:pPr>
            <w:r>
              <w:rPr>
                <w:rFonts w:ascii="Times New Roman" w:hAnsi="Times New Roman"/>
                <w:noProof/>
                <w:color w:val="006100"/>
                <w:sz w:val="20"/>
              </w:rPr>
              <w:t>295</w:t>
            </w:r>
          </w:p>
        </w:tc>
        <w:tc>
          <w:tcPr>
            <w:tcW w:w="1136" w:type="dxa"/>
            <w:tcBorders>
              <w:top w:val="nil"/>
              <w:left w:val="nil"/>
              <w:bottom w:val="single" w:sz="4" w:space="0" w:color="auto"/>
              <w:right w:val="single" w:sz="4" w:space="0" w:color="auto"/>
            </w:tcBorders>
            <w:shd w:val="clear" w:color="auto" w:fill="C6EFCE"/>
            <w:noWrap/>
          </w:tcPr>
          <w:p w14:paraId="2405CA23" w14:textId="77777777" w:rsidR="00DA604C" w:rsidRPr="009902CB" w:rsidRDefault="00DA604C" w:rsidP="003B02A1">
            <w:pPr>
              <w:rPr>
                <w:rFonts w:ascii="Times New Roman" w:hAnsi="Times New Roman" w:cs="Times New Roman"/>
                <w:noProof/>
                <w:color w:val="006100"/>
                <w:sz w:val="18"/>
                <w:szCs w:val="18"/>
              </w:rPr>
            </w:pPr>
            <w:r>
              <w:rPr>
                <w:rFonts w:ascii="Times New Roman" w:hAnsi="Times New Roman"/>
                <w:noProof/>
                <w:color w:val="006100"/>
                <w:sz w:val="18"/>
              </w:rPr>
              <w:t>C11.I1: Модернизация на дългосрочните грижи</w:t>
            </w:r>
          </w:p>
        </w:tc>
        <w:tc>
          <w:tcPr>
            <w:tcW w:w="1011" w:type="dxa"/>
            <w:tcBorders>
              <w:top w:val="nil"/>
              <w:left w:val="nil"/>
              <w:bottom w:val="single" w:sz="4" w:space="0" w:color="auto"/>
              <w:right w:val="single" w:sz="4" w:space="0" w:color="auto"/>
            </w:tcBorders>
            <w:shd w:val="clear" w:color="auto" w:fill="C6EFCE"/>
            <w:noWrap/>
          </w:tcPr>
          <w:p w14:paraId="0D286FB1" w14:textId="77777777"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Цел</w:t>
            </w:r>
          </w:p>
        </w:tc>
        <w:tc>
          <w:tcPr>
            <w:tcW w:w="1311" w:type="dxa"/>
            <w:tcBorders>
              <w:top w:val="nil"/>
              <w:left w:val="nil"/>
              <w:bottom w:val="single" w:sz="4" w:space="0" w:color="auto"/>
              <w:right w:val="single" w:sz="4" w:space="0" w:color="auto"/>
            </w:tcBorders>
            <w:shd w:val="clear" w:color="auto" w:fill="C6EFCE"/>
            <w:noWrap/>
          </w:tcPr>
          <w:p w14:paraId="63519E02" w14:textId="77777777" w:rsidR="00DA604C" w:rsidRPr="0051384F" w:rsidRDefault="00DA604C" w:rsidP="0066695B">
            <w:pPr>
              <w:rPr>
                <w:rFonts w:ascii="Times New Roman" w:hAnsi="Times New Roman" w:cs="Times New Roman"/>
                <w:noProof/>
                <w:color w:val="006100"/>
                <w:sz w:val="20"/>
                <w:szCs w:val="20"/>
              </w:rPr>
            </w:pPr>
            <w:r>
              <w:rPr>
                <w:rFonts w:ascii="Times New Roman" w:hAnsi="Times New Roman"/>
                <w:noProof/>
                <w:color w:val="006100"/>
                <w:sz w:val="20"/>
              </w:rPr>
              <w:t>Саниране с цел икономии на енергия на съществуващи заведения, предоставящи социални услуги</w:t>
            </w:r>
          </w:p>
        </w:tc>
        <w:tc>
          <w:tcPr>
            <w:tcW w:w="2004" w:type="dxa"/>
            <w:tcBorders>
              <w:top w:val="nil"/>
              <w:left w:val="nil"/>
              <w:bottom w:val="single" w:sz="4" w:space="0" w:color="auto"/>
              <w:right w:val="single" w:sz="4" w:space="0" w:color="auto"/>
            </w:tcBorders>
            <w:shd w:val="clear" w:color="auto" w:fill="C6EFCE"/>
            <w:noWrap/>
          </w:tcPr>
          <w:p w14:paraId="4D27A238" w14:textId="77777777" w:rsidR="00DA604C" w:rsidRPr="008A0F8A" w:rsidRDefault="00DA604C" w:rsidP="0066695B">
            <w:pPr>
              <w:rPr>
                <w:rFonts w:ascii="Times New Roman" w:hAnsi="Times New Roman" w:cs="Times New Roman"/>
                <w:noProof/>
                <w:color w:val="006100"/>
                <w:sz w:val="20"/>
                <w:szCs w:val="20"/>
                <w:lang w:val="ru-RU"/>
              </w:rPr>
            </w:pPr>
          </w:p>
        </w:tc>
        <w:tc>
          <w:tcPr>
            <w:tcW w:w="850" w:type="dxa"/>
            <w:tcBorders>
              <w:top w:val="nil"/>
              <w:left w:val="nil"/>
              <w:bottom w:val="single" w:sz="4" w:space="0" w:color="auto"/>
              <w:right w:val="single" w:sz="4" w:space="0" w:color="auto"/>
            </w:tcBorders>
            <w:shd w:val="clear" w:color="auto" w:fill="C6EFCE"/>
            <w:noWrap/>
          </w:tcPr>
          <w:p w14:paraId="048722FA" w14:textId="77777777"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Брой</w:t>
            </w:r>
          </w:p>
        </w:tc>
        <w:tc>
          <w:tcPr>
            <w:tcW w:w="851" w:type="dxa"/>
            <w:tcBorders>
              <w:top w:val="nil"/>
              <w:left w:val="nil"/>
              <w:bottom w:val="single" w:sz="4" w:space="0" w:color="auto"/>
              <w:right w:val="single" w:sz="4" w:space="0" w:color="auto"/>
            </w:tcBorders>
            <w:shd w:val="clear" w:color="auto" w:fill="C6EFCE"/>
            <w:noWrap/>
          </w:tcPr>
          <w:p w14:paraId="4F55821F" w14:textId="77777777"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0</w:t>
            </w:r>
          </w:p>
        </w:tc>
        <w:tc>
          <w:tcPr>
            <w:tcW w:w="709" w:type="dxa"/>
            <w:tcBorders>
              <w:top w:val="nil"/>
              <w:left w:val="nil"/>
              <w:bottom w:val="single" w:sz="4" w:space="0" w:color="auto"/>
              <w:right w:val="single" w:sz="4" w:space="0" w:color="auto"/>
            </w:tcBorders>
            <w:shd w:val="clear" w:color="auto" w:fill="C6EFCE"/>
            <w:noWrap/>
          </w:tcPr>
          <w:p w14:paraId="1E6DCD09" w14:textId="77777777"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840</w:t>
            </w:r>
          </w:p>
        </w:tc>
        <w:tc>
          <w:tcPr>
            <w:tcW w:w="850" w:type="dxa"/>
            <w:tcBorders>
              <w:top w:val="nil"/>
              <w:left w:val="nil"/>
              <w:bottom w:val="single" w:sz="4" w:space="0" w:color="auto"/>
              <w:right w:val="single" w:sz="4" w:space="0" w:color="auto"/>
            </w:tcBorders>
            <w:shd w:val="clear" w:color="auto" w:fill="C6EFCE"/>
            <w:noWrap/>
          </w:tcPr>
          <w:p w14:paraId="755F89B7" w14:textId="77777777"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T2</w:t>
            </w:r>
          </w:p>
        </w:tc>
        <w:tc>
          <w:tcPr>
            <w:tcW w:w="709" w:type="dxa"/>
            <w:tcBorders>
              <w:top w:val="nil"/>
              <w:left w:val="nil"/>
              <w:bottom w:val="single" w:sz="4" w:space="0" w:color="auto"/>
              <w:right w:val="single" w:sz="4" w:space="0" w:color="auto"/>
            </w:tcBorders>
            <w:shd w:val="clear" w:color="auto" w:fill="C6EFCE"/>
            <w:noWrap/>
          </w:tcPr>
          <w:p w14:paraId="6D331B34" w14:textId="77777777"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2026</w:t>
            </w:r>
          </w:p>
        </w:tc>
        <w:tc>
          <w:tcPr>
            <w:tcW w:w="4802" w:type="dxa"/>
            <w:tcBorders>
              <w:top w:val="nil"/>
              <w:left w:val="nil"/>
              <w:bottom w:val="single" w:sz="4" w:space="0" w:color="auto"/>
              <w:right w:val="single" w:sz="4" w:space="0" w:color="auto"/>
            </w:tcBorders>
            <w:shd w:val="clear" w:color="auto" w:fill="C6EFCE"/>
            <w:noWrap/>
          </w:tcPr>
          <w:p w14:paraId="5CA77F1E" w14:textId="21FB4304" w:rsidR="00DA604C" w:rsidRPr="0051384F" w:rsidRDefault="00DA604C" w:rsidP="0066695B">
            <w:pPr>
              <w:rPr>
                <w:rFonts w:ascii="Times New Roman" w:hAnsi="Times New Roman" w:cs="Times New Roman"/>
                <w:noProof/>
                <w:color w:val="006100"/>
                <w:sz w:val="20"/>
                <w:szCs w:val="20"/>
              </w:rPr>
            </w:pPr>
            <w:r>
              <w:rPr>
                <w:rFonts w:ascii="Times New Roman" w:hAnsi="Times New Roman"/>
                <w:noProof/>
                <w:color w:val="006100"/>
                <w:sz w:val="20"/>
              </w:rPr>
              <w:t>След сключването на договори (ключов етап 292) се приключва санирането в 840 съществуващи заведения, предоставящи социални или административни услуги, свързани със социалните услуги.</w:t>
            </w:r>
          </w:p>
          <w:p w14:paraId="20C48B06" w14:textId="77777777" w:rsidR="00DA604C" w:rsidRPr="0051384F" w:rsidRDefault="00DA604C" w:rsidP="0066695B">
            <w:pPr>
              <w:rPr>
                <w:rFonts w:ascii="Times New Roman" w:hAnsi="Times New Roman" w:cs="Times New Roman"/>
                <w:noProof/>
                <w:color w:val="006100"/>
                <w:sz w:val="20"/>
                <w:szCs w:val="20"/>
              </w:rPr>
            </w:pPr>
            <w:r>
              <w:rPr>
                <w:rFonts w:ascii="Times New Roman" w:hAnsi="Times New Roman"/>
                <w:noProof/>
                <w:color w:val="006100"/>
                <w:sz w:val="20"/>
              </w:rPr>
              <w:t>При санирането трябва да се постигат средно 30 % икономии на енергия.</w:t>
            </w:r>
          </w:p>
        </w:tc>
      </w:tr>
      <w:tr w:rsidR="000D78BC" w:rsidRPr="005241FC" w14:paraId="60083ECB" w14:textId="77777777" w:rsidTr="702FA0E6">
        <w:trPr>
          <w:trHeight w:val="309"/>
          <w:jc w:val="center"/>
        </w:trPr>
        <w:tc>
          <w:tcPr>
            <w:tcW w:w="646" w:type="dxa"/>
            <w:tcBorders>
              <w:top w:val="nil"/>
              <w:left w:val="single" w:sz="4" w:space="0" w:color="auto"/>
              <w:bottom w:val="single" w:sz="4" w:space="0" w:color="auto"/>
              <w:right w:val="single" w:sz="4" w:space="0" w:color="auto"/>
            </w:tcBorders>
            <w:shd w:val="clear" w:color="auto" w:fill="C6EFCE"/>
            <w:noWrap/>
          </w:tcPr>
          <w:p w14:paraId="02939EF8" w14:textId="1C2A07E2" w:rsidR="00DA604C" w:rsidRPr="0051384F" w:rsidRDefault="00C723AC" w:rsidP="0066695B">
            <w:pPr>
              <w:jc w:val="center"/>
              <w:rPr>
                <w:rFonts w:ascii="Times New Roman" w:hAnsi="Times New Roman" w:cs="Times New Roman"/>
                <w:noProof/>
                <w:color w:val="006100"/>
                <w:sz w:val="20"/>
                <w:szCs w:val="20"/>
              </w:rPr>
            </w:pPr>
            <w:r>
              <w:rPr>
                <w:rFonts w:ascii="Times New Roman" w:hAnsi="Times New Roman"/>
                <w:noProof/>
                <w:color w:val="006100"/>
                <w:sz w:val="20"/>
              </w:rPr>
              <w:t>296</w:t>
            </w:r>
          </w:p>
        </w:tc>
        <w:tc>
          <w:tcPr>
            <w:tcW w:w="1136" w:type="dxa"/>
            <w:tcBorders>
              <w:top w:val="nil"/>
              <w:left w:val="nil"/>
              <w:bottom w:val="single" w:sz="4" w:space="0" w:color="auto"/>
              <w:right w:val="single" w:sz="4" w:space="0" w:color="auto"/>
            </w:tcBorders>
            <w:shd w:val="clear" w:color="auto" w:fill="C6EFCE"/>
            <w:noWrap/>
          </w:tcPr>
          <w:p w14:paraId="744637A7" w14:textId="77777777" w:rsidR="00DA604C" w:rsidRPr="009902CB" w:rsidRDefault="00DA604C" w:rsidP="003B02A1">
            <w:pPr>
              <w:rPr>
                <w:rFonts w:ascii="Times New Roman" w:hAnsi="Times New Roman" w:cs="Times New Roman"/>
                <w:noProof/>
                <w:color w:val="006100"/>
                <w:sz w:val="18"/>
                <w:szCs w:val="18"/>
              </w:rPr>
            </w:pPr>
            <w:r>
              <w:rPr>
                <w:rFonts w:ascii="Times New Roman" w:hAnsi="Times New Roman"/>
                <w:noProof/>
                <w:color w:val="006100"/>
                <w:sz w:val="18"/>
              </w:rPr>
              <w:t>C11.I1: Модернизация на дългосрочните грижи</w:t>
            </w:r>
          </w:p>
        </w:tc>
        <w:tc>
          <w:tcPr>
            <w:tcW w:w="1011" w:type="dxa"/>
            <w:tcBorders>
              <w:top w:val="nil"/>
              <w:left w:val="nil"/>
              <w:bottom w:val="single" w:sz="4" w:space="0" w:color="auto"/>
              <w:right w:val="single" w:sz="4" w:space="0" w:color="auto"/>
            </w:tcBorders>
            <w:shd w:val="clear" w:color="auto" w:fill="C6EFCE"/>
            <w:noWrap/>
          </w:tcPr>
          <w:p w14:paraId="44D1FE47" w14:textId="77777777"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Цел</w:t>
            </w:r>
          </w:p>
        </w:tc>
        <w:tc>
          <w:tcPr>
            <w:tcW w:w="1311" w:type="dxa"/>
            <w:tcBorders>
              <w:top w:val="nil"/>
              <w:left w:val="nil"/>
              <w:bottom w:val="single" w:sz="4" w:space="0" w:color="auto"/>
              <w:right w:val="single" w:sz="4" w:space="0" w:color="auto"/>
            </w:tcBorders>
            <w:shd w:val="clear" w:color="auto" w:fill="C6EFCE"/>
            <w:noWrap/>
          </w:tcPr>
          <w:p w14:paraId="4714B6E5" w14:textId="5538A080" w:rsidR="00DA604C" w:rsidRPr="0051384F" w:rsidRDefault="00DA604C" w:rsidP="00984A96">
            <w:pPr>
              <w:rPr>
                <w:rFonts w:ascii="Times New Roman" w:hAnsi="Times New Roman" w:cs="Times New Roman"/>
                <w:noProof/>
                <w:color w:val="006100"/>
                <w:sz w:val="20"/>
                <w:szCs w:val="20"/>
              </w:rPr>
            </w:pPr>
            <w:r>
              <w:rPr>
                <w:rFonts w:ascii="Times New Roman" w:hAnsi="Times New Roman"/>
                <w:noProof/>
                <w:color w:val="006100"/>
                <w:sz w:val="20"/>
              </w:rPr>
              <w:t>Дял на пълнолетните лица, получаващи помощ в специализирани медицински институции, в сравнение с тези, които получават помощ посредством услуги в общността или у дома</w:t>
            </w:r>
          </w:p>
        </w:tc>
        <w:tc>
          <w:tcPr>
            <w:tcW w:w="2004" w:type="dxa"/>
            <w:tcBorders>
              <w:top w:val="nil"/>
              <w:left w:val="nil"/>
              <w:bottom w:val="single" w:sz="4" w:space="0" w:color="auto"/>
              <w:right w:val="single" w:sz="4" w:space="0" w:color="auto"/>
            </w:tcBorders>
            <w:shd w:val="clear" w:color="auto" w:fill="C6EFCE"/>
            <w:noWrap/>
          </w:tcPr>
          <w:p w14:paraId="00B94583" w14:textId="77777777" w:rsidR="00DA604C" w:rsidRPr="008A0F8A" w:rsidRDefault="00DA604C" w:rsidP="0066695B">
            <w:pPr>
              <w:rPr>
                <w:rFonts w:ascii="Times New Roman" w:hAnsi="Times New Roman" w:cs="Times New Roman"/>
                <w:noProof/>
                <w:color w:val="006100"/>
                <w:sz w:val="20"/>
                <w:szCs w:val="20"/>
                <w:lang w:val="ru-RU"/>
              </w:rPr>
            </w:pPr>
          </w:p>
        </w:tc>
        <w:tc>
          <w:tcPr>
            <w:tcW w:w="850" w:type="dxa"/>
            <w:tcBorders>
              <w:top w:val="nil"/>
              <w:left w:val="nil"/>
              <w:bottom w:val="single" w:sz="4" w:space="0" w:color="auto"/>
              <w:right w:val="single" w:sz="4" w:space="0" w:color="auto"/>
            </w:tcBorders>
            <w:shd w:val="clear" w:color="auto" w:fill="C6EFCE"/>
            <w:noWrap/>
          </w:tcPr>
          <w:p w14:paraId="5EAC6FA8" w14:textId="77777777"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Брой</w:t>
            </w:r>
          </w:p>
        </w:tc>
        <w:tc>
          <w:tcPr>
            <w:tcW w:w="851" w:type="dxa"/>
            <w:tcBorders>
              <w:top w:val="nil"/>
              <w:left w:val="nil"/>
              <w:bottom w:val="single" w:sz="4" w:space="0" w:color="auto"/>
              <w:right w:val="single" w:sz="4" w:space="0" w:color="auto"/>
            </w:tcBorders>
            <w:shd w:val="clear" w:color="auto" w:fill="C6EFCE"/>
            <w:noWrap/>
          </w:tcPr>
          <w:p w14:paraId="18445B4C" w14:textId="77777777"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18,5</w:t>
            </w:r>
          </w:p>
        </w:tc>
        <w:tc>
          <w:tcPr>
            <w:tcW w:w="709" w:type="dxa"/>
            <w:tcBorders>
              <w:top w:val="nil"/>
              <w:left w:val="nil"/>
              <w:bottom w:val="single" w:sz="4" w:space="0" w:color="auto"/>
              <w:right w:val="single" w:sz="4" w:space="0" w:color="auto"/>
            </w:tcBorders>
            <w:shd w:val="clear" w:color="auto" w:fill="C6EFCE"/>
            <w:noWrap/>
          </w:tcPr>
          <w:p w14:paraId="116F3AB2" w14:textId="77777777"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5</w:t>
            </w:r>
          </w:p>
        </w:tc>
        <w:tc>
          <w:tcPr>
            <w:tcW w:w="850" w:type="dxa"/>
            <w:tcBorders>
              <w:top w:val="nil"/>
              <w:left w:val="nil"/>
              <w:bottom w:val="single" w:sz="4" w:space="0" w:color="auto"/>
              <w:right w:val="single" w:sz="4" w:space="0" w:color="auto"/>
            </w:tcBorders>
            <w:shd w:val="clear" w:color="auto" w:fill="C6EFCE"/>
            <w:noWrap/>
          </w:tcPr>
          <w:p w14:paraId="732B6819" w14:textId="77777777"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T2</w:t>
            </w:r>
          </w:p>
        </w:tc>
        <w:tc>
          <w:tcPr>
            <w:tcW w:w="709" w:type="dxa"/>
            <w:tcBorders>
              <w:top w:val="nil"/>
              <w:left w:val="nil"/>
              <w:bottom w:val="single" w:sz="4" w:space="0" w:color="auto"/>
              <w:right w:val="single" w:sz="4" w:space="0" w:color="auto"/>
            </w:tcBorders>
            <w:shd w:val="clear" w:color="auto" w:fill="C6EFCE"/>
            <w:noWrap/>
          </w:tcPr>
          <w:p w14:paraId="63457214" w14:textId="77777777"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2026</w:t>
            </w:r>
          </w:p>
        </w:tc>
        <w:tc>
          <w:tcPr>
            <w:tcW w:w="4802" w:type="dxa"/>
            <w:tcBorders>
              <w:top w:val="nil"/>
              <w:left w:val="nil"/>
              <w:bottom w:val="single" w:sz="4" w:space="0" w:color="auto"/>
              <w:right w:val="single" w:sz="4" w:space="0" w:color="auto"/>
            </w:tcBorders>
            <w:shd w:val="clear" w:color="auto" w:fill="C6EFCE"/>
            <w:noWrap/>
          </w:tcPr>
          <w:p w14:paraId="7A3651CA" w14:textId="6447D59B" w:rsidR="00DA604C" w:rsidRPr="0051384F" w:rsidRDefault="00DA604C" w:rsidP="0066695B">
            <w:pPr>
              <w:rPr>
                <w:rFonts w:ascii="Times New Roman" w:hAnsi="Times New Roman" w:cs="Times New Roman"/>
                <w:noProof/>
                <w:color w:val="006100"/>
                <w:sz w:val="20"/>
                <w:szCs w:val="20"/>
              </w:rPr>
            </w:pPr>
            <w:r>
              <w:rPr>
                <w:rFonts w:ascii="Times New Roman" w:hAnsi="Times New Roman"/>
                <w:noProof/>
                <w:color w:val="006100"/>
                <w:sz w:val="20"/>
              </w:rPr>
              <w:t>Показателят измерва съотношението между броя на възрастните, получаващи помощ в специализирани институции, а именно институции за възрастните с увреждания и домове за стари хора, и броя на възрастните, които получават помощ посредством услуги в общността или у дома.</w:t>
            </w:r>
          </w:p>
          <w:p w14:paraId="10EC9B23" w14:textId="1F5FE87C" w:rsidR="00DA604C" w:rsidRPr="0051384F" w:rsidRDefault="00DA604C" w:rsidP="00F975FE">
            <w:pPr>
              <w:rPr>
                <w:rFonts w:ascii="Times New Roman" w:hAnsi="Times New Roman" w:cs="Times New Roman"/>
                <w:noProof/>
                <w:color w:val="006100"/>
                <w:sz w:val="20"/>
                <w:szCs w:val="20"/>
              </w:rPr>
            </w:pPr>
            <w:r>
              <w:rPr>
                <w:rFonts w:ascii="Times New Roman" w:hAnsi="Times New Roman"/>
                <w:noProof/>
                <w:color w:val="006100"/>
                <w:sz w:val="20"/>
              </w:rPr>
              <w:t>В допълнение, броят на възрастните, получаващи помощ в специализирани институции, трябва да намалее през периода 2021—2026 г.</w:t>
            </w:r>
          </w:p>
        </w:tc>
      </w:tr>
      <w:tr w:rsidR="000D78BC" w:rsidRPr="005241FC" w14:paraId="6C64BA72" w14:textId="77777777" w:rsidTr="702FA0E6">
        <w:trPr>
          <w:trHeight w:val="309"/>
          <w:jc w:val="center"/>
        </w:trPr>
        <w:tc>
          <w:tcPr>
            <w:tcW w:w="646" w:type="dxa"/>
            <w:tcBorders>
              <w:top w:val="nil"/>
              <w:left w:val="single" w:sz="4" w:space="0" w:color="auto"/>
              <w:bottom w:val="single" w:sz="4" w:space="0" w:color="auto"/>
              <w:right w:val="single" w:sz="4" w:space="0" w:color="auto"/>
            </w:tcBorders>
            <w:shd w:val="clear" w:color="auto" w:fill="C6EFCE"/>
            <w:noWrap/>
          </w:tcPr>
          <w:p w14:paraId="375DCA9D" w14:textId="1D69499C" w:rsidR="00DA604C" w:rsidRPr="0051384F" w:rsidRDefault="00C723AC" w:rsidP="0066695B">
            <w:pPr>
              <w:jc w:val="center"/>
              <w:rPr>
                <w:rFonts w:ascii="Times New Roman" w:hAnsi="Times New Roman" w:cs="Times New Roman"/>
                <w:noProof/>
                <w:color w:val="006100"/>
                <w:sz w:val="20"/>
                <w:szCs w:val="20"/>
              </w:rPr>
            </w:pPr>
            <w:r>
              <w:rPr>
                <w:rFonts w:ascii="Times New Roman" w:hAnsi="Times New Roman"/>
                <w:noProof/>
                <w:color w:val="006100"/>
                <w:sz w:val="20"/>
              </w:rPr>
              <w:t>297</w:t>
            </w:r>
          </w:p>
        </w:tc>
        <w:tc>
          <w:tcPr>
            <w:tcW w:w="1136" w:type="dxa"/>
            <w:tcBorders>
              <w:top w:val="nil"/>
              <w:left w:val="nil"/>
              <w:bottom w:val="single" w:sz="4" w:space="0" w:color="auto"/>
              <w:right w:val="single" w:sz="4" w:space="0" w:color="auto"/>
            </w:tcBorders>
            <w:shd w:val="clear" w:color="auto" w:fill="C6EFCE"/>
            <w:noWrap/>
          </w:tcPr>
          <w:p w14:paraId="2432ACD9" w14:textId="7D06F55E" w:rsidR="00DA604C" w:rsidRPr="0051384F" w:rsidRDefault="00DA604C" w:rsidP="003B02A1">
            <w:pPr>
              <w:rPr>
                <w:rFonts w:ascii="Times New Roman" w:hAnsi="Times New Roman" w:cs="Times New Roman"/>
                <w:noProof/>
                <w:color w:val="006100"/>
                <w:sz w:val="20"/>
                <w:szCs w:val="20"/>
              </w:rPr>
            </w:pPr>
            <w:r>
              <w:rPr>
                <w:rFonts w:ascii="Times New Roman" w:hAnsi="Times New Roman"/>
                <w:noProof/>
                <w:color w:val="006100"/>
                <w:sz w:val="20"/>
              </w:rPr>
              <w:t>C11.I2: Предоставяне на помощни средства на лица с трайни увреждания</w:t>
            </w:r>
          </w:p>
        </w:tc>
        <w:tc>
          <w:tcPr>
            <w:tcW w:w="1011" w:type="dxa"/>
            <w:tcBorders>
              <w:top w:val="nil"/>
              <w:left w:val="nil"/>
              <w:bottom w:val="single" w:sz="4" w:space="0" w:color="auto"/>
              <w:right w:val="single" w:sz="4" w:space="0" w:color="auto"/>
            </w:tcBorders>
            <w:shd w:val="clear" w:color="auto" w:fill="C6EFCE"/>
            <w:noWrap/>
          </w:tcPr>
          <w:p w14:paraId="471DC312" w14:textId="77777777"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Ключов етап</w:t>
            </w:r>
          </w:p>
        </w:tc>
        <w:tc>
          <w:tcPr>
            <w:tcW w:w="1311" w:type="dxa"/>
            <w:tcBorders>
              <w:top w:val="nil"/>
              <w:left w:val="nil"/>
              <w:bottom w:val="single" w:sz="4" w:space="0" w:color="auto"/>
              <w:right w:val="single" w:sz="4" w:space="0" w:color="auto"/>
            </w:tcBorders>
            <w:shd w:val="clear" w:color="auto" w:fill="C6EFCE"/>
            <w:noWrap/>
          </w:tcPr>
          <w:p w14:paraId="5BD152E4" w14:textId="77777777" w:rsidR="00DA604C" w:rsidRPr="0051384F" w:rsidRDefault="00DA604C" w:rsidP="0066695B">
            <w:pPr>
              <w:rPr>
                <w:rFonts w:ascii="Times New Roman" w:hAnsi="Times New Roman" w:cs="Times New Roman"/>
                <w:noProof/>
                <w:color w:val="006100"/>
                <w:sz w:val="20"/>
                <w:szCs w:val="20"/>
              </w:rPr>
            </w:pPr>
            <w:r>
              <w:rPr>
                <w:rFonts w:ascii="Times New Roman" w:hAnsi="Times New Roman"/>
                <w:noProof/>
                <w:color w:val="006100"/>
                <w:sz w:val="20"/>
              </w:rPr>
              <w:t>Методика за подбор на лица с трайни увреждания</w:t>
            </w:r>
          </w:p>
        </w:tc>
        <w:tc>
          <w:tcPr>
            <w:tcW w:w="2004" w:type="dxa"/>
            <w:tcBorders>
              <w:top w:val="nil"/>
              <w:left w:val="nil"/>
              <w:bottom w:val="single" w:sz="4" w:space="0" w:color="auto"/>
              <w:right w:val="single" w:sz="4" w:space="0" w:color="auto"/>
            </w:tcBorders>
            <w:shd w:val="clear" w:color="auto" w:fill="C6EFCE"/>
            <w:noWrap/>
          </w:tcPr>
          <w:p w14:paraId="0865EE5E" w14:textId="77777777" w:rsidR="00DA604C" w:rsidRPr="0051384F" w:rsidRDefault="00DA604C" w:rsidP="0066695B">
            <w:pPr>
              <w:rPr>
                <w:rFonts w:ascii="Times New Roman" w:hAnsi="Times New Roman" w:cs="Times New Roman"/>
                <w:noProof/>
                <w:color w:val="006100"/>
                <w:sz w:val="20"/>
                <w:szCs w:val="20"/>
              </w:rPr>
            </w:pPr>
            <w:r>
              <w:rPr>
                <w:rFonts w:ascii="Times New Roman" w:hAnsi="Times New Roman"/>
                <w:noProof/>
                <w:color w:val="006100"/>
                <w:sz w:val="20"/>
              </w:rPr>
              <w:t xml:space="preserve">Приемане от Министерството на труда и социалната политика </w:t>
            </w:r>
          </w:p>
        </w:tc>
        <w:tc>
          <w:tcPr>
            <w:tcW w:w="850" w:type="dxa"/>
            <w:tcBorders>
              <w:top w:val="nil"/>
              <w:left w:val="nil"/>
              <w:bottom w:val="single" w:sz="4" w:space="0" w:color="auto"/>
              <w:right w:val="single" w:sz="4" w:space="0" w:color="auto"/>
            </w:tcBorders>
            <w:shd w:val="clear" w:color="auto" w:fill="C6EFCE"/>
            <w:noWrap/>
          </w:tcPr>
          <w:p w14:paraId="49763116" w14:textId="77777777" w:rsidR="00DA604C" w:rsidRPr="008A0F8A" w:rsidRDefault="00DA604C" w:rsidP="0066695B">
            <w:pPr>
              <w:jc w:val="center"/>
              <w:rPr>
                <w:rFonts w:ascii="Times New Roman" w:hAnsi="Times New Roman" w:cs="Times New Roman"/>
                <w:noProof/>
                <w:color w:val="006100"/>
                <w:sz w:val="20"/>
                <w:szCs w:val="20"/>
                <w:lang w:val="ru-RU"/>
              </w:rPr>
            </w:pPr>
          </w:p>
        </w:tc>
        <w:tc>
          <w:tcPr>
            <w:tcW w:w="851" w:type="dxa"/>
            <w:tcBorders>
              <w:top w:val="nil"/>
              <w:left w:val="nil"/>
              <w:bottom w:val="single" w:sz="4" w:space="0" w:color="auto"/>
              <w:right w:val="single" w:sz="4" w:space="0" w:color="auto"/>
            </w:tcBorders>
            <w:shd w:val="clear" w:color="auto" w:fill="C6EFCE"/>
            <w:noWrap/>
          </w:tcPr>
          <w:p w14:paraId="564607E3" w14:textId="77777777" w:rsidR="00DA604C" w:rsidRPr="008A0F8A" w:rsidRDefault="00DA604C" w:rsidP="0066695B">
            <w:pPr>
              <w:jc w:val="center"/>
              <w:rPr>
                <w:rFonts w:ascii="Times New Roman" w:hAnsi="Times New Roman" w:cs="Times New Roman"/>
                <w:noProof/>
                <w:color w:val="006100"/>
                <w:sz w:val="20"/>
                <w:szCs w:val="20"/>
                <w:lang w:val="ru-RU"/>
              </w:rPr>
            </w:pPr>
          </w:p>
        </w:tc>
        <w:tc>
          <w:tcPr>
            <w:tcW w:w="709" w:type="dxa"/>
            <w:tcBorders>
              <w:top w:val="nil"/>
              <w:left w:val="nil"/>
              <w:bottom w:val="single" w:sz="4" w:space="0" w:color="auto"/>
              <w:right w:val="single" w:sz="4" w:space="0" w:color="auto"/>
            </w:tcBorders>
            <w:shd w:val="clear" w:color="auto" w:fill="C6EFCE"/>
            <w:noWrap/>
          </w:tcPr>
          <w:p w14:paraId="57A962B6" w14:textId="77777777" w:rsidR="00DA604C" w:rsidRPr="008A0F8A" w:rsidRDefault="00DA604C" w:rsidP="0066695B">
            <w:pPr>
              <w:jc w:val="center"/>
              <w:rPr>
                <w:rFonts w:ascii="Times New Roman" w:hAnsi="Times New Roman" w:cs="Times New Roman"/>
                <w:noProof/>
                <w:color w:val="006100"/>
                <w:sz w:val="20"/>
                <w:szCs w:val="20"/>
                <w:lang w:val="ru-RU"/>
              </w:rPr>
            </w:pPr>
          </w:p>
        </w:tc>
        <w:tc>
          <w:tcPr>
            <w:tcW w:w="850" w:type="dxa"/>
            <w:tcBorders>
              <w:top w:val="nil"/>
              <w:left w:val="nil"/>
              <w:bottom w:val="single" w:sz="4" w:space="0" w:color="auto"/>
              <w:right w:val="single" w:sz="4" w:space="0" w:color="auto"/>
            </w:tcBorders>
            <w:shd w:val="clear" w:color="auto" w:fill="C6EFCE"/>
            <w:noWrap/>
          </w:tcPr>
          <w:p w14:paraId="183CB264" w14:textId="77777777"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T4</w:t>
            </w:r>
          </w:p>
        </w:tc>
        <w:tc>
          <w:tcPr>
            <w:tcW w:w="709" w:type="dxa"/>
            <w:tcBorders>
              <w:top w:val="nil"/>
              <w:left w:val="nil"/>
              <w:bottom w:val="single" w:sz="4" w:space="0" w:color="auto"/>
              <w:right w:val="single" w:sz="4" w:space="0" w:color="auto"/>
            </w:tcBorders>
            <w:shd w:val="clear" w:color="auto" w:fill="C6EFCE"/>
            <w:noWrap/>
          </w:tcPr>
          <w:p w14:paraId="6B946ABC" w14:textId="77777777"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2022</w:t>
            </w:r>
          </w:p>
        </w:tc>
        <w:tc>
          <w:tcPr>
            <w:tcW w:w="4802" w:type="dxa"/>
            <w:tcBorders>
              <w:top w:val="nil"/>
              <w:left w:val="nil"/>
              <w:bottom w:val="single" w:sz="4" w:space="0" w:color="auto"/>
              <w:right w:val="single" w:sz="4" w:space="0" w:color="auto"/>
            </w:tcBorders>
            <w:shd w:val="clear" w:color="auto" w:fill="C6EFCE"/>
            <w:noWrap/>
          </w:tcPr>
          <w:p w14:paraId="37CFA848" w14:textId="77777777" w:rsidR="00DA604C" w:rsidRPr="0051384F" w:rsidRDefault="00DA604C" w:rsidP="0066695B">
            <w:pPr>
              <w:rPr>
                <w:rFonts w:ascii="Times New Roman" w:hAnsi="Times New Roman" w:cs="Times New Roman"/>
                <w:noProof/>
                <w:color w:val="006100"/>
                <w:sz w:val="20"/>
                <w:szCs w:val="20"/>
              </w:rPr>
            </w:pPr>
            <w:r>
              <w:rPr>
                <w:rFonts w:ascii="Times New Roman" w:hAnsi="Times New Roman"/>
                <w:noProof/>
                <w:color w:val="006100"/>
                <w:sz w:val="20"/>
              </w:rPr>
              <w:t xml:space="preserve">Приема се методика, определяща процедурата за подбор с цел разпределяне на помощни средства за лица с трайни увреждания. </w:t>
            </w:r>
          </w:p>
          <w:p w14:paraId="3477A0E8" w14:textId="77777777" w:rsidR="00DA604C" w:rsidRPr="0051384F" w:rsidRDefault="00DA604C" w:rsidP="0066695B">
            <w:pPr>
              <w:rPr>
                <w:rFonts w:ascii="Times New Roman" w:hAnsi="Times New Roman" w:cs="Times New Roman"/>
                <w:noProof/>
                <w:color w:val="006100"/>
                <w:sz w:val="20"/>
                <w:szCs w:val="20"/>
              </w:rPr>
            </w:pPr>
            <w:r>
              <w:rPr>
                <w:rFonts w:ascii="Times New Roman" w:hAnsi="Times New Roman"/>
                <w:noProof/>
                <w:color w:val="006100"/>
                <w:sz w:val="20"/>
              </w:rPr>
              <w:t>Методиката се съставя, като се вземат предвид здравето и специфичните нужди, както и социално-демографските характеристики на лицата с трайни увреждания.</w:t>
            </w:r>
          </w:p>
        </w:tc>
      </w:tr>
      <w:tr w:rsidR="000D78BC" w:rsidRPr="005241FC" w14:paraId="3F2A87EA" w14:textId="77777777" w:rsidTr="702FA0E6">
        <w:trPr>
          <w:trHeight w:val="309"/>
          <w:jc w:val="center"/>
        </w:trPr>
        <w:tc>
          <w:tcPr>
            <w:tcW w:w="646" w:type="dxa"/>
            <w:tcBorders>
              <w:top w:val="nil"/>
              <w:left w:val="single" w:sz="4" w:space="0" w:color="auto"/>
              <w:bottom w:val="single" w:sz="4" w:space="0" w:color="auto"/>
              <w:right w:val="single" w:sz="4" w:space="0" w:color="auto"/>
            </w:tcBorders>
            <w:shd w:val="clear" w:color="auto" w:fill="C6EFCE"/>
            <w:noWrap/>
          </w:tcPr>
          <w:p w14:paraId="6F51A345" w14:textId="441724E3" w:rsidR="00DA604C" w:rsidRPr="0051384F" w:rsidRDefault="00C723AC" w:rsidP="0066695B">
            <w:pPr>
              <w:jc w:val="center"/>
              <w:rPr>
                <w:rFonts w:ascii="Times New Roman" w:hAnsi="Times New Roman" w:cs="Times New Roman"/>
                <w:noProof/>
                <w:color w:val="006100"/>
                <w:sz w:val="20"/>
                <w:szCs w:val="20"/>
              </w:rPr>
            </w:pPr>
            <w:r>
              <w:rPr>
                <w:rFonts w:ascii="Times New Roman" w:hAnsi="Times New Roman"/>
                <w:noProof/>
                <w:color w:val="006100"/>
                <w:sz w:val="20"/>
              </w:rPr>
              <w:t>298</w:t>
            </w:r>
          </w:p>
        </w:tc>
        <w:tc>
          <w:tcPr>
            <w:tcW w:w="1136" w:type="dxa"/>
            <w:tcBorders>
              <w:top w:val="nil"/>
              <w:left w:val="nil"/>
              <w:bottom w:val="single" w:sz="4" w:space="0" w:color="auto"/>
              <w:right w:val="single" w:sz="4" w:space="0" w:color="auto"/>
            </w:tcBorders>
            <w:shd w:val="clear" w:color="auto" w:fill="C6EFCE"/>
            <w:noWrap/>
          </w:tcPr>
          <w:p w14:paraId="29F171A6" w14:textId="03FEE8A5" w:rsidR="00DA604C" w:rsidRPr="0051384F" w:rsidRDefault="00DA604C" w:rsidP="003B02A1">
            <w:pPr>
              <w:rPr>
                <w:rFonts w:ascii="Times New Roman" w:hAnsi="Times New Roman" w:cs="Times New Roman"/>
                <w:noProof/>
                <w:color w:val="006100"/>
                <w:sz w:val="20"/>
                <w:szCs w:val="20"/>
              </w:rPr>
            </w:pPr>
            <w:r>
              <w:rPr>
                <w:rFonts w:ascii="Times New Roman" w:hAnsi="Times New Roman"/>
                <w:noProof/>
                <w:color w:val="006100"/>
                <w:sz w:val="20"/>
              </w:rPr>
              <w:t>C11.I2: Предоставяне на помощни средства на лица с трайни увреждания</w:t>
            </w:r>
          </w:p>
        </w:tc>
        <w:tc>
          <w:tcPr>
            <w:tcW w:w="1011" w:type="dxa"/>
            <w:tcBorders>
              <w:top w:val="nil"/>
              <w:left w:val="nil"/>
              <w:bottom w:val="single" w:sz="4" w:space="0" w:color="auto"/>
              <w:right w:val="single" w:sz="4" w:space="0" w:color="auto"/>
            </w:tcBorders>
            <w:shd w:val="clear" w:color="auto" w:fill="C6EFCE"/>
            <w:noWrap/>
          </w:tcPr>
          <w:p w14:paraId="2EA1B038" w14:textId="77777777"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Цел</w:t>
            </w:r>
          </w:p>
        </w:tc>
        <w:tc>
          <w:tcPr>
            <w:tcW w:w="1311" w:type="dxa"/>
            <w:tcBorders>
              <w:top w:val="nil"/>
              <w:left w:val="nil"/>
              <w:bottom w:val="single" w:sz="4" w:space="0" w:color="auto"/>
              <w:right w:val="single" w:sz="4" w:space="0" w:color="auto"/>
            </w:tcBorders>
            <w:shd w:val="clear" w:color="auto" w:fill="C6EFCE"/>
            <w:noWrap/>
          </w:tcPr>
          <w:p w14:paraId="0BF20FB1" w14:textId="77777777" w:rsidR="00DA604C" w:rsidRPr="0051384F" w:rsidRDefault="00DA604C" w:rsidP="0066695B">
            <w:pPr>
              <w:rPr>
                <w:rFonts w:ascii="Times New Roman" w:hAnsi="Times New Roman" w:cs="Times New Roman"/>
                <w:noProof/>
                <w:color w:val="006100"/>
                <w:sz w:val="20"/>
                <w:szCs w:val="20"/>
              </w:rPr>
            </w:pPr>
            <w:r>
              <w:rPr>
                <w:rFonts w:ascii="Times New Roman" w:hAnsi="Times New Roman"/>
                <w:noProof/>
                <w:color w:val="006100"/>
                <w:sz w:val="20"/>
              </w:rPr>
              <w:t>Лица с трайни увреждания, които са получили помощни средства</w:t>
            </w:r>
          </w:p>
        </w:tc>
        <w:tc>
          <w:tcPr>
            <w:tcW w:w="2004" w:type="dxa"/>
            <w:tcBorders>
              <w:top w:val="nil"/>
              <w:left w:val="nil"/>
              <w:bottom w:val="single" w:sz="4" w:space="0" w:color="auto"/>
              <w:right w:val="single" w:sz="4" w:space="0" w:color="auto"/>
            </w:tcBorders>
            <w:shd w:val="clear" w:color="auto" w:fill="C6EFCE"/>
            <w:noWrap/>
          </w:tcPr>
          <w:p w14:paraId="6050A761" w14:textId="77777777" w:rsidR="00DA604C" w:rsidRPr="008A0F8A" w:rsidRDefault="00DA604C" w:rsidP="0066695B">
            <w:pPr>
              <w:rPr>
                <w:rFonts w:ascii="Times New Roman" w:hAnsi="Times New Roman" w:cs="Times New Roman"/>
                <w:noProof/>
                <w:color w:val="006100"/>
                <w:sz w:val="20"/>
                <w:szCs w:val="20"/>
                <w:lang w:val="ru-RU"/>
              </w:rPr>
            </w:pPr>
          </w:p>
        </w:tc>
        <w:tc>
          <w:tcPr>
            <w:tcW w:w="850" w:type="dxa"/>
            <w:tcBorders>
              <w:top w:val="nil"/>
              <w:left w:val="nil"/>
              <w:bottom w:val="single" w:sz="4" w:space="0" w:color="auto"/>
              <w:right w:val="single" w:sz="4" w:space="0" w:color="auto"/>
            </w:tcBorders>
            <w:shd w:val="clear" w:color="auto" w:fill="C6EFCE"/>
            <w:noWrap/>
          </w:tcPr>
          <w:p w14:paraId="11322948" w14:textId="77777777"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Брой</w:t>
            </w:r>
          </w:p>
        </w:tc>
        <w:tc>
          <w:tcPr>
            <w:tcW w:w="851" w:type="dxa"/>
            <w:tcBorders>
              <w:top w:val="nil"/>
              <w:left w:val="nil"/>
              <w:bottom w:val="single" w:sz="4" w:space="0" w:color="auto"/>
              <w:right w:val="single" w:sz="4" w:space="0" w:color="auto"/>
            </w:tcBorders>
            <w:shd w:val="clear" w:color="auto" w:fill="C6EFCE"/>
            <w:noWrap/>
          </w:tcPr>
          <w:p w14:paraId="4C6657FE" w14:textId="77777777"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0</w:t>
            </w:r>
          </w:p>
        </w:tc>
        <w:tc>
          <w:tcPr>
            <w:tcW w:w="709" w:type="dxa"/>
            <w:tcBorders>
              <w:top w:val="nil"/>
              <w:left w:val="nil"/>
              <w:bottom w:val="single" w:sz="4" w:space="0" w:color="auto"/>
              <w:right w:val="single" w:sz="4" w:space="0" w:color="auto"/>
            </w:tcBorders>
            <w:shd w:val="clear" w:color="auto" w:fill="C6EFCE"/>
            <w:noWrap/>
          </w:tcPr>
          <w:p w14:paraId="0D4A84E4" w14:textId="77777777"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3300</w:t>
            </w:r>
          </w:p>
        </w:tc>
        <w:tc>
          <w:tcPr>
            <w:tcW w:w="850" w:type="dxa"/>
            <w:tcBorders>
              <w:top w:val="nil"/>
              <w:left w:val="nil"/>
              <w:bottom w:val="single" w:sz="4" w:space="0" w:color="auto"/>
              <w:right w:val="single" w:sz="4" w:space="0" w:color="auto"/>
            </w:tcBorders>
            <w:shd w:val="clear" w:color="auto" w:fill="C6EFCE"/>
            <w:noWrap/>
          </w:tcPr>
          <w:p w14:paraId="7ED8DB97" w14:textId="77777777"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T2</w:t>
            </w:r>
          </w:p>
        </w:tc>
        <w:tc>
          <w:tcPr>
            <w:tcW w:w="709" w:type="dxa"/>
            <w:tcBorders>
              <w:top w:val="nil"/>
              <w:left w:val="nil"/>
              <w:bottom w:val="single" w:sz="4" w:space="0" w:color="auto"/>
              <w:right w:val="single" w:sz="4" w:space="0" w:color="auto"/>
            </w:tcBorders>
            <w:shd w:val="clear" w:color="auto" w:fill="C6EFCE"/>
            <w:noWrap/>
          </w:tcPr>
          <w:p w14:paraId="606D3BF8" w14:textId="77777777"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2024</w:t>
            </w:r>
          </w:p>
        </w:tc>
        <w:tc>
          <w:tcPr>
            <w:tcW w:w="4802" w:type="dxa"/>
            <w:tcBorders>
              <w:top w:val="nil"/>
              <w:left w:val="nil"/>
              <w:bottom w:val="single" w:sz="4" w:space="0" w:color="auto"/>
              <w:right w:val="single" w:sz="4" w:space="0" w:color="auto"/>
            </w:tcBorders>
            <w:shd w:val="clear" w:color="auto" w:fill="C6EFCE"/>
            <w:noWrap/>
          </w:tcPr>
          <w:p w14:paraId="59A28CB5" w14:textId="77777777" w:rsidR="00DA604C" w:rsidRPr="0051384F" w:rsidRDefault="00DA604C" w:rsidP="0066695B">
            <w:pPr>
              <w:rPr>
                <w:rFonts w:ascii="Times New Roman" w:hAnsi="Times New Roman" w:cs="Times New Roman"/>
                <w:noProof/>
                <w:color w:val="006100"/>
                <w:sz w:val="20"/>
                <w:szCs w:val="20"/>
              </w:rPr>
            </w:pPr>
            <w:r>
              <w:rPr>
                <w:rFonts w:ascii="Times New Roman" w:hAnsi="Times New Roman"/>
                <w:noProof/>
                <w:color w:val="006100"/>
                <w:sz w:val="20"/>
              </w:rPr>
              <w:t>Лицата с трайни увреждания трябва да получават помощни средства, като например преносими брайлови компютри, инвалидни колички и устройства за изкачване на стълби. Това включва монтажа на помощните средства и осигуряване на обучения за тяхното използване.</w:t>
            </w:r>
          </w:p>
          <w:p w14:paraId="4BFCE002" w14:textId="5D46DD0E" w:rsidR="00DA604C" w:rsidRPr="0051384F" w:rsidRDefault="00DA604C" w:rsidP="0066695B">
            <w:pPr>
              <w:rPr>
                <w:rFonts w:ascii="Times New Roman" w:hAnsi="Times New Roman" w:cs="Times New Roman"/>
                <w:noProof/>
                <w:color w:val="006100"/>
                <w:sz w:val="20"/>
                <w:szCs w:val="20"/>
              </w:rPr>
            </w:pPr>
            <w:r>
              <w:rPr>
                <w:rFonts w:ascii="Times New Roman" w:hAnsi="Times New Roman"/>
                <w:noProof/>
                <w:color w:val="006100"/>
                <w:sz w:val="20"/>
              </w:rPr>
              <w:t>Бенефициерите на помощните средства се определят в съответствие с методиката за подбор на лица с трайни увреждания (ключов етап 297).</w:t>
            </w:r>
          </w:p>
        </w:tc>
      </w:tr>
      <w:tr w:rsidR="000D78BC" w:rsidRPr="005241FC" w14:paraId="40A5DF1F" w14:textId="77777777" w:rsidTr="702FA0E6">
        <w:trPr>
          <w:trHeight w:val="309"/>
          <w:jc w:val="center"/>
        </w:trPr>
        <w:tc>
          <w:tcPr>
            <w:tcW w:w="646" w:type="dxa"/>
            <w:tcBorders>
              <w:top w:val="nil"/>
              <w:left w:val="single" w:sz="4" w:space="0" w:color="auto"/>
              <w:bottom w:val="single" w:sz="4" w:space="0" w:color="auto"/>
              <w:right w:val="single" w:sz="4" w:space="0" w:color="auto"/>
            </w:tcBorders>
            <w:shd w:val="clear" w:color="auto" w:fill="C6EFCE"/>
            <w:noWrap/>
          </w:tcPr>
          <w:p w14:paraId="5DACF805" w14:textId="2CBE72E5" w:rsidR="00DA604C" w:rsidRPr="0051384F" w:rsidRDefault="00C723AC" w:rsidP="0066695B">
            <w:pPr>
              <w:jc w:val="center"/>
              <w:rPr>
                <w:rFonts w:ascii="Times New Roman" w:hAnsi="Times New Roman" w:cs="Times New Roman"/>
                <w:noProof/>
                <w:color w:val="006100"/>
                <w:sz w:val="20"/>
                <w:szCs w:val="20"/>
              </w:rPr>
            </w:pPr>
            <w:r>
              <w:rPr>
                <w:rFonts w:ascii="Times New Roman" w:hAnsi="Times New Roman"/>
                <w:noProof/>
                <w:color w:val="006100"/>
                <w:sz w:val="20"/>
              </w:rPr>
              <w:t> 299</w:t>
            </w:r>
          </w:p>
        </w:tc>
        <w:tc>
          <w:tcPr>
            <w:tcW w:w="1136" w:type="dxa"/>
            <w:tcBorders>
              <w:top w:val="nil"/>
              <w:left w:val="nil"/>
              <w:bottom w:val="single" w:sz="4" w:space="0" w:color="auto"/>
              <w:right w:val="single" w:sz="4" w:space="0" w:color="auto"/>
            </w:tcBorders>
            <w:shd w:val="clear" w:color="auto" w:fill="C6EFCE"/>
            <w:noWrap/>
          </w:tcPr>
          <w:p w14:paraId="4FB3B3C1" w14:textId="652FA202" w:rsidR="00DA604C" w:rsidRPr="0051384F" w:rsidRDefault="00DA604C" w:rsidP="003B02A1">
            <w:pPr>
              <w:rPr>
                <w:rFonts w:ascii="Times New Roman" w:hAnsi="Times New Roman" w:cs="Times New Roman"/>
                <w:noProof/>
                <w:color w:val="006100"/>
                <w:sz w:val="20"/>
                <w:szCs w:val="20"/>
              </w:rPr>
            </w:pPr>
            <w:r>
              <w:rPr>
                <w:rFonts w:ascii="Times New Roman" w:hAnsi="Times New Roman"/>
                <w:noProof/>
                <w:color w:val="006100"/>
                <w:sz w:val="20"/>
              </w:rPr>
              <w:t>C11.I3: Развитие на социалната икономика</w:t>
            </w:r>
          </w:p>
        </w:tc>
        <w:tc>
          <w:tcPr>
            <w:tcW w:w="1011" w:type="dxa"/>
            <w:tcBorders>
              <w:top w:val="nil"/>
              <w:left w:val="nil"/>
              <w:bottom w:val="single" w:sz="4" w:space="0" w:color="auto"/>
              <w:right w:val="single" w:sz="4" w:space="0" w:color="auto"/>
            </w:tcBorders>
            <w:shd w:val="clear" w:color="auto" w:fill="C6EFCE"/>
            <w:noWrap/>
          </w:tcPr>
          <w:p w14:paraId="3C03C815" w14:textId="77777777"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Цел</w:t>
            </w:r>
          </w:p>
        </w:tc>
        <w:tc>
          <w:tcPr>
            <w:tcW w:w="1311" w:type="dxa"/>
            <w:tcBorders>
              <w:top w:val="nil"/>
              <w:left w:val="nil"/>
              <w:bottom w:val="single" w:sz="4" w:space="0" w:color="auto"/>
              <w:right w:val="single" w:sz="4" w:space="0" w:color="auto"/>
            </w:tcBorders>
            <w:shd w:val="clear" w:color="auto" w:fill="C6EFCE"/>
            <w:noWrap/>
          </w:tcPr>
          <w:p w14:paraId="781FA6B7" w14:textId="77777777" w:rsidR="00DA604C" w:rsidRPr="0051384F" w:rsidRDefault="00DA604C" w:rsidP="0066695B">
            <w:pPr>
              <w:rPr>
                <w:rFonts w:ascii="Times New Roman" w:hAnsi="Times New Roman" w:cs="Times New Roman"/>
                <w:noProof/>
                <w:color w:val="006100"/>
                <w:sz w:val="20"/>
                <w:szCs w:val="20"/>
              </w:rPr>
            </w:pPr>
            <w:r>
              <w:rPr>
                <w:rFonts w:ascii="Times New Roman" w:hAnsi="Times New Roman"/>
                <w:noProof/>
                <w:color w:val="006100"/>
                <w:sz w:val="20"/>
              </w:rPr>
              <w:t xml:space="preserve">Строителство и оборудване на 6 регионални фокус-точки </w:t>
            </w:r>
          </w:p>
        </w:tc>
        <w:tc>
          <w:tcPr>
            <w:tcW w:w="2004" w:type="dxa"/>
            <w:tcBorders>
              <w:top w:val="nil"/>
              <w:left w:val="nil"/>
              <w:bottom w:val="single" w:sz="4" w:space="0" w:color="auto"/>
              <w:right w:val="single" w:sz="4" w:space="0" w:color="auto"/>
            </w:tcBorders>
            <w:shd w:val="clear" w:color="auto" w:fill="C6EFCE"/>
            <w:noWrap/>
          </w:tcPr>
          <w:p w14:paraId="714BB98E" w14:textId="77777777" w:rsidR="00DA604C" w:rsidRPr="008A0F8A" w:rsidRDefault="00DA604C" w:rsidP="0066695B">
            <w:pPr>
              <w:rPr>
                <w:rFonts w:ascii="Times New Roman" w:hAnsi="Times New Roman" w:cs="Times New Roman"/>
                <w:noProof/>
                <w:color w:val="006100"/>
                <w:sz w:val="20"/>
                <w:szCs w:val="20"/>
                <w:lang w:val="ru-RU"/>
              </w:rPr>
            </w:pPr>
          </w:p>
        </w:tc>
        <w:tc>
          <w:tcPr>
            <w:tcW w:w="850" w:type="dxa"/>
            <w:tcBorders>
              <w:top w:val="nil"/>
              <w:left w:val="nil"/>
              <w:bottom w:val="single" w:sz="4" w:space="0" w:color="auto"/>
              <w:right w:val="single" w:sz="4" w:space="0" w:color="auto"/>
            </w:tcBorders>
            <w:shd w:val="clear" w:color="auto" w:fill="C6EFCE"/>
            <w:noWrap/>
          </w:tcPr>
          <w:p w14:paraId="011A7F31" w14:textId="77777777"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Брой</w:t>
            </w:r>
          </w:p>
        </w:tc>
        <w:tc>
          <w:tcPr>
            <w:tcW w:w="851" w:type="dxa"/>
            <w:tcBorders>
              <w:top w:val="nil"/>
              <w:left w:val="nil"/>
              <w:bottom w:val="single" w:sz="4" w:space="0" w:color="auto"/>
              <w:right w:val="single" w:sz="4" w:space="0" w:color="auto"/>
            </w:tcBorders>
            <w:shd w:val="clear" w:color="auto" w:fill="C6EFCE"/>
            <w:noWrap/>
          </w:tcPr>
          <w:p w14:paraId="708E1EFD" w14:textId="77777777"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0</w:t>
            </w:r>
          </w:p>
        </w:tc>
        <w:tc>
          <w:tcPr>
            <w:tcW w:w="709" w:type="dxa"/>
            <w:tcBorders>
              <w:top w:val="nil"/>
              <w:left w:val="nil"/>
              <w:bottom w:val="single" w:sz="4" w:space="0" w:color="auto"/>
              <w:right w:val="single" w:sz="4" w:space="0" w:color="auto"/>
            </w:tcBorders>
            <w:shd w:val="clear" w:color="auto" w:fill="C6EFCE"/>
            <w:noWrap/>
          </w:tcPr>
          <w:p w14:paraId="1747C5DA" w14:textId="77777777"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6</w:t>
            </w:r>
          </w:p>
        </w:tc>
        <w:tc>
          <w:tcPr>
            <w:tcW w:w="850" w:type="dxa"/>
            <w:tcBorders>
              <w:top w:val="nil"/>
              <w:left w:val="nil"/>
              <w:bottom w:val="single" w:sz="4" w:space="0" w:color="auto"/>
              <w:right w:val="single" w:sz="4" w:space="0" w:color="auto"/>
            </w:tcBorders>
            <w:shd w:val="clear" w:color="auto" w:fill="C6EFCE"/>
            <w:noWrap/>
          </w:tcPr>
          <w:p w14:paraId="377DF777" w14:textId="77777777"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T4</w:t>
            </w:r>
          </w:p>
        </w:tc>
        <w:tc>
          <w:tcPr>
            <w:tcW w:w="709" w:type="dxa"/>
            <w:tcBorders>
              <w:top w:val="nil"/>
              <w:left w:val="nil"/>
              <w:bottom w:val="single" w:sz="4" w:space="0" w:color="auto"/>
              <w:right w:val="single" w:sz="4" w:space="0" w:color="auto"/>
            </w:tcBorders>
            <w:shd w:val="clear" w:color="auto" w:fill="C6EFCE"/>
            <w:noWrap/>
          </w:tcPr>
          <w:p w14:paraId="768B5DB4" w14:textId="77777777"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2022</w:t>
            </w:r>
          </w:p>
        </w:tc>
        <w:tc>
          <w:tcPr>
            <w:tcW w:w="4802" w:type="dxa"/>
            <w:tcBorders>
              <w:top w:val="nil"/>
              <w:left w:val="nil"/>
              <w:bottom w:val="single" w:sz="4" w:space="0" w:color="auto"/>
              <w:right w:val="single" w:sz="4" w:space="0" w:color="auto"/>
            </w:tcBorders>
            <w:shd w:val="clear" w:color="auto" w:fill="C6EFCE"/>
            <w:noWrap/>
          </w:tcPr>
          <w:p w14:paraId="5B96BB8C" w14:textId="77777777" w:rsidR="00DA604C" w:rsidRPr="0051384F" w:rsidRDefault="00DA604C" w:rsidP="0066695B">
            <w:pPr>
              <w:rPr>
                <w:rFonts w:ascii="Times New Roman" w:hAnsi="Times New Roman" w:cs="Times New Roman"/>
                <w:noProof/>
                <w:color w:val="006100"/>
                <w:sz w:val="20"/>
                <w:szCs w:val="20"/>
              </w:rPr>
            </w:pPr>
            <w:r>
              <w:rPr>
                <w:rFonts w:ascii="Times New Roman" w:hAnsi="Times New Roman"/>
                <w:noProof/>
                <w:color w:val="006100"/>
                <w:sz w:val="20"/>
              </w:rPr>
              <w:t>Завършват се строителните и/или ремонтните работи за 6 регионални фокус-точки.</w:t>
            </w:r>
            <w:r>
              <w:rPr>
                <w:rFonts w:ascii="Times New Roman" w:hAnsi="Times New Roman"/>
                <w:noProof/>
                <w:sz w:val="20"/>
              </w:rPr>
              <w:t xml:space="preserve"> </w:t>
            </w:r>
            <w:r>
              <w:rPr>
                <w:rFonts w:ascii="Times New Roman" w:hAnsi="Times New Roman"/>
                <w:noProof/>
                <w:color w:val="006100"/>
                <w:sz w:val="20"/>
              </w:rPr>
              <w:t xml:space="preserve">В допълнение, се доставя и монтира оборудване, включително обзавеждане. </w:t>
            </w:r>
          </w:p>
        </w:tc>
      </w:tr>
      <w:tr w:rsidR="000D78BC" w:rsidRPr="005241FC" w14:paraId="5BCB802C" w14:textId="77777777" w:rsidTr="702FA0E6">
        <w:trPr>
          <w:trHeight w:val="309"/>
          <w:jc w:val="center"/>
        </w:trPr>
        <w:tc>
          <w:tcPr>
            <w:tcW w:w="646" w:type="dxa"/>
            <w:tcBorders>
              <w:top w:val="nil"/>
              <w:left w:val="single" w:sz="4" w:space="0" w:color="auto"/>
              <w:bottom w:val="single" w:sz="4" w:space="0" w:color="auto"/>
              <w:right w:val="single" w:sz="4" w:space="0" w:color="auto"/>
            </w:tcBorders>
            <w:shd w:val="clear" w:color="auto" w:fill="C6EFCE"/>
            <w:noWrap/>
          </w:tcPr>
          <w:p w14:paraId="366D8C5E" w14:textId="5784F141" w:rsidR="00DA604C" w:rsidRPr="0051384F" w:rsidRDefault="00C723AC" w:rsidP="0066695B">
            <w:pPr>
              <w:jc w:val="center"/>
              <w:rPr>
                <w:rFonts w:ascii="Times New Roman" w:hAnsi="Times New Roman" w:cs="Times New Roman"/>
                <w:noProof/>
                <w:color w:val="006100"/>
                <w:sz w:val="20"/>
                <w:szCs w:val="20"/>
              </w:rPr>
            </w:pPr>
            <w:r>
              <w:rPr>
                <w:rFonts w:ascii="Times New Roman" w:hAnsi="Times New Roman"/>
                <w:noProof/>
                <w:color w:val="006100"/>
                <w:sz w:val="20"/>
              </w:rPr>
              <w:t>300</w:t>
            </w:r>
          </w:p>
        </w:tc>
        <w:tc>
          <w:tcPr>
            <w:tcW w:w="1136" w:type="dxa"/>
            <w:tcBorders>
              <w:top w:val="nil"/>
              <w:left w:val="nil"/>
              <w:bottom w:val="single" w:sz="4" w:space="0" w:color="auto"/>
              <w:right w:val="single" w:sz="4" w:space="0" w:color="auto"/>
            </w:tcBorders>
            <w:shd w:val="clear" w:color="auto" w:fill="C6EFCE"/>
            <w:noWrap/>
          </w:tcPr>
          <w:p w14:paraId="23AEBF67" w14:textId="6F671D09" w:rsidR="00DA604C" w:rsidRPr="0051384F" w:rsidRDefault="00DA604C" w:rsidP="003B02A1">
            <w:pPr>
              <w:rPr>
                <w:rFonts w:ascii="Times New Roman" w:hAnsi="Times New Roman" w:cs="Times New Roman"/>
                <w:noProof/>
                <w:color w:val="006100"/>
                <w:sz w:val="20"/>
                <w:szCs w:val="20"/>
              </w:rPr>
            </w:pPr>
            <w:r>
              <w:rPr>
                <w:rFonts w:ascii="Times New Roman" w:hAnsi="Times New Roman"/>
                <w:noProof/>
                <w:color w:val="006100"/>
                <w:sz w:val="20"/>
              </w:rPr>
              <w:t>C11.I3: Развитие на социалната икономика</w:t>
            </w:r>
          </w:p>
        </w:tc>
        <w:tc>
          <w:tcPr>
            <w:tcW w:w="1011" w:type="dxa"/>
            <w:tcBorders>
              <w:top w:val="nil"/>
              <w:left w:val="nil"/>
              <w:bottom w:val="single" w:sz="4" w:space="0" w:color="auto"/>
              <w:right w:val="single" w:sz="4" w:space="0" w:color="auto"/>
            </w:tcBorders>
            <w:shd w:val="clear" w:color="auto" w:fill="C6EFCE"/>
            <w:noWrap/>
          </w:tcPr>
          <w:p w14:paraId="01F19050" w14:textId="77777777"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Ключов етап</w:t>
            </w:r>
          </w:p>
        </w:tc>
        <w:tc>
          <w:tcPr>
            <w:tcW w:w="1311" w:type="dxa"/>
            <w:tcBorders>
              <w:top w:val="nil"/>
              <w:left w:val="nil"/>
              <w:bottom w:val="single" w:sz="4" w:space="0" w:color="auto"/>
              <w:right w:val="single" w:sz="4" w:space="0" w:color="auto"/>
            </w:tcBorders>
            <w:shd w:val="clear" w:color="auto" w:fill="C6EFCE"/>
            <w:noWrap/>
          </w:tcPr>
          <w:p w14:paraId="2B3A01E3" w14:textId="77777777" w:rsidR="00DA604C" w:rsidRPr="0051384F" w:rsidRDefault="00DA604C" w:rsidP="0066695B">
            <w:pPr>
              <w:rPr>
                <w:rFonts w:ascii="Times New Roman" w:hAnsi="Times New Roman" w:cs="Times New Roman"/>
                <w:noProof/>
                <w:color w:val="006100"/>
                <w:sz w:val="20"/>
                <w:szCs w:val="20"/>
              </w:rPr>
            </w:pPr>
            <w:r>
              <w:rPr>
                <w:rFonts w:ascii="Times New Roman" w:hAnsi="Times New Roman"/>
                <w:noProof/>
                <w:color w:val="006100"/>
                <w:sz w:val="20"/>
              </w:rPr>
              <w:t>Цифрова платформа за социалната икономика</w:t>
            </w:r>
          </w:p>
        </w:tc>
        <w:tc>
          <w:tcPr>
            <w:tcW w:w="2004" w:type="dxa"/>
            <w:tcBorders>
              <w:top w:val="nil"/>
              <w:left w:val="nil"/>
              <w:bottom w:val="single" w:sz="4" w:space="0" w:color="auto"/>
              <w:right w:val="single" w:sz="4" w:space="0" w:color="auto"/>
            </w:tcBorders>
            <w:shd w:val="clear" w:color="auto" w:fill="C6EFCE"/>
            <w:noWrap/>
          </w:tcPr>
          <w:p w14:paraId="6B673D7A" w14:textId="77777777" w:rsidR="00DA604C" w:rsidRPr="0051384F" w:rsidRDefault="00DA604C" w:rsidP="0066695B">
            <w:pPr>
              <w:rPr>
                <w:rFonts w:ascii="Times New Roman" w:hAnsi="Times New Roman" w:cs="Times New Roman"/>
                <w:noProof/>
                <w:color w:val="006100"/>
                <w:sz w:val="20"/>
                <w:szCs w:val="20"/>
              </w:rPr>
            </w:pPr>
            <w:r>
              <w:rPr>
                <w:rFonts w:ascii="Times New Roman" w:hAnsi="Times New Roman"/>
                <w:noProof/>
                <w:color w:val="006100"/>
                <w:sz w:val="20"/>
              </w:rPr>
              <w:t>Платформата е разработена и публично достъпна</w:t>
            </w:r>
          </w:p>
        </w:tc>
        <w:tc>
          <w:tcPr>
            <w:tcW w:w="850" w:type="dxa"/>
            <w:tcBorders>
              <w:top w:val="nil"/>
              <w:left w:val="nil"/>
              <w:bottom w:val="single" w:sz="4" w:space="0" w:color="auto"/>
              <w:right w:val="single" w:sz="4" w:space="0" w:color="auto"/>
            </w:tcBorders>
            <w:shd w:val="clear" w:color="auto" w:fill="C6EFCE"/>
            <w:noWrap/>
          </w:tcPr>
          <w:p w14:paraId="72AE6442" w14:textId="77777777" w:rsidR="00DA604C" w:rsidRPr="008A0F8A" w:rsidRDefault="00DA604C" w:rsidP="0066695B">
            <w:pPr>
              <w:jc w:val="center"/>
              <w:rPr>
                <w:rFonts w:ascii="Times New Roman" w:hAnsi="Times New Roman" w:cs="Times New Roman"/>
                <w:noProof/>
                <w:color w:val="006100"/>
                <w:sz w:val="20"/>
                <w:szCs w:val="20"/>
                <w:lang w:val="ru-RU"/>
              </w:rPr>
            </w:pPr>
          </w:p>
        </w:tc>
        <w:tc>
          <w:tcPr>
            <w:tcW w:w="851" w:type="dxa"/>
            <w:tcBorders>
              <w:top w:val="nil"/>
              <w:left w:val="nil"/>
              <w:bottom w:val="single" w:sz="4" w:space="0" w:color="auto"/>
              <w:right w:val="single" w:sz="4" w:space="0" w:color="auto"/>
            </w:tcBorders>
            <w:shd w:val="clear" w:color="auto" w:fill="C6EFCE"/>
            <w:noWrap/>
          </w:tcPr>
          <w:p w14:paraId="27492A65" w14:textId="77777777" w:rsidR="00DA604C" w:rsidRPr="008A0F8A" w:rsidRDefault="00DA604C" w:rsidP="0066695B">
            <w:pPr>
              <w:jc w:val="center"/>
              <w:rPr>
                <w:rFonts w:ascii="Times New Roman" w:hAnsi="Times New Roman" w:cs="Times New Roman"/>
                <w:noProof/>
                <w:color w:val="006100"/>
                <w:sz w:val="20"/>
                <w:szCs w:val="20"/>
                <w:lang w:val="ru-RU"/>
              </w:rPr>
            </w:pPr>
          </w:p>
        </w:tc>
        <w:tc>
          <w:tcPr>
            <w:tcW w:w="709" w:type="dxa"/>
            <w:tcBorders>
              <w:top w:val="nil"/>
              <w:left w:val="nil"/>
              <w:bottom w:val="single" w:sz="4" w:space="0" w:color="auto"/>
              <w:right w:val="single" w:sz="4" w:space="0" w:color="auto"/>
            </w:tcBorders>
            <w:shd w:val="clear" w:color="auto" w:fill="C6EFCE"/>
            <w:noWrap/>
          </w:tcPr>
          <w:p w14:paraId="3CEC2641" w14:textId="77777777" w:rsidR="00DA604C" w:rsidRPr="008A0F8A" w:rsidRDefault="00DA604C" w:rsidP="0066695B">
            <w:pPr>
              <w:jc w:val="center"/>
              <w:rPr>
                <w:rFonts w:ascii="Times New Roman" w:hAnsi="Times New Roman" w:cs="Times New Roman"/>
                <w:noProof/>
                <w:color w:val="006100"/>
                <w:sz w:val="20"/>
                <w:szCs w:val="20"/>
                <w:lang w:val="ru-RU"/>
              </w:rPr>
            </w:pPr>
          </w:p>
        </w:tc>
        <w:tc>
          <w:tcPr>
            <w:tcW w:w="850" w:type="dxa"/>
            <w:tcBorders>
              <w:top w:val="nil"/>
              <w:left w:val="nil"/>
              <w:bottom w:val="single" w:sz="4" w:space="0" w:color="auto"/>
              <w:right w:val="single" w:sz="4" w:space="0" w:color="auto"/>
            </w:tcBorders>
            <w:shd w:val="clear" w:color="auto" w:fill="C6EFCE"/>
            <w:noWrap/>
          </w:tcPr>
          <w:p w14:paraId="4A8462FB" w14:textId="77777777"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T2</w:t>
            </w:r>
          </w:p>
        </w:tc>
        <w:tc>
          <w:tcPr>
            <w:tcW w:w="709" w:type="dxa"/>
            <w:tcBorders>
              <w:top w:val="nil"/>
              <w:left w:val="nil"/>
              <w:bottom w:val="single" w:sz="4" w:space="0" w:color="auto"/>
              <w:right w:val="single" w:sz="4" w:space="0" w:color="auto"/>
            </w:tcBorders>
            <w:shd w:val="clear" w:color="auto" w:fill="C6EFCE"/>
            <w:noWrap/>
          </w:tcPr>
          <w:p w14:paraId="53D60914" w14:textId="77777777"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2025</w:t>
            </w:r>
          </w:p>
        </w:tc>
        <w:tc>
          <w:tcPr>
            <w:tcW w:w="4802" w:type="dxa"/>
            <w:tcBorders>
              <w:top w:val="nil"/>
              <w:left w:val="nil"/>
              <w:bottom w:val="single" w:sz="4" w:space="0" w:color="auto"/>
              <w:right w:val="single" w:sz="4" w:space="0" w:color="auto"/>
            </w:tcBorders>
            <w:shd w:val="clear" w:color="auto" w:fill="C6EFCE"/>
            <w:noWrap/>
          </w:tcPr>
          <w:p w14:paraId="5527328F" w14:textId="77777777" w:rsidR="00DA604C" w:rsidRPr="0051384F" w:rsidRDefault="00DA604C" w:rsidP="0066695B">
            <w:pPr>
              <w:rPr>
                <w:rFonts w:ascii="Times New Roman" w:hAnsi="Times New Roman" w:cs="Times New Roman"/>
                <w:noProof/>
                <w:color w:val="006100"/>
                <w:sz w:val="20"/>
                <w:szCs w:val="20"/>
              </w:rPr>
            </w:pPr>
            <w:r>
              <w:rPr>
                <w:rFonts w:ascii="Times New Roman" w:hAnsi="Times New Roman"/>
                <w:noProof/>
                <w:color w:val="006100"/>
                <w:sz w:val="20"/>
              </w:rPr>
              <w:t>Цифровата платформа за социалната икономика се разработва и се прави публично достъпна. Тя трябва да позволява на предприятията и организациите от социалната и солидарната икономика да представят своите дейности и услуги на заинтересованите страни, включително чрез модул за електронна търговия.</w:t>
            </w:r>
          </w:p>
        </w:tc>
      </w:tr>
      <w:tr w:rsidR="000D78BC" w:rsidRPr="005241FC" w14:paraId="15BD0E95" w14:textId="77777777" w:rsidTr="702FA0E6">
        <w:trPr>
          <w:trHeight w:val="309"/>
          <w:jc w:val="center"/>
        </w:trPr>
        <w:tc>
          <w:tcPr>
            <w:tcW w:w="646" w:type="dxa"/>
            <w:tcBorders>
              <w:top w:val="nil"/>
              <w:left w:val="single" w:sz="4" w:space="0" w:color="auto"/>
              <w:bottom w:val="single" w:sz="4" w:space="0" w:color="auto"/>
              <w:right w:val="single" w:sz="4" w:space="0" w:color="auto"/>
            </w:tcBorders>
            <w:shd w:val="clear" w:color="auto" w:fill="C6EFCE"/>
            <w:noWrap/>
          </w:tcPr>
          <w:p w14:paraId="29010B3A" w14:textId="70309F98" w:rsidR="00DA604C" w:rsidRPr="0051384F" w:rsidRDefault="007D677C" w:rsidP="0066695B">
            <w:pPr>
              <w:jc w:val="center"/>
              <w:rPr>
                <w:rFonts w:ascii="Times New Roman" w:hAnsi="Times New Roman" w:cs="Times New Roman"/>
                <w:noProof/>
                <w:color w:val="006100"/>
                <w:sz w:val="20"/>
                <w:szCs w:val="20"/>
              </w:rPr>
            </w:pPr>
            <w:r>
              <w:rPr>
                <w:rFonts w:ascii="Times New Roman" w:hAnsi="Times New Roman"/>
                <w:noProof/>
                <w:color w:val="006100"/>
                <w:sz w:val="20"/>
              </w:rPr>
              <w:t>301</w:t>
            </w:r>
          </w:p>
        </w:tc>
        <w:tc>
          <w:tcPr>
            <w:tcW w:w="1136" w:type="dxa"/>
            <w:tcBorders>
              <w:top w:val="nil"/>
              <w:left w:val="nil"/>
              <w:bottom w:val="single" w:sz="4" w:space="0" w:color="auto"/>
              <w:right w:val="single" w:sz="4" w:space="0" w:color="auto"/>
            </w:tcBorders>
            <w:shd w:val="clear" w:color="auto" w:fill="C6EFCE"/>
            <w:noWrap/>
          </w:tcPr>
          <w:p w14:paraId="2818717C" w14:textId="61D1DB34" w:rsidR="00DA604C" w:rsidRPr="0051384F" w:rsidRDefault="00DA604C" w:rsidP="003B02A1">
            <w:pPr>
              <w:rPr>
                <w:rFonts w:ascii="Times New Roman" w:hAnsi="Times New Roman" w:cs="Times New Roman"/>
                <w:noProof/>
                <w:color w:val="006100"/>
                <w:sz w:val="20"/>
                <w:szCs w:val="20"/>
              </w:rPr>
            </w:pPr>
            <w:r>
              <w:rPr>
                <w:rFonts w:ascii="Times New Roman" w:hAnsi="Times New Roman"/>
                <w:noProof/>
                <w:color w:val="006100"/>
                <w:sz w:val="20"/>
              </w:rPr>
              <w:t>C11.I3: Развитие на социалната икономика</w:t>
            </w:r>
          </w:p>
        </w:tc>
        <w:tc>
          <w:tcPr>
            <w:tcW w:w="1011" w:type="dxa"/>
            <w:tcBorders>
              <w:top w:val="nil"/>
              <w:left w:val="nil"/>
              <w:bottom w:val="single" w:sz="4" w:space="0" w:color="auto"/>
              <w:right w:val="single" w:sz="4" w:space="0" w:color="auto"/>
            </w:tcBorders>
            <w:shd w:val="clear" w:color="auto" w:fill="C6EFCE"/>
            <w:noWrap/>
          </w:tcPr>
          <w:p w14:paraId="4CC66B7A" w14:textId="77777777"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Цел</w:t>
            </w:r>
          </w:p>
        </w:tc>
        <w:tc>
          <w:tcPr>
            <w:tcW w:w="1311" w:type="dxa"/>
            <w:tcBorders>
              <w:top w:val="nil"/>
              <w:left w:val="nil"/>
              <w:bottom w:val="single" w:sz="4" w:space="0" w:color="auto"/>
              <w:right w:val="single" w:sz="4" w:space="0" w:color="auto"/>
            </w:tcBorders>
            <w:shd w:val="clear" w:color="auto" w:fill="C6EFCE"/>
            <w:noWrap/>
          </w:tcPr>
          <w:p w14:paraId="73160175" w14:textId="77777777" w:rsidR="00DA604C" w:rsidRPr="0051384F" w:rsidRDefault="00DA604C" w:rsidP="0066695B">
            <w:pPr>
              <w:rPr>
                <w:rFonts w:ascii="Times New Roman" w:hAnsi="Times New Roman" w:cs="Times New Roman"/>
                <w:noProof/>
                <w:color w:val="006100"/>
                <w:sz w:val="20"/>
                <w:szCs w:val="20"/>
              </w:rPr>
            </w:pPr>
            <w:r>
              <w:rPr>
                <w:rFonts w:ascii="Times New Roman" w:hAnsi="Times New Roman"/>
                <w:noProof/>
                <w:color w:val="006100"/>
                <w:sz w:val="20"/>
              </w:rPr>
              <w:t>Социални предприятия, получаващи цифрово оборудване</w:t>
            </w:r>
          </w:p>
        </w:tc>
        <w:tc>
          <w:tcPr>
            <w:tcW w:w="2004" w:type="dxa"/>
            <w:tcBorders>
              <w:top w:val="nil"/>
              <w:left w:val="nil"/>
              <w:bottom w:val="single" w:sz="4" w:space="0" w:color="auto"/>
              <w:right w:val="single" w:sz="4" w:space="0" w:color="auto"/>
            </w:tcBorders>
            <w:shd w:val="clear" w:color="auto" w:fill="C6EFCE"/>
            <w:noWrap/>
          </w:tcPr>
          <w:p w14:paraId="2E42D30D" w14:textId="77777777" w:rsidR="00DA604C" w:rsidRPr="008A0F8A" w:rsidRDefault="00DA604C" w:rsidP="0066695B">
            <w:pPr>
              <w:rPr>
                <w:rFonts w:ascii="Times New Roman" w:hAnsi="Times New Roman" w:cs="Times New Roman"/>
                <w:noProof/>
                <w:color w:val="006100"/>
                <w:sz w:val="20"/>
                <w:szCs w:val="20"/>
                <w:lang w:val="ru-RU"/>
              </w:rPr>
            </w:pPr>
          </w:p>
        </w:tc>
        <w:tc>
          <w:tcPr>
            <w:tcW w:w="850" w:type="dxa"/>
            <w:tcBorders>
              <w:top w:val="nil"/>
              <w:left w:val="nil"/>
              <w:bottom w:val="single" w:sz="4" w:space="0" w:color="auto"/>
              <w:right w:val="single" w:sz="4" w:space="0" w:color="auto"/>
            </w:tcBorders>
            <w:shd w:val="clear" w:color="auto" w:fill="C6EFCE"/>
            <w:noWrap/>
          </w:tcPr>
          <w:p w14:paraId="54A762C7" w14:textId="77777777"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Брой</w:t>
            </w:r>
          </w:p>
        </w:tc>
        <w:tc>
          <w:tcPr>
            <w:tcW w:w="851" w:type="dxa"/>
            <w:tcBorders>
              <w:top w:val="nil"/>
              <w:left w:val="nil"/>
              <w:bottom w:val="single" w:sz="4" w:space="0" w:color="auto"/>
              <w:right w:val="single" w:sz="4" w:space="0" w:color="auto"/>
            </w:tcBorders>
            <w:shd w:val="clear" w:color="auto" w:fill="C6EFCE"/>
            <w:noWrap/>
          </w:tcPr>
          <w:p w14:paraId="348549F4" w14:textId="77777777"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0</w:t>
            </w:r>
          </w:p>
        </w:tc>
        <w:tc>
          <w:tcPr>
            <w:tcW w:w="709" w:type="dxa"/>
            <w:tcBorders>
              <w:top w:val="nil"/>
              <w:left w:val="nil"/>
              <w:bottom w:val="single" w:sz="4" w:space="0" w:color="auto"/>
              <w:right w:val="single" w:sz="4" w:space="0" w:color="auto"/>
            </w:tcBorders>
            <w:shd w:val="clear" w:color="auto" w:fill="C6EFCE"/>
            <w:noWrap/>
          </w:tcPr>
          <w:p w14:paraId="7872F16D" w14:textId="77777777"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100</w:t>
            </w:r>
          </w:p>
        </w:tc>
        <w:tc>
          <w:tcPr>
            <w:tcW w:w="850" w:type="dxa"/>
            <w:tcBorders>
              <w:top w:val="nil"/>
              <w:left w:val="nil"/>
              <w:bottom w:val="single" w:sz="4" w:space="0" w:color="auto"/>
              <w:right w:val="single" w:sz="4" w:space="0" w:color="auto"/>
            </w:tcBorders>
            <w:shd w:val="clear" w:color="auto" w:fill="C6EFCE"/>
            <w:noWrap/>
          </w:tcPr>
          <w:p w14:paraId="6CA4CFFE" w14:textId="77777777"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T4</w:t>
            </w:r>
          </w:p>
        </w:tc>
        <w:tc>
          <w:tcPr>
            <w:tcW w:w="709" w:type="dxa"/>
            <w:tcBorders>
              <w:top w:val="nil"/>
              <w:left w:val="nil"/>
              <w:bottom w:val="single" w:sz="4" w:space="0" w:color="auto"/>
              <w:right w:val="single" w:sz="4" w:space="0" w:color="auto"/>
            </w:tcBorders>
            <w:shd w:val="clear" w:color="auto" w:fill="C6EFCE"/>
            <w:noWrap/>
          </w:tcPr>
          <w:p w14:paraId="09CC249C" w14:textId="77777777"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2025</w:t>
            </w:r>
          </w:p>
        </w:tc>
        <w:tc>
          <w:tcPr>
            <w:tcW w:w="4802" w:type="dxa"/>
            <w:tcBorders>
              <w:top w:val="nil"/>
              <w:left w:val="nil"/>
              <w:bottom w:val="single" w:sz="4" w:space="0" w:color="auto"/>
              <w:right w:val="single" w:sz="4" w:space="0" w:color="auto"/>
            </w:tcBorders>
            <w:shd w:val="clear" w:color="auto" w:fill="C6EFCE"/>
            <w:noWrap/>
          </w:tcPr>
          <w:p w14:paraId="77A52659" w14:textId="77777777" w:rsidR="00DA604C" w:rsidRPr="0051384F" w:rsidRDefault="00DA604C" w:rsidP="0066695B">
            <w:pPr>
              <w:rPr>
                <w:rFonts w:ascii="Times New Roman" w:hAnsi="Times New Roman" w:cs="Times New Roman"/>
                <w:noProof/>
                <w:color w:val="006100"/>
                <w:sz w:val="20"/>
                <w:szCs w:val="20"/>
              </w:rPr>
            </w:pPr>
            <w:r>
              <w:rPr>
                <w:rFonts w:ascii="Times New Roman" w:hAnsi="Times New Roman"/>
                <w:noProof/>
                <w:color w:val="006100"/>
                <w:sz w:val="20"/>
              </w:rPr>
              <w:t>За да подобрят цифровизацията на своите стопански процеси, предприятията и организациите от социалната и солидарната икономика получават и монтират цифрово оборудване (напр. софтуерни и хардуерни решения, изкуствен интелект, 3D печатащо оборудване, 3D скенери).</w:t>
            </w:r>
          </w:p>
        </w:tc>
      </w:tr>
      <w:tr w:rsidR="000D78BC" w:rsidRPr="005241FC" w14:paraId="519280EC" w14:textId="77777777" w:rsidTr="702FA0E6">
        <w:trPr>
          <w:trHeight w:val="309"/>
          <w:jc w:val="center"/>
        </w:trPr>
        <w:tc>
          <w:tcPr>
            <w:tcW w:w="646" w:type="dxa"/>
            <w:tcBorders>
              <w:top w:val="nil"/>
              <w:left w:val="single" w:sz="4" w:space="0" w:color="auto"/>
              <w:bottom w:val="single" w:sz="4" w:space="0" w:color="auto"/>
              <w:right w:val="single" w:sz="4" w:space="0" w:color="auto"/>
            </w:tcBorders>
            <w:shd w:val="clear" w:color="auto" w:fill="C6EFCE"/>
            <w:noWrap/>
          </w:tcPr>
          <w:p w14:paraId="10E5337D" w14:textId="0FAF4A26" w:rsidR="00DA604C" w:rsidRPr="0051384F" w:rsidRDefault="007D677C" w:rsidP="0066695B">
            <w:pPr>
              <w:jc w:val="center"/>
              <w:rPr>
                <w:rFonts w:ascii="Times New Roman" w:hAnsi="Times New Roman" w:cs="Times New Roman"/>
                <w:noProof/>
                <w:color w:val="006100"/>
                <w:sz w:val="20"/>
                <w:szCs w:val="20"/>
              </w:rPr>
            </w:pPr>
            <w:r>
              <w:rPr>
                <w:rFonts w:ascii="Times New Roman" w:hAnsi="Times New Roman"/>
                <w:noProof/>
                <w:color w:val="006100"/>
                <w:sz w:val="20"/>
              </w:rPr>
              <w:t>302</w:t>
            </w:r>
          </w:p>
        </w:tc>
        <w:tc>
          <w:tcPr>
            <w:tcW w:w="1136" w:type="dxa"/>
            <w:tcBorders>
              <w:top w:val="nil"/>
              <w:left w:val="nil"/>
              <w:bottom w:val="single" w:sz="4" w:space="0" w:color="auto"/>
              <w:right w:val="single" w:sz="4" w:space="0" w:color="auto"/>
            </w:tcBorders>
            <w:shd w:val="clear" w:color="auto" w:fill="C6EFCE"/>
            <w:noWrap/>
          </w:tcPr>
          <w:p w14:paraId="43F4EF38" w14:textId="4AD33A53" w:rsidR="00DA604C" w:rsidRPr="0051384F" w:rsidRDefault="00DA604C" w:rsidP="003B02A1">
            <w:pPr>
              <w:rPr>
                <w:rFonts w:ascii="Times New Roman" w:hAnsi="Times New Roman" w:cs="Times New Roman"/>
                <w:noProof/>
                <w:color w:val="006100"/>
                <w:sz w:val="20"/>
                <w:szCs w:val="20"/>
              </w:rPr>
            </w:pPr>
            <w:r>
              <w:rPr>
                <w:rFonts w:ascii="Times New Roman" w:hAnsi="Times New Roman"/>
                <w:noProof/>
                <w:color w:val="006100"/>
                <w:sz w:val="20"/>
              </w:rPr>
              <w:t>C11.I3: Развитие на социалната икономика</w:t>
            </w:r>
          </w:p>
        </w:tc>
        <w:tc>
          <w:tcPr>
            <w:tcW w:w="1011" w:type="dxa"/>
            <w:tcBorders>
              <w:top w:val="nil"/>
              <w:left w:val="nil"/>
              <w:bottom w:val="single" w:sz="4" w:space="0" w:color="auto"/>
              <w:right w:val="single" w:sz="4" w:space="0" w:color="auto"/>
            </w:tcBorders>
            <w:shd w:val="clear" w:color="auto" w:fill="C6EFCE"/>
            <w:noWrap/>
          </w:tcPr>
          <w:p w14:paraId="268A02A6" w14:textId="77777777"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 xml:space="preserve"> Ключов етап</w:t>
            </w:r>
          </w:p>
        </w:tc>
        <w:tc>
          <w:tcPr>
            <w:tcW w:w="1311" w:type="dxa"/>
            <w:tcBorders>
              <w:top w:val="nil"/>
              <w:left w:val="nil"/>
              <w:bottom w:val="single" w:sz="4" w:space="0" w:color="auto"/>
              <w:right w:val="single" w:sz="4" w:space="0" w:color="auto"/>
            </w:tcBorders>
            <w:shd w:val="clear" w:color="auto" w:fill="C6EFCE"/>
            <w:noWrap/>
          </w:tcPr>
          <w:p w14:paraId="179462D7" w14:textId="77777777" w:rsidR="00DA604C" w:rsidRPr="0051384F" w:rsidRDefault="00DA604C" w:rsidP="0066695B">
            <w:pPr>
              <w:rPr>
                <w:rFonts w:ascii="Times New Roman" w:hAnsi="Times New Roman" w:cs="Times New Roman"/>
                <w:noProof/>
                <w:color w:val="006100"/>
                <w:sz w:val="20"/>
                <w:szCs w:val="20"/>
              </w:rPr>
            </w:pPr>
            <w:r>
              <w:rPr>
                <w:rFonts w:ascii="Times New Roman" w:hAnsi="Times New Roman"/>
                <w:noProof/>
                <w:color w:val="006100"/>
                <w:sz w:val="20"/>
              </w:rPr>
              <w:t>Доклад за дейностите, извършени от фокус-точките</w:t>
            </w:r>
          </w:p>
        </w:tc>
        <w:tc>
          <w:tcPr>
            <w:tcW w:w="2004" w:type="dxa"/>
            <w:tcBorders>
              <w:top w:val="nil"/>
              <w:left w:val="nil"/>
              <w:bottom w:val="single" w:sz="4" w:space="0" w:color="auto"/>
              <w:right w:val="single" w:sz="4" w:space="0" w:color="auto"/>
            </w:tcBorders>
            <w:shd w:val="clear" w:color="auto" w:fill="C6EFCE"/>
            <w:noWrap/>
          </w:tcPr>
          <w:p w14:paraId="32A07EFD" w14:textId="77777777" w:rsidR="00DA604C" w:rsidRPr="0051384F" w:rsidRDefault="00DA604C" w:rsidP="0066695B">
            <w:pPr>
              <w:rPr>
                <w:rFonts w:ascii="Times New Roman" w:hAnsi="Times New Roman" w:cs="Times New Roman"/>
                <w:noProof/>
                <w:color w:val="006100"/>
                <w:sz w:val="20"/>
                <w:szCs w:val="20"/>
              </w:rPr>
            </w:pPr>
            <w:r>
              <w:rPr>
                <w:rFonts w:ascii="Times New Roman" w:hAnsi="Times New Roman"/>
                <w:noProof/>
                <w:color w:val="006100"/>
                <w:sz w:val="20"/>
              </w:rPr>
              <w:t>Публикуване на доклад, в който се очертават дейностите на фокус-точките</w:t>
            </w:r>
          </w:p>
        </w:tc>
        <w:tc>
          <w:tcPr>
            <w:tcW w:w="850" w:type="dxa"/>
            <w:tcBorders>
              <w:top w:val="nil"/>
              <w:left w:val="nil"/>
              <w:bottom w:val="single" w:sz="4" w:space="0" w:color="auto"/>
              <w:right w:val="single" w:sz="4" w:space="0" w:color="auto"/>
            </w:tcBorders>
            <w:shd w:val="clear" w:color="auto" w:fill="C6EFCE"/>
            <w:noWrap/>
          </w:tcPr>
          <w:p w14:paraId="5234822E" w14:textId="77777777" w:rsidR="00DA604C" w:rsidRPr="008A0F8A" w:rsidRDefault="00DA604C" w:rsidP="0066695B">
            <w:pPr>
              <w:jc w:val="center"/>
              <w:rPr>
                <w:rFonts w:ascii="Times New Roman" w:hAnsi="Times New Roman" w:cs="Times New Roman"/>
                <w:noProof/>
                <w:color w:val="006100"/>
                <w:sz w:val="20"/>
                <w:szCs w:val="20"/>
                <w:lang w:val="ru-RU"/>
              </w:rPr>
            </w:pPr>
          </w:p>
        </w:tc>
        <w:tc>
          <w:tcPr>
            <w:tcW w:w="851" w:type="dxa"/>
            <w:tcBorders>
              <w:top w:val="nil"/>
              <w:left w:val="nil"/>
              <w:bottom w:val="single" w:sz="4" w:space="0" w:color="auto"/>
              <w:right w:val="single" w:sz="4" w:space="0" w:color="auto"/>
            </w:tcBorders>
            <w:shd w:val="clear" w:color="auto" w:fill="C6EFCE"/>
            <w:noWrap/>
          </w:tcPr>
          <w:p w14:paraId="4373097C" w14:textId="77777777" w:rsidR="00DA604C" w:rsidRPr="008A0F8A" w:rsidRDefault="00DA604C" w:rsidP="0066695B">
            <w:pPr>
              <w:jc w:val="center"/>
              <w:rPr>
                <w:rFonts w:ascii="Times New Roman" w:hAnsi="Times New Roman" w:cs="Times New Roman"/>
                <w:noProof/>
                <w:color w:val="006100"/>
                <w:sz w:val="20"/>
                <w:szCs w:val="20"/>
                <w:lang w:val="ru-RU"/>
              </w:rPr>
            </w:pPr>
          </w:p>
        </w:tc>
        <w:tc>
          <w:tcPr>
            <w:tcW w:w="709" w:type="dxa"/>
            <w:tcBorders>
              <w:top w:val="nil"/>
              <w:left w:val="nil"/>
              <w:bottom w:val="single" w:sz="4" w:space="0" w:color="auto"/>
              <w:right w:val="single" w:sz="4" w:space="0" w:color="auto"/>
            </w:tcBorders>
            <w:shd w:val="clear" w:color="auto" w:fill="C6EFCE"/>
            <w:noWrap/>
          </w:tcPr>
          <w:p w14:paraId="2F3FADAB" w14:textId="77777777" w:rsidR="00DA604C" w:rsidRPr="008A0F8A" w:rsidRDefault="00DA604C" w:rsidP="0066695B">
            <w:pPr>
              <w:jc w:val="center"/>
              <w:rPr>
                <w:rFonts w:ascii="Times New Roman" w:hAnsi="Times New Roman" w:cs="Times New Roman"/>
                <w:noProof/>
                <w:color w:val="006100"/>
                <w:sz w:val="20"/>
                <w:szCs w:val="20"/>
                <w:lang w:val="ru-RU"/>
              </w:rPr>
            </w:pPr>
          </w:p>
        </w:tc>
        <w:tc>
          <w:tcPr>
            <w:tcW w:w="850" w:type="dxa"/>
            <w:tcBorders>
              <w:top w:val="nil"/>
              <w:left w:val="nil"/>
              <w:bottom w:val="single" w:sz="4" w:space="0" w:color="auto"/>
              <w:right w:val="single" w:sz="4" w:space="0" w:color="auto"/>
            </w:tcBorders>
            <w:shd w:val="clear" w:color="auto" w:fill="C6EFCE"/>
            <w:noWrap/>
          </w:tcPr>
          <w:p w14:paraId="38F647DF" w14:textId="77777777"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T4</w:t>
            </w:r>
          </w:p>
        </w:tc>
        <w:tc>
          <w:tcPr>
            <w:tcW w:w="709" w:type="dxa"/>
            <w:tcBorders>
              <w:top w:val="nil"/>
              <w:left w:val="nil"/>
              <w:bottom w:val="single" w:sz="4" w:space="0" w:color="auto"/>
              <w:right w:val="single" w:sz="4" w:space="0" w:color="auto"/>
            </w:tcBorders>
            <w:shd w:val="clear" w:color="auto" w:fill="C6EFCE"/>
            <w:noWrap/>
          </w:tcPr>
          <w:p w14:paraId="5B300C2E" w14:textId="77777777"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2025</w:t>
            </w:r>
          </w:p>
        </w:tc>
        <w:tc>
          <w:tcPr>
            <w:tcW w:w="4802" w:type="dxa"/>
            <w:tcBorders>
              <w:top w:val="nil"/>
              <w:left w:val="nil"/>
              <w:bottom w:val="single" w:sz="4" w:space="0" w:color="auto"/>
              <w:right w:val="single" w:sz="4" w:space="0" w:color="auto"/>
            </w:tcBorders>
            <w:shd w:val="clear" w:color="auto" w:fill="C6EFCE"/>
            <w:noWrap/>
          </w:tcPr>
          <w:p w14:paraId="5D501634" w14:textId="77777777" w:rsidR="00DA604C" w:rsidRPr="0051384F" w:rsidRDefault="00DA604C" w:rsidP="0066695B">
            <w:pPr>
              <w:rPr>
                <w:rFonts w:ascii="Times New Roman" w:hAnsi="Times New Roman" w:cs="Times New Roman"/>
                <w:noProof/>
                <w:color w:val="006100"/>
                <w:sz w:val="20"/>
                <w:szCs w:val="20"/>
              </w:rPr>
            </w:pPr>
            <w:r>
              <w:rPr>
                <w:rFonts w:ascii="Times New Roman" w:hAnsi="Times New Roman"/>
                <w:noProof/>
                <w:color w:val="006100"/>
                <w:sz w:val="20"/>
              </w:rPr>
              <w:t>Публикува се доклад, който съдържа анализ на услугите, предоставяни от фокус-точките на предприятията и организациите от социалната и солидарната икономика, включително предоставянето на консултации, обучения, както и дейности за популяризиране.</w:t>
            </w:r>
          </w:p>
          <w:p w14:paraId="6470AC65" w14:textId="77777777" w:rsidR="00DA604C" w:rsidRPr="0051384F" w:rsidRDefault="00DA604C" w:rsidP="0066695B">
            <w:pPr>
              <w:rPr>
                <w:rFonts w:ascii="Times New Roman" w:hAnsi="Times New Roman" w:cs="Times New Roman"/>
                <w:noProof/>
                <w:color w:val="006100"/>
                <w:sz w:val="20"/>
                <w:szCs w:val="20"/>
              </w:rPr>
            </w:pPr>
            <w:r>
              <w:rPr>
                <w:rFonts w:ascii="Times New Roman" w:hAnsi="Times New Roman"/>
                <w:noProof/>
                <w:color w:val="006100"/>
                <w:sz w:val="20"/>
              </w:rPr>
              <w:t>Докладът трябва да включва информация за видовете услуги, броя на предоставяните услуги за всеки вид услуга и услугите, предоставяни от всяка фокус-точка.</w:t>
            </w:r>
          </w:p>
        </w:tc>
      </w:tr>
      <w:tr w:rsidR="000D78BC" w:rsidRPr="005241FC" w14:paraId="68FEA6AD" w14:textId="77777777" w:rsidTr="702FA0E6">
        <w:trPr>
          <w:trHeight w:val="309"/>
          <w:jc w:val="center"/>
        </w:trPr>
        <w:tc>
          <w:tcPr>
            <w:tcW w:w="646" w:type="dxa"/>
            <w:tcBorders>
              <w:top w:val="nil"/>
              <w:left w:val="single" w:sz="4" w:space="0" w:color="auto"/>
              <w:bottom w:val="single" w:sz="4" w:space="0" w:color="auto"/>
              <w:right w:val="single" w:sz="4" w:space="0" w:color="auto"/>
            </w:tcBorders>
            <w:shd w:val="clear" w:color="auto" w:fill="C6EFCE"/>
            <w:noWrap/>
          </w:tcPr>
          <w:p w14:paraId="7C68BC97" w14:textId="360C5F72"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 303</w:t>
            </w:r>
          </w:p>
        </w:tc>
        <w:tc>
          <w:tcPr>
            <w:tcW w:w="1136" w:type="dxa"/>
            <w:tcBorders>
              <w:top w:val="nil"/>
              <w:left w:val="nil"/>
              <w:bottom w:val="single" w:sz="4" w:space="0" w:color="auto"/>
              <w:right w:val="single" w:sz="4" w:space="0" w:color="auto"/>
            </w:tcBorders>
            <w:shd w:val="clear" w:color="auto" w:fill="C6EFCE"/>
            <w:noWrap/>
          </w:tcPr>
          <w:p w14:paraId="5917EB68" w14:textId="2471533A" w:rsidR="00DA604C" w:rsidRPr="009902CB" w:rsidRDefault="00DA604C" w:rsidP="003B02A1">
            <w:pPr>
              <w:rPr>
                <w:rFonts w:ascii="Times New Roman" w:hAnsi="Times New Roman" w:cs="Times New Roman"/>
                <w:noProof/>
                <w:color w:val="006100"/>
                <w:sz w:val="18"/>
                <w:szCs w:val="18"/>
              </w:rPr>
            </w:pPr>
            <w:r>
              <w:rPr>
                <w:rFonts w:ascii="Times New Roman" w:hAnsi="Times New Roman"/>
                <w:noProof/>
                <w:color w:val="006100"/>
                <w:sz w:val="18"/>
              </w:rPr>
              <w:t>C11.I4: Модернизиране на Агенцията за социално подпомагане</w:t>
            </w:r>
          </w:p>
        </w:tc>
        <w:tc>
          <w:tcPr>
            <w:tcW w:w="1011" w:type="dxa"/>
            <w:tcBorders>
              <w:top w:val="nil"/>
              <w:left w:val="nil"/>
              <w:bottom w:val="single" w:sz="4" w:space="0" w:color="auto"/>
              <w:right w:val="single" w:sz="4" w:space="0" w:color="auto"/>
            </w:tcBorders>
            <w:shd w:val="clear" w:color="auto" w:fill="C6EFCE"/>
            <w:noWrap/>
          </w:tcPr>
          <w:p w14:paraId="05AEED0C" w14:textId="77777777"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Ключов етап</w:t>
            </w:r>
          </w:p>
        </w:tc>
        <w:tc>
          <w:tcPr>
            <w:tcW w:w="1311" w:type="dxa"/>
            <w:tcBorders>
              <w:top w:val="nil"/>
              <w:left w:val="nil"/>
              <w:bottom w:val="single" w:sz="4" w:space="0" w:color="auto"/>
              <w:right w:val="single" w:sz="4" w:space="0" w:color="auto"/>
            </w:tcBorders>
            <w:shd w:val="clear" w:color="auto" w:fill="C6EFCE"/>
            <w:noWrap/>
          </w:tcPr>
          <w:p w14:paraId="22C886EE" w14:textId="77777777" w:rsidR="00DA604C" w:rsidRPr="0051384F" w:rsidRDefault="00DA604C" w:rsidP="0066695B">
            <w:pPr>
              <w:rPr>
                <w:rFonts w:ascii="Times New Roman" w:hAnsi="Times New Roman" w:cs="Times New Roman"/>
                <w:noProof/>
                <w:color w:val="006100"/>
                <w:sz w:val="20"/>
                <w:szCs w:val="20"/>
              </w:rPr>
            </w:pPr>
            <w:r>
              <w:rPr>
                <w:rFonts w:ascii="Times New Roman" w:hAnsi="Times New Roman"/>
                <w:noProof/>
                <w:color w:val="006100"/>
                <w:sz w:val="20"/>
              </w:rPr>
              <w:t>Сключване на договори за ремонт и обзавеждане на местните представителства на Агенцията за социално подпомагане</w:t>
            </w:r>
          </w:p>
        </w:tc>
        <w:tc>
          <w:tcPr>
            <w:tcW w:w="2004" w:type="dxa"/>
            <w:tcBorders>
              <w:top w:val="nil"/>
              <w:left w:val="nil"/>
              <w:bottom w:val="single" w:sz="4" w:space="0" w:color="auto"/>
              <w:right w:val="single" w:sz="4" w:space="0" w:color="auto"/>
            </w:tcBorders>
            <w:shd w:val="clear" w:color="auto" w:fill="C6EFCE"/>
            <w:noWrap/>
          </w:tcPr>
          <w:p w14:paraId="01ED1A54" w14:textId="77777777" w:rsidR="00DA604C" w:rsidRPr="0051384F" w:rsidDel="000A4045" w:rsidRDefault="00DA604C" w:rsidP="0066695B">
            <w:pPr>
              <w:rPr>
                <w:rFonts w:ascii="Times New Roman" w:hAnsi="Times New Roman" w:cs="Times New Roman"/>
                <w:noProof/>
                <w:color w:val="006100"/>
                <w:sz w:val="20"/>
                <w:szCs w:val="20"/>
              </w:rPr>
            </w:pPr>
            <w:r>
              <w:rPr>
                <w:rFonts w:ascii="Times New Roman" w:hAnsi="Times New Roman"/>
                <w:noProof/>
                <w:color w:val="006100"/>
                <w:sz w:val="20"/>
              </w:rPr>
              <w:t>Сключени договори</w:t>
            </w:r>
          </w:p>
        </w:tc>
        <w:tc>
          <w:tcPr>
            <w:tcW w:w="850" w:type="dxa"/>
            <w:tcBorders>
              <w:top w:val="nil"/>
              <w:left w:val="nil"/>
              <w:bottom w:val="single" w:sz="4" w:space="0" w:color="auto"/>
              <w:right w:val="single" w:sz="4" w:space="0" w:color="auto"/>
            </w:tcBorders>
            <w:shd w:val="clear" w:color="auto" w:fill="C6EFCE"/>
            <w:noWrap/>
          </w:tcPr>
          <w:p w14:paraId="0017AF08" w14:textId="77777777" w:rsidR="00DA604C" w:rsidRPr="0051384F" w:rsidRDefault="00DA604C" w:rsidP="0066695B">
            <w:pPr>
              <w:jc w:val="center"/>
              <w:rPr>
                <w:rFonts w:ascii="Times New Roman" w:hAnsi="Times New Roman" w:cs="Times New Roman"/>
                <w:noProof/>
                <w:color w:val="006100"/>
                <w:sz w:val="20"/>
                <w:szCs w:val="20"/>
              </w:rPr>
            </w:pPr>
          </w:p>
        </w:tc>
        <w:tc>
          <w:tcPr>
            <w:tcW w:w="851" w:type="dxa"/>
            <w:tcBorders>
              <w:top w:val="nil"/>
              <w:left w:val="nil"/>
              <w:bottom w:val="single" w:sz="4" w:space="0" w:color="auto"/>
              <w:right w:val="single" w:sz="4" w:space="0" w:color="auto"/>
            </w:tcBorders>
            <w:shd w:val="clear" w:color="auto" w:fill="C6EFCE"/>
            <w:noWrap/>
          </w:tcPr>
          <w:p w14:paraId="27A28753" w14:textId="77777777" w:rsidR="00DA604C" w:rsidRPr="0051384F" w:rsidRDefault="00DA604C" w:rsidP="0066695B">
            <w:pPr>
              <w:jc w:val="center"/>
              <w:rPr>
                <w:rFonts w:ascii="Times New Roman" w:hAnsi="Times New Roman" w:cs="Times New Roman"/>
                <w:noProof/>
                <w:color w:val="006100"/>
                <w:sz w:val="20"/>
                <w:szCs w:val="20"/>
              </w:rPr>
            </w:pPr>
          </w:p>
        </w:tc>
        <w:tc>
          <w:tcPr>
            <w:tcW w:w="709" w:type="dxa"/>
            <w:tcBorders>
              <w:top w:val="nil"/>
              <w:left w:val="nil"/>
              <w:bottom w:val="single" w:sz="4" w:space="0" w:color="auto"/>
              <w:right w:val="single" w:sz="4" w:space="0" w:color="auto"/>
            </w:tcBorders>
            <w:shd w:val="clear" w:color="auto" w:fill="C6EFCE"/>
            <w:noWrap/>
          </w:tcPr>
          <w:p w14:paraId="212E3538" w14:textId="77777777" w:rsidR="00DA604C" w:rsidRPr="0051384F" w:rsidRDefault="00DA604C" w:rsidP="0066695B">
            <w:pPr>
              <w:jc w:val="center"/>
              <w:rPr>
                <w:rFonts w:ascii="Times New Roman" w:hAnsi="Times New Roman" w:cs="Times New Roman"/>
                <w:noProof/>
                <w:color w:val="006100"/>
                <w:sz w:val="20"/>
                <w:szCs w:val="20"/>
              </w:rPr>
            </w:pPr>
          </w:p>
        </w:tc>
        <w:tc>
          <w:tcPr>
            <w:tcW w:w="850" w:type="dxa"/>
            <w:tcBorders>
              <w:top w:val="nil"/>
              <w:left w:val="nil"/>
              <w:bottom w:val="single" w:sz="4" w:space="0" w:color="auto"/>
              <w:right w:val="single" w:sz="4" w:space="0" w:color="auto"/>
            </w:tcBorders>
            <w:shd w:val="clear" w:color="auto" w:fill="C6EFCE"/>
            <w:noWrap/>
          </w:tcPr>
          <w:p w14:paraId="04BC6573" w14:textId="7C407022" w:rsidR="00DA604C" w:rsidRPr="0051384F" w:rsidRDefault="004A573D" w:rsidP="0066695B">
            <w:pPr>
              <w:jc w:val="center"/>
              <w:rPr>
                <w:rFonts w:ascii="Times New Roman" w:hAnsi="Times New Roman" w:cs="Times New Roman"/>
                <w:noProof/>
                <w:color w:val="006100"/>
                <w:sz w:val="20"/>
                <w:szCs w:val="20"/>
              </w:rPr>
            </w:pPr>
            <w:r>
              <w:rPr>
                <w:rFonts w:ascii="Times New Roman" w:hAnsi="Times New Roman"/>
                <w:noProof/>
                <w:color w:val="006100"/>
                <w:sz w:val="20"/>
              </w:rPr>
              <w:t>T4</w:t>
            </w:r>
          </w:p>
        </w:tc>
        <w:tc>
          <w:tcPr>
            <w:tcW w:w="709" w:type="dxa"/>
            <w:tcBorders>
              <w:top w:val="nil"/>
              <w:left w:val="nil"/>
              <w:bottom w:val="single" w:sz="4" w:space="0" w:color="auto"/>
              <w:right w:val="single" w:sz="4" w:space="0" w:color="auto"/>
            </w:tcBorders>
            <w:shd w:val="clear" w:color="auto" w:fill="C6EFCE"/>
            <w:noWrap/>
          </w:tcPr>
          <w:p w14:paraId="4A8C9C2B" w14:textId="77777777"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2023</w:t>
            </w:r>
          </w:p>
        </w:tc>
        <w:tc>
          <w:tcPr>
            <w:tcW w:w="4802" w:type="dxa"/>
            <w:tcBorders>
              <w:top w:val="nil"/>
              <w:left w:val="nil"/>
              <w:bottom w:val="single" w:sz="4" w:space="0" w:color="auto"/>
              <w:right w:val="single" w:sz="4" w:space="0" w:color="auto"/>
            </w:tcBorders>
            <w:shd w:val="clear" w:color="auto" w:fill="C6EFCE"/>
            <w:noWrap/>
          </w:tcPr>
          <w:p w14:paraId="0F500656" w14:textId="3E7426DC" w:rsidR="00DA604C" w:rsidRPr="0051384F" w:rsidRDefault="00DA604C" w:rsidP="0066695B">
            <w:pPr>
              <w:rPr>
                <w:rFonts w:ascii="Times New Roman" w:hAnsi="Times New Roman" w:cs="Times New Roman"/>
                <w:noProof/>
                <w:color w:val="006100"/>
                <w:sz w:val="20"/>
                <w:szCs w:val="20"/>
              </w:rPr>
            </w:pPr>
            <w:r>
              <w:rPr>
                <w:rFonts w:ascii="Times New Roman" w:hAnsi="Times New Roman"/>
                <w:noProof/>
                <w:color w:val="006100"/>
                <w:sz w:val="20"/>
              </w:rPr>
              <w:t>За избора на изпълнители се провеждат процедури за възлагане на обществени поръчки.</w:t>
            </w:r>
          </w:p>
          <w:p w14:paraId="0C0FD1D5" w14:textId="77777777" w:rsidR="00DA604C" w:rsidRPr="0051384F" w:rsidRDefault="00DA604C"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Договорите обхващат:</w:t>
            </w:r>
          </w:p>
          <w:p w14:paraId="55F1A1E2" w14:textId="77777777" w:rsidR="00DA604C" w:rsidRPr="0051384F" w:rsidRDefault="00DA604C" w:rsidP="00A17CA8">
            <w:pPr>
              <w:pStyle w:val="ListParagraph"/>
              <w:numPr>
                <w:ilvl w:val="0"/>
                <w:numId w:val="56"/>
              </w:numPr>
              <w:spacing w:after="0"/>
              <w:rPr>
                <w:rFonts w:ascii="Times New Roman" w:hAnsi="Times New Roman" w:cs="Times New Roman"/>
                <w:noProof/>
                <w:color w:val="006100"/>
                <w:sz w:val="20"/>
                <w:szCs w:val="20"/>
              </w:rPr>
            </w:pPr>
            <w:r>
              <w:rPr>
                <w:rFonts w:ascii="Times New Roman" w:hAnsi="Times New Roman"/>
                <w:noProof/>
                <w:color w:val="006100"/>
                <w:sz w:val="20"/>
              </w:rPr>
              <w:t>ремонтни работи;</w:t>
            </w:r>
          </w:p>
          <w:p w14:paraId="31DC3C36" w14:textId="77777777" w:rsidR="00DA604C" w:rsidRPr="0051384F" w:rsidRDefault="00DA604C" w:rsidP="00A17CA8">
            <w:pPr>
              <w:pStyle w:val="ListParagraph"/>
              <w:numPr>
                <w:ilvl w:val="0"/>
                <w:numId w:val="56"/>
              </w:numPr>
              <w:rPr>
                <w:rFonts w:ascii="Times New Roman" w:hAnsi="Times New Roman" w:cs="Times New Roman"/>
                <w:noProof/>
                <w:color w:val="006100"/>
                <w:sz w:val="20"/>
                <w:szCs w:val="20"/>
              </w:rPr>
            </w:pPr>
            <w:r>
              <w:rPr>
                <w:rFonts w:ascii="Times New Roman" w:hAnsi="Times New Roman"/>
                <w:noProof/>
                <w:color w:val="006100"/>
                <w:sz w:val="20"/>
              </w:rPr>
              <w:t>предоставяне, доставка и монтаж на отоплителни уреди, изпълнение на мерки за енергийна ефективност и устройства за изкачване на стълби;</w:t>
            </w:r>
          </w:p>
        </w:tc>
      </w:tr>
      <w:tr w:rsidR="000D78BC" w:rsidRPr="005241FC" w14:paraId="3ADCFDB3" w14:textId="77777777" w:rsidTr="702FA0E6">
        <w:trPr>
          <w:trHeight w:val="309"/>
          <w:jc w:val="center"/>
        </w:trPr>
        <w:tc>
          <w:tcPr>
            <w:tcW w:w="646" w:type="dxa"/>
            <w:tcBorders>
              <w:top w:val="single" w:sz="4" w:space="0" w:color="auto"/>
              <w:left w:val="single" w:sz="4" w:space="0" w:color="auto"/>
              <w:bottom w:val="single" w:sz="4" w:space="0" w:color="auto"/>
              <w:right w:val="single" w:sz="4" w:space="0" w:color="auto"/>
            </w:tcBorders>
            <w:shd w:val="clear" w:color="auto" w:fill="C6EFCE"/>
            <w:noWrap/>
          </w:tcPr>
          <w:p w14:paraId="0C4D2A7F" w14:textId="27DC5536" w:rsidR="00DA604C" w:rsidRPr="0051384F" w:rsidRDefault="00DA604C" w:rsidP="007D677C">
            <w:pPr>
              <w:jc w:val="center"/>
              <w:rPr>
                <w:rFonts w:ascii="Times New Roman" w:hAnsi="Times New Roman" w:cs="Times New Roman"/>
                <w:noProof/>
                <w:color w:val="006100"/>
                <w:sz w:val="20"/>
                <w:szCs w:val="20"/>
              </w:rPr>
            </w:pPr>
            <w:r>
              <w:rPr>
                <w:rFonts w:ascii="Times New Roman" w:hAnsi="Times New Roman"/>
                <w:noProof/>
                <w:color w:val="006100"/>
                <w:sz w:val="20"/>
              </w:rPr>
              <w:t> 304</w:t>
            </w:r>
          </w:p>
        </w:tc>
        <w:tc>
          <w:tcPr>
            <w:tcW w:w="1136" w:type="dxa"/>
            <w:tcBorders>
              <w:top w:val="single" w:sz="4" w:space="0" w:color="auto"/>
              <w:left w:val="nil"/>
              <w:bottom w:val="single" w:sz="4" w:space="0" w:color="auto"/>
              <w:right w:val="single" w:sz="4" w:space="0" w:color="auto"/>
            </w:tcBorders>
            <w:shd w:val="clear" w:color="auto" w:fill="C6EFCE"/>
            <w:noWrap/>
          </w:tcPr>
          <w:p w14:paraId="0763EFFB" w14:textId="2A92A014" w:rsidR="00DA604C" w:rsidRPr="009902CB" w:rsidRDefault="00DA604C" w:rsidP="003B02A1">
            <w:pPr>
              <w:rPr>
                <w:rFonts w:ascii="Times New Roman" w:hAnsi="Times New Roman" w:cs="Times New Roman"/>
                <w:noProof/>
                <w:color w:val="006100"/>
                <w:sz w:val="18"/>
                <w:szCs w:val="18"/>
              </w:rPr>
            </w:pPr>
            <w:r>
              <w:rPr>
                <w:rFonts w:ascii="Times New Roman" w:hAnsi="Times New Roman"/>
                <w:noProof/>
                <w:color w:val="006100"/>
                <w:sz w:val="18"/>
              </w:rPr>
              <w:t>C11.I4: Модернизиране на Агенцията за социално подпомагане</w:t>
            </w:r>
          </w:p>
        </w:tc>
        <w:tc>
          <w:tcPr>
            <w:tcW w:w="1011" w:type="dxa"/>
            <w:tcBorders>
              <w:top w:val="single" w:sz="4" w:space="0" w:color="auto"/>
              <w:left w:val="nil"/>
              <w:bottom w:val="single" w:sz="4" w:space="0" w:color="auto"/>
              <w:right w:val="single" w:sz="4" w:space="0" w:color="auto"/>
            </w:tcBorders>
            <w:shd w:val="clear" w:color="auto" w:fill="C6EFCE"/>
            <w:noWrap/>
          </w:tcPr>
          <w:p w14:paraId="1FFA193F" w14:textId="77777777"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Цел</w:t>
            </w:r>
          </w:p>
        </w:tc>
        <w:tc>
          <w:tcPr>
            <w:tcW w:w="1311" w:type="dxa"/>
            <w:tcBorders>
              <w:top w:val="single" w:sz="4" w:space="0" w:color="auto"/>
              <w:left w:val="nil"/>
              <w:bottom w:val="single" w:sz="4" w:space="0" w:color="auto"/>
              <w:right w:val="single" w:sz="4" w:space="0" w:color="auto"/>
            </w:tcBorders>
            <w:shd w:val="clear" w:color="auto" w:fill="C6EFCE"/>
            <w:noWrap/>
          </w:tcPr>
          <w:p w14:paraId="58A74E0B" w14:textId="77777777" w:rsidR="00DA604C" w:rsidRPr="0051384F" w:rsidRDefault="00DA604C" w:rsidP="0066695B">
            <w:pPr>
              <w:rPr>
                <w:rFonts w:ascii="Times New Roman" w:hAnsi="Times New Roman" w:cs="Times New Roman"/>
                <w:noProof/>
                <w:color w:val="006100"/>
                <w:sz w:val="20"/>
                <w:szCs w:val="20"/>
              </w:rPr>
            </w:pPr>
            <w:r>
              <w:rPr>
                <w:rFonts w:ascii="Times New Roman" w:hAnsi="Times New Roman"/>
                <w:noProof/>
                <w:color w:val="006100"/>
                <w:sz w:val="20"/>
              </w:rPr>
              <w:t>Брой на ремонтираните местни представителства на Агенцията за социално подпомагане</w:t>
            </w:r>
          </w:p>
        </w:tc>
        <w:tc>
          <w:tcPr>
            <w:tcW w:w="2004" w:type="dxa"/>
            <w:tcBorders>
              <w:top w:val="single" w:sz="4" w:space="0" w:color="auto"/>
              <w:left w:val="nil"/>
              <w:bottom w:val="single" w:sz="4" w:space="0" w:color="auto"/>
              <w:right w:val="single" w:sz="4" w:space="0" w:color="auto"/>
            </w:tcBorders>
            <w:shd w:val="clear" w:color="auto" w:fill="C6EFCE"/>
            <w:noWrap/>
          </w:tcPr>
          <w:p w14:paraId="2569D2C4" w14:textId="77777777" w:rsidR="00DA604C" w:rsidRPr="008A0F8A" w:rsidRDefault="00DA604C" w:rsidP="0066695B">
            <w:pPr>
              <w:rPr>
                <w:rFonts w:ascii="Times New Roman" w:hAnsi="Times New Roman" w:cs="Times New Roman"/>
                <w:noProof/>
                <w:color w:val="006100"/>
                <w:sz w:val="20"/>
                <w:szCs w:val="20"/>
                <w:lang w:val="ru-RU"/>
              </w:rPr>
            </w:pPr>
          </w:p>
        </w:tc>
        <w:tc>
          <w:tcPr>
            <w:tcW w:w="850" w:type="dxa"/>
            <w:tcBorders>
              <w:top w:val="single" w:sz="4" w:space="0" w:color="auto"/>
              <w:left w:val="nil"/>
              <w:bottom w:val="single" w:sz="4" w:space="0" w:color="auto"/>
              <w:right w:val="single" w:sz="4" w:space="0" w:color="auto"/>
            </w:tcBorders>
            <w:shd w:val="clear" w:color="auto" w:fill="C6EFCE"/>
            <w:noWrap/>
          </w:tcPr>
          <w:p w14:paraId="67C769B7" w14:textId="77777777"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Брой</w:t>
            </w:r>
          </w:p>
        </w:tc>
        <w:tc>
          <w:tcPr>
            <w:tcW w:w="851" w:type="dxa"/>
            <w:tcBorders>
              <w:top w:val="single" w:sz="4" w:space="0" w:color="auto"/>
              <w:left w:val="nil"/>
              <w:bottom w:val="single" w:sz="4" w:space="0" w:color="auto"/>
              <w:right w:val="single" w:sz="4" w:space="0" w:color="auto"/>
            </w:tcBorders>
            <w:shd w:val="clear" w:color="auto" w:fill="C6EFCE"/>
            <w:noWrap/>
          </w:tcPr>
          <w:p w14:paraId="682F7A61" w14:textId="77777777"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0</w:t>
            </w:r>
          </w:p>
        </w:tc>
        <w:tc>
          <w:tcPr>
            <w:tcW w:w="709" w:type="dxa"/>
            <w:tcBorders>
              <w:top w:val="single" w:sz="4" w:space="0" w:color="auto"/>
              <w:left w:val="nil"/>
              <w:bottom w:val="single" w:sz="4" w:space="0" w:color="auto"/>
              <w:right w:val="single" w:sz="4" w:space="0" w:color="auto"/>
            </w:tcBorders>
            <w:shd w:val="clear" w:color="auto" w:fill="C6EFCE"/>
            <w:noWrap/>
          </w:tcPr>
          <w:p w14:paraId="0076C078" w14:textId="77777777"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181</w:t>
            </w:r>
          </w:p>
        </w:tc>
        <w:tc>
          <w:tcPr>
            <w:tcW w:w="850" w:type="dxa"/>
            <w:tcBorders>
              <w:top w:val="single" w:sz="4" w:space="0" w:color="auto"/>
              <w:left w:val="nil"/>
              <w:bottom w:val="single" w:sz="4" w:space="0" w:color="auto"/>
              <w:right w:val="single" w:sz="4" w:space="0" w:color="auto"/>
            </w:tcBorders>
            <w:shd w:val="clear" w:color="auto" w:fill="C6EFCE"/>
            <w:noWrap/>
          </w:tcPr>
          <w:p w14:paraId="66C27E47" w14:textId="77777777"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T2</w:t>
            </w:r>
          </w:p>
        </w:tc>
        <w:tc>
          <w:tcPr>
            <w:tcW w:w="709" w:type="dxa"/>
            <w:tcBorders>
              <w:top w:val="single" w:sz="4" w:space="0" w:color="auto"/>
              <w:left w:val="nil"/>
              <w:bottom w:val="single" w:sz="4" w:space="0" w:color="auto"/>
              <w:right w:val="single" w:sz="4" w:space="0" w:color="auto"/>
            </w:tcBorders>
            <w:shd w:val="clear" w:color="auto" w:fill="C6EFCE"/>
            <w:noWrap/>
          </w:tcPr>
          <w:p w14:paraId="4E735CF5" w14:textId="77777777"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2024</w:t>
            </w:r>
          </w:p>
        </w:tc>
        <w:tc>
          <w:tcPr>
            <w:tcW w:w="4802" w:type="dxa"/>
            <w:tcBorders>
              <w:top w:val="single" w:sz="4" w:space="0" w:color="auto"/>
              <w:left w:val="nil"/>
              <w:bottom w:val="single" w:sz="4" w:space="0" w:color="auto"/>
              <w:right w:val="single" w:sz="4" w:space="0" w:color="auto"/>
            </w:tcBorders>
            <w:shd w:val="clear" w:color="auto" w:fill="C6EFCE"/>
            <w:noWrap/>
          </w:tcPr>
          <w:p w14:paraId="3AC20F47" w14:textId="51AB5631" w:rsidR="00DA604C" w:rsidRPr="0051384F" w:rsidRDefault="00DA604C" w:rsidP="0066695B">
            <w:pPr>
              <w:rPr>
                <w:rFonts w:ascii="Times New Roman" w:hAnsi="Times New Roman" w:cs="Times New Roman"/>
                <w:noProof/>
                <w:color w:val="006100"/>
                <w:sz w:val="20"/>
                <w:szCs w:val="20"/>
              </w:rPr>
            </w:pPr>
            <w:r>
              <w:rPr>
                <w:rFonts w:ascii="Times New Roman" w:hAnsi="Times New Roman"/>
                <w:noProof/>
                <w:color w:val="006100"/>
                <w:sz w:val="20"/>
              </w:rPr>
              <w:t xml:space="preserve">След сключването на договори (ключов етап 303) се извършва ремонт на представителствата на Агенцията за социално подпомагане. </w:t>
            </w:r>
          </w:p>
          <w:p w14:paraId="41D0DC54" w14:textId="77777777" w:rsidR="00DA604C" w:rsidRPr="0051384F" w:rsidRDefault="00DA604C" w:rsidP="0066695B">
            <w:pPr>
              <w:rPr>
                <w:rFonts w:ascii="Times New Roman" w:hAnsi="Times New Roman" w:cs="Times New Roman"/>
                <w:noProof/>
                <w:color w:val="006100"/>
                <w:sz w:val="20"/>
                <w:szCs w:val="20"/>
              </w:rPr>
            </w:pPr>
            <w:r>
              <w:rPr>
                <w:rFonts w:ascii="Times New Roman" w:hAnsi="Times New Roman"/>
                <w:noProof/>
                <w:color w:val="006100"/>
                <w:sz w:val="20"/>
              </w:rPr>
              <w:t>В допълнение, монтират се енергийно ефективни уреди.</w:t>
            </w:r>
          </w:p>
          <w:p w14:paraId="04A14B93" w14:textId="77777777" w:rsidR="00DA604C" w:rsidRPr="0051384F" w:rsidRDefault="00DA604C" w:rsidP="0066695B">
            <w:pPr>
              <w:rPr>
                <w:rFonts w:ascii="Times New Roman" w:hAnsi="Times New Roman" w:cs="Times New Roman"/>
                <w:noProof/>
                <w:color w:val="006100"/>
                <w:sz w:val="20"/>
                <w:szCs w:val="20"/>
              </w:rPr>
            </w:pPr>
            <w:r>
              <w:rPr>
                <w:rFonts w:ascii="Times New Roman" w:hAnsi="Times New Roman"/>
                <w:noProof/>
                <w:color w:val="006100"/>
                <w:sz w:val="20"/>
              </w:rPr>
              <w:t>В представителствата на Агенцията за социално подпомагане, в които ремонтните работи е имало физически препятствия пред достъпа на лица с увреждания, също така се доставят и монтират устройства за изкачване на стълби за хората с увреждания.</w:t>
            </w:r>
          </w:p>
        </w:tc>
      </w:tr>
      <w:tr w:rsidR="000D78BC" w:rsidRPr="005241FC" w14:paraId="4AAE884E" w14:textId="77777777" w:rsidTr="702FA0E6">
        <w:trPr>
          <w:trHeight w:val="309"/>
          <w:jc w:val="center"/>
        </w:trPr>
        <w:tc>
          <w:tcPr>
            <w:tcW w:w="646" w:type="dxa"/>
            <w:tcBorders>
              <w:top w:val="nil"/>
              <w:left w:val="single" w:sz="4" w:space="0" w:color="auto"/>
              <w:bottom w:val="single" w:sz="4" w:space="0" w:color="auto"/>
              <w:right w:val="single" w:sz="4" w:space="0" w:color="auto"/>
            </w:tcBorders>
            <w:shd w:val="clear" w:color="auto" w:fill="C6EFCE"/>
            <w:noWrap/>
          </w:tcPr>
          <w:p w14:paraId="4AFD97D0" w14:textId="16BCEC92" w:rsidR="00DA604C" w:rsidRPr="0051384F" w:rsidRDefault="007D677C" w:rsidP="0066695B">
            <w:pPr>
              <w:jc w:val="center"/>
              <w:rPr>
                <w:rFonts w:ascii="Times New Roman" w:hAnsi="Times New Roman" w:cs="Times New Roman"/>
                <w:noProof/>
                <w:color w:val="006100"/>
                <w:sz w:val="20"/>
                <w:szCs w:val="20"/>
              </w:rPr>
            </w:pPr>
            <w:r>
              <w:rPr>
                <w:rFonts w:ascii="Times New Roman" w:hAnsi="Times New Roman"/>
                <w:noProof/>
                <w:color w:val="006100"/>
                <w:sz w:val="20"/>
              </w:rPr>
              <w:t>305</w:t>
            </w:r>
          </w:p>
        </w:tc>
        <w:tc>
          <w:tcPr>
            <w:tcW w:w="1136" w:type="dxa"/>
            <w:tcBorders>
              <w:top w:val="nil"/>
              <w:left w:val="nil"/>
              <w:bottom w:val="single" w:sz="4" w:space="0" w:color="auto"/>
              <w:right w:val="single" w:sz="4" w:space="0" w:color="auto"/>
            </w:tcBorders>
            <w:shd w:val="clear" w:color="auto" w:fill="C6EFCE"/>
            <w:noWrap/>
          </w:tcPr>
          <w:p w14:paraId="7DB5F3F4" w14:textId="5613E818" w:rsidR="00DA604C" w:rsidRPr="009902CB" w:rsidRDefault="00DA604C" w:rsidP="003B02A1">
            <w:pPr>
              <w:rPr>
                <w:rFonts w:ascii="Times New Roman" w:hAnsi="Times New Roman" w:cs="Times New Roman"/>
                <w:noProof/>
                <w:color w:val="006100"/>
                <w:sz w:val="18"/>
                <w:szCs w:val="18"/>
              </w:rPr>
            </w:pPr>
            <w:r>
              <w:rPr>
                <w:rFonts w:ascii="Times New Roman" w:hAnsi="Times New Roman"/>
                <w:noProof/>
                <w:color w:val="006100"/>
                <w:sz w:val="18"/>
              </w:rPr>
              <w:t>C11.I5: Модернизиране на Агенцията по заетостта</w:t>
            </w:r>
          </w:p>
        </w:tc>
        <w:tc>
          <w:tcPr>
            <w:tcW w:w="1011" w:type="dxa"/>
            <w:tcBorders>
              <w:top w:val="nil"/>
              <w:left w:val="nil"/>
              <w:bottom w:val="single" w:sz="4" w:space="0" w:color="auto"/>
              <w:right w:val="single" w:sz="4" w:space="0" w:color="auto"/>
            </w:tcBorders>
            <w:shd w:val="clear" w:color="auto" w:fill="C6EFCE"/>
            <w:noWrap/>
          </w:tcPr>
          <w:p w14:paraId="485CDF56" w14:textId="77777777" w:rsidR="00DA604C" w:rsidRPr="0051384F" w:rsidDel="00DA7A76"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Ключов етап</w:t>
            </w:r>
          </w:p>
        </w:tc>
        <w:tc>
          <w:tcPr>
            <w:tcW w:w="1311" w:type="dxa"/>
            <w:tcBorders>
              <w:top w:val="nil"/>
              <w:left w:val="nil"/>
              <w:bottom w:val="single" w:sz="4" w:space="0" w:color="auto"/>
              <w:right w:val="single" w:sz="4" w:space="0" w:color="auto"/>
            </w:tcBorders>
            <w:shd w:val="clear" w:color="auto" w:fill="C6EFCE"/>
            <w:noWrap/>
          </w:tcPr>
          <w:p w14:paraId="2DF0BE49" w14:textId="77777777" w:rsidR="00DA604C" w:rsidRPr="0051384F" w:rsidDel="00DA7A76" w:rsidRDefault="00DA604C" w:rsidP="0066695B">
            <w:pPr>
              <w:rPr>
                <w:rFonts w:ascii="Times New Roman" w:hAnsi="Times New Roman" w:cs="Times New Roman"/>
                <w:noProof/>
                <w:color w:val="006100"/>
                <w:sz w:val="20"/>
                <w:szCs w:val="20"/>
              </w:rPr>
            </w:pPr>
            <w:r>
              <w:rPr>
                <w:rFonts w:ascii="Times New Roman" w:hAnsi="Times New Roman"/>
                <w:noProof/>
                <w:color w:val="006100"/>
                <w:sz w:val="20"/>
              </w:rPr>
              <w:t>Сключване на договори за разработване на ИТ среда и електронни услуги на Агенцията по заетостта</w:t>
            </w:r>
          </w:p>
        </w:tc>
        <w:tc>
          <w:tcPr>
            <w:tcW w:w="2004" w:type="dxa"/>
            <w:tcBorders>
              <w:top w:val="nil"/>
              <w:left w:val="nil"/>
              <w:bottom w:val="single" w:sz="4" w:space="0" w:color="auto"/>
              <w:right w:val="single" w:sz="4" w:space="0" w:color="auto"/>
            </w:tcBorders>
            <w:shd w:val="clear" w:color="auto" w:fill="C6EFCE"/>
            <w:noWrap/>
          </w:tcPr>
          <w:p w14:paraId="07C0BA69" w14:textId="77777777" w:rsidR="00DA604C" w:rsidRPr="0051384F" w:rsidDel="00DA7A76" w:rsidRDefault="00DA604C" w:rsidP="0066695B">
            <w:pPr>
              <w:rPr>
                <w:rFonts w:ascii="Times New Roman" w:hAnsi="Times New Roman" w:cs="Times New Roman"/>
                <w:noProof/>
                <w:color w:val="006100"/>
                <w:sz w:val="20"/>
                <w:szCs w:val="20"/>
              </w:rPr>
            </w:pPr>
            <w:r>
              <w:rPr>
                <w:rFonts w:ascii="Times New Roman" w:hAnsi="Times New Roman"/>
                <w:noProof/>
                <w:color w:val="006100"/>
                <w:sz w:val="20"/>
              </w:rPr>
              <w:t>Сключени договори</w:t>
            </w:r>
          </w:p>
        </w:tc>
        <w:tc>
          <w:tcPr>
            <w:tcW w:w="850" w:type="dxa"/>
            <w:tcBorders>
              <w:top w:val="nil"/>
              <w:left w:val="nil"/>
              <w:bottom w:val="single" w:sz="4" w:space="0" w:color="auto"/>
              <w:right w:val="single" w:sz="4" w:space="0" w:color="auto"/>
            </w:tcBorders>
            <w:shd w:val="clear" w:color="auto" w:fill="C6EFCE"/>
            <w:noWrap/>
          </w:tcPr>
          <w:p w14:paraId="07BBF0FD" w14:textId="77777777" w:rsidR="00DA604C" w:rsidRPr="0051384F" w:rsidDel="00DA7A76" w:rsidRDefault="00DA604C" w:rsidP="0066695B">
            <w:pPr>
              <w:jc w:val="center"/>
              <w:rPr>
                <w:rFonts w:ascii="Times New Roman" w:hAnsi="Times New Roman" w:cs="Times New Roman"/>
                <w:noProof/>
                <w:color w:val="006100"/>
                <w:sz w:val="20"/>
                <w:szCs w:val="20"/>
                <w:lang w:val="en-US"/>
              </w:rPr>
            </w:pPr>
          </w:p>
        </w:tc>
        <w:tc>
          <w:tcPr>
            <w:tcW w:w="851" w:type="dxa"/>
            <w:tcBorders>
              <w:top w:val="nil"/>
              <w:left w:val="nil"/>
              <w:bottom w:val="single" w:sz="4" w:space="0" w:color="auto"/>
              <w:right w:val="single" w:sz="4" w:space="0" w:color="auto"/>
            </w:tcBorders>
            <w:shd w:val="clear" w:color="auto" w:fill="C6EFCE"/>
            <w:noWrap/>
          </w:tcPr>
          <w:p w14:paraId="5018DF25" w14:textId="77777777" w:rsidR="00DA604C" w:rsidRPr="0051384F" w:rsidDel="00DA7A76" w:rsidRDefault="00DA604C" w:rsidP="0066695B">
            <w:pPr>
              <w:jc w:val="center"/>
              <w:rPr>
                <w:rFonts w:ascii="Times New Roman" w:hAnsi="Times New Roman" w:cs="Times New Roman"/>
                <w:noProof/>
                <w:color w:val="006100"/>
                <w:sz w:val="20"/>
                <w:szCs w:val="20"/>
                <w:lang w:val="en-US"/>
              </w:rPr>
            </w:pPr>
          </w:p>
        </w:tc>
        <w:tc>
          <w:tcPr>
            <w:tcW w:w="709" w:type="dxa"/>
            <w:tcBorders>
              <w:top w:val="nil"/>
              <w:left w:val="nil"/>
              <w:bottom w:val="single" w:sz="4" w:space="0" w:color="auto"/>
              <w:right w:val="single" w:sz="4" w:space="0" w:color="auto"/>
            </w:tcBorders>
            <w:shd w:val="clear" w:color="auto" w:fill="C6EFCE"/>
            <w:noWrap/>
          </w:tcPr>
          <w:p w14:paraId="653561FC" w14:textId="77777777" w:rsidR="00DA604C" w:rsidRPr="0051384F" w:rsidDel="00DA7A76" w:rsidRDefault="00DA604C" w:rsidP="0066695B">
            <w:pPr>
              <w:jc w:val="center"/>
              <w:rPr>
                <w:rFonts w:ascii="Times New Roman" w:hAnsi="Times New Roman" w:cs="Times New Roman"/>
                <w:noProof/>
                <w:color w:val="006100"/>
                <w:sz w:val="20"/>
                <w:szCs w:val="20"/>
                <w:lang w:val="en-US"/>
              </w:rPr>
            </w:pPr>
          </w:p>
        </w:tc>
        <w:tc>
          <w:tcPr>
            <w:tcW w:w="850" w:type="dxa"/>
            <w:tcBorders>
              <w:top w:val="nil"/>
              <w:left w:val="nil"/>
              <w:bottom w:val="single" w:sz="4" w:space="0" w:color="auto"/>
              <w:right w:val="single" w:sz="4" w:space="0" w:color="auto"/>
            </w:tcBorders>
            <w:shd w:val="clear" w:color="auto" w:fill="C6EFCE"/>
            <w:noWrap/>
          </w:tcPr>
          <w:p w14:paraId="4BFCEEB1" w14:textId="6104CF70"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T3</w:t>
            </w:r>
          </w:p>
        </w:tc>
        <w:tc>
          <w:tcPr>
            <w:tcW w:w="709" w:type="dxa"/>
            <w:tcBorders>
              <w:top w:val="nil"/>
              <w:left w:val="nil"/>
              <w:bottom w:val="single" w:sz="4" w:space="0" w:color="auto"/>
              <w:right w:val="single" w:sz="4" w:space="0" w:color="auto"/>
            </w:tcBorders>
            <w:shd w:val="clear" w:color="auto" w:fill="C6EFCE"/>
            <w:noWrap/>
          </w:tcPr>
          <w:p w14:paraId="415DD697" w14:textId="77777777"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2023</w:t>
            </w:r>
          </w:p>
        </w:tc>
        <w:tc>
          <w:tcPr>
            <w:tcW w:w="4802" w:type="dxa"/>
            <w:tcBorders>
              <w:top w:val="nil"/>
              <w:left w:val="nil"/>
              <w:bottom w:val="single" w:sz="4" w:space="0" w:color="auto"/>
              <w:right w:val="single" w:sz="4" w:space="0" w:color="auto"/>
            </w:tcBorders>
            <w:shd w:val="clear" w:color="auto" w:fill="C6EFCE"/>
            <w:noWrap/>
          </w:tcPr>
          <w:p w14:paraId="47FE33F9" w14:textId="56B4A56E" w:rsidR="00DA604C" w:rsidRPr="0051384F" w:rsidRDefault="00DA604C" w:rsidP="0066695B">
            <w:pPr>
              <w:rPr>
                <w:rFonts w:ascii="Times New Roman" w:hAnsi="Times New Roman" w:cs="Times New Roman"/>
                <w:noProof/>
                <w:color w:val="006100"/>
                <w:sz w:val="20"/>
                <w:szCs w:val="20"/>
              </w:rPr>
            </w:pPr>
            <w:r>
              <w:rPr>
                <w:rFonts w:ascii="Times New Roman" w:hAnsi="Times New Roman"/>
                <w:noProof/>
                <w:color w:val="006100"/>
                <w:sz w:val="20"/>
              </w:rPr>
              <w:t xml:space="preserve">За избора на изпълнители се провеждат процедури за възлагане на обществени поръчки. </w:t>
            </w:r>
          </w:p>
          <w:p w14:paraId="7E1CBE7B" w14:textId="77777777" w:rsidR="00DA604C" w:rsidRPr="0051384F" w:rsidRDefault="00DA604C"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Договорите обхващат:</w:t>
            </w:r>
          </w:p>
          <w:p w14:paraId="2FC46B85" w14:textId="77777777" w:rsidR="00DA604C" w:rsidRPr="0051384F" w:rsidRDefault="00DA604C" w:rsidP="0051384F">
            <w:pPr>
              <w:numPr>
                <w:ilvl w:val="0"/>
                <w:numId w:val="56"/>
              </w:numPr>
              <w:spacing w:after="0"/>
              <w:ind w:left="360"/>
              <w:contextualSpacing/>
              <w:rPr>
                <w:rFonts w:ascii="Times New Roman" w:hAnsi="Times New Roman" w:cs="Times New Roman"/>
                <w:noProof/>
                <w:color w:val="006100"/>
                <w:sz w:val="20"/>
                <w:szCs w:val="20"/>
              </w:rPr>
            </w:pPr>
            <w:r>
              <w:rPr>
                <w:rFonts w:ascii="Times New Roman" w:hAnsi="Times New Roman"/>
                <w:noProof/>
                <w:color w:val="006100"/>
                <w:sz w:val="20"/>
              </w:rPr>
              <w:t>модернизиране на информационната система на Националната база данни, което да поддържа услуги за улесняване на преобразуванията на трудовия пазар, включително осигуряване на обучения за персонала на Агенцията по заетостта за неговото внедряване. Платформата трябва да бъде напълно интегрирана с цифровите системи на други агенции, включително на Агенцията за социално подпомагане;</w:t>
            </w:r>
          </w:p>
          <w:p w14:paraId="1D5DAA74" w14:textId="77777777" w:rsidR="00DA604C" w:rsidRPr="0051384F" w:rsidRDefault="00DA604C" w:rsidP="0051384F">
            <w:pPr>
              <w:numPr>
                <w:ilvl w:val="0"/>
                <w:numId w:val="56"/>
              </w:numPr>
              <w:ind w:left="360"/>
              <w:contextualSpacing/>
              <w:rPr>
                <w:rFonts w:ascii="Times New Roman" w:hAnsi="Times New Roman" w:cs="Times New Roman"/>
                <w:noProof/>
                <w:color w:val="006100"/>
                <w:sz w:val="20"/>
                <w:szCs w:val="20"/>
              </w:rPr>
            </w:pPr>
            <w:r>
              <w:rPr>
                <w:rFonts w:ascii="Times New Roman" w:hAnsi="Times New Roman"/>
                <w:noProof/>
                <w:color w:val="006100"/>
                <w:sz w:val="20"/>
              </w:rPr>
              <w:t xml:space="preserve">разработването на цифрова лабораторна платформа за откриване на съвпадение, която чрез специален алгоритъм съпоставя профилите на търсещите работа с различните обучения и/или свободни работни места; </w:t>
            </w:r>
          </w:p>
          <w:p w14:paraId="2D60F584" w14:textId="77777777" w:rsidR="00DA604C" w:rsidRPr="0051384F" w:rsidRDefault="00DA604C" w:rsidP="0051384F">
            <w:pPr>
              <w:numPr>
                <w:ilvl w:val="0"/>
                <w:numId w:val="56"/>
              </w:numPr>
              <w:ind w:left="360"/>
              <w:contextualSpacing/>
              <w:rPr>
                <w:rFonts w:ascii="Times New Roman" w:hAnsi="Times New Roman" w:cs="Times New Roman"/>
                <w:noProof/>
                <w:color w:val="006100"/>
                <w:sz w:val="20"/>
                <w:szCs w:val="20"/>
              </w:rPr>
            </w:pPr>
            <w:r>
              <w:rPr>
                <w:rFonts w:ascii="Times New Roman" w:hAnsi="Times New Roman"/>
                <w:noProof/>
                <w:color w:val="006100"/>
                <w:sz w:val="20"/>
              </w:rPr>
              <w:t xml:space="preserve">разработването на приложение за професионално ориентиране, в което са включени професионалните обучения и свободните работни места по професии и/или регион и се предоставянето му на българското население; </w:t>
            </w:r>
          </w:p>
          <w:p w14:paraId="7BB78677" w14:textId="77777777" w:rsidR="00DA604C" w:rsidRPr="0051384F" w:rsidRDefault="00DA604C" w:rsidP="0051384F">
            <w:pPr>
              <w:numPr>
                <w:ilvl w:val="0"/>
                <w:numId w:val="56"/>
              </w:numPr>
              <w:ind w:left="360"/>
              <w:contextualSpacing/>
              <w:rPr>
                <w:rFonts w:ascii="Times New Roman" w:hAnsi="Times New Roman" w:cs="Times New Roman"/>
                <w:noProof/>
                <w:color w:val="006100"/>
                <w:sz w:val="20"/>
                <w:szCs w:val="20"/>
              </w:rPr>
            </w:pPr>
            <w:r>
              <w:rPr>
                <w:rFonts w:ascii="Times New Roman" w:hAnsi="Times New Roman"/>
                <w:noProof/>
                <w:color w:val="006100"/>
                <w:sz w:val="20"/>
              </w:rPr>
              <w:t>по-нататъшното развитие на цифровизираните работни направления на Агенцията. Тези работни направления включват изготвянето и публикуването на резултатите от проучванията на пазара на труда, както и услугите на Агенцията във връзка със субсидиите за заетост, обученията и процедурите за регистрация на търсещите работа лица;</w:t>
            </w:r>
          </w:p>
        </w:tc>
      </w:tr>
      <w:tr w:rsidR="000D78BC" w:rsidRPr="005241FC" w14:paraId="6FA9BC2B" w14:textId="77777777" w:rsidTr="702FA0E6">
        <w:trPr>
          <w:trHeight w:val="309"/>
          <w:jc w:val="center"/>
        </w:trPr>
        <w:tc>
          <w:tcPr>
            <w:tcW w:w="646" w:type="dxa"/>
            <w:tcBorders>
              <w:top w:val="nil"/>
              <w:left w:val="single" w:sz="4" w:space="0" w:color="auto"/>
              <w:bottom w:val="single" w:sz="4" w:space="0" w:color="auto"/>
              <w:right w:val="single" w:sz="4" w:space="0" w:color="auto"/>
            </w:tcBorders>
            <w:shd w:val="clear" w:color="auto" w:fill="C6EFCE"/>
            <w:noWrap/>
          </w:tcPr>
          <w:p w14:paraId="24AFE298" w14:textId="3BC29496" w:rsidR="00DA604C" w:rsidRPr="0051384F" w:rsidRDefault="007D677C" w:rsidP="0066695B">
            <w:pPr>
              <w:jc w:val="center"/>
              <w:rPr>
                <w:rFonts w:ascii="Times New Roman" w:hAnsi="Times New Roman" w:cs="Times New Roman"/>
                <w:noProof/>
                <w:color w:val="006100"/>
                <w:sz w:val="20"/>
                <w:szCs w:val="20"/>
              </w:rPr>
            </w:pPr>
            <w:r>
              <w:rPr>
                <w:rFonts w:ascii="Times New Roman" w:hAnsi="Times New Roman"/>
                <w:noProof/>
                <w:color w:val="006100"/>
                <w:sz w:val="20"/>
              </w:rPr>
              <w:t>306</w:t>
            </w:r>
          </w:p>
        </w:tc>
        <w:tc>
          <w:tcPr>
            <w:tcW w:w="1136" w:type="dxa"/>
            <w:tcBorders>
              <w:top w:val="nil"/>
              <w:left w:val="nil"/>
              <w:bottom w:val="single" w:sz="4" w:space="0" w:color="auto"/>
              <w:right w:val="single" w:sz="4" w:space="0" w:color="auto"/>
            </w:tcBorders>
            <w:shd w:val="clear" w:color="auto" w:fill="C6EFCE"/>
            <w:noWrap/>
          </w:tcPr>
          <w:p w14:paraId="0A9494EC" w14:textId="54BBCFD6" w:rsidR="00DA604C" w:rsidRPr="009902CB" w:rsidRDefault="00DA604C" w:rsidP="003B02A1">
            <w:pPr>
              <w:rPr>
                <w:rFonts w:ascii="Times New Roman" w:hAnsi="Times New Roman" w:cs="Times New Roman"/>
                <w:noProof/>
                <w:color w:val="006100"/>
                <w:sz w:val="18"/>
                <w:szCs w:val="18"/>
              </w:rPr>
            </w:pPr>
            <w:r>
              <w:rPr>
                <w:rFonts w:ascii="Times New Roman" w:hAnsi="Times New Roman"/>
                <w:noProof/>
                <w:color w:val="006100"/>
                <w:sz w:val="18"/>
              </w:rPr>
              <w:t>C11.I5: Модернизиране на Агенцията по заетостта</w:t>
            </w:r>
          </w:p>
        </w:tc>
        <w:tc>
          <w:tcPr>
            <w:tcW w:w="1011" w:type="dxa"/>
            <w:tcBorders>
              <w:top w:val="nil"/>
              <w:left w:val="nil"/>
              <w:bottom w:val="single" w:sz="4" w:space="0" w:color="auto"/>
              <w:right w:val="single" w:sz="4" w:space="0" w:color="auto"/>
            </w:tcBorders>
            <w:shd w:val="clear" w:color="auto" w:fill="C6EFCE"/>
            <w:noWrap/>
          </w:tcPr>
          <w:p w14:paraId="0121E1F4" w14:textId="77777777" w:rsidR="00DA604C" w:rsidRPr="0051384F" w:rsidDel="00DA7A76"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Ключов етап</w:t>
            </w:r>
          </w:p>
        </w:tc>
        <w:tc>
          <w:tcPr>
            <w:tcW w:w="1311" w:type="dxa"/>
            <w:tcBorders>
              <w:top w:val="nil"/>
              <w:left w:val="nil"/>
              <w:bottom w:val="single" w:sz="4" w:space="0" w:color="auto"/>
              <w:right w:val="single" w:sz="4" w:space="0" w:color="auto"/>
            </w:tcBorders>
            <w:shd w:val="clear" w:color="auto" w:fill="C6EFCE"/>
            <w:noWrap/>
          </w:tcPr>
          <w:p w14:paraId="0BE5F44F" w14:textId="77777777" w:rsidR="00DA604C" w:rsidRPr="0051384F" w:rsidDel="00DA7A76" w:rsidRDefault="00DA604C" w:rsidP="0066695B">
            <w:pPr>
              <w:rPr>
                <w:rFonts w:ascii="Times New Roman" w:hAnsi="Times New Roman" w:cs="Times New Roman"/>
                <w:noProof/>
                <w:color w:val="006100"/>
                <w:sz w:val="20"/>
                <w:szCs w:val="20"/>
              </w:rPr>
            </w:pPr>
            <w:r>
              <w:rPr>
                <w:rFonts w:ascii="Times New Roman" w:hAnsi="Times New Roman"/>
                <w:noProof/>
                <w:color w:val="006100"/>
                <w:sz w:val="20"/>
              </w:rPr>
              <w:t>ИТ среда на Агенцията по заетостта</w:t>
            </w:r>
          </w:p>
        </w:tc>
        <w:tc>
          <w:tcPr>
            <w:tcW w:w="2004" w:type="dxa"/>
            <w:tcBorders>
              <w:top w:val="nil"/>
              <w:left w:val="nil"/>
              <w:bottom w:val="single" w:sz="4" w:space="0" w:color="auto"/>
              <w:right w:val="single" w:sz="4" w:space="0" w:color="auto"/>
            </w:tcBorders>
            <w:shd w:val="clear" w:color="auto" w:fill="C6EFCE"/>
            <w:noWrap/>
          </w:tcPr>
          <w:p w14:paraId="0FDA23B0" w14:textId="77777777" w:rsidR="00DA604C" w:rsidRPr="0051384F" w:rsidDel="00DA7A76" w:rsidRDefault="00DA604C" w:rsidP="0066695B">
            <w:pPr>
              <w:rPr>
                <w:rFonts w:ascii="Times New Roman" w:hAnsi="Times New Roman" w:cs="Times New Roman"/>
                <w:noProof/>
                <w:color w:val="006100"/>
                <w:sz w:val="20"/>
                <w:szCs w:val="20"/>
              </w:rPr>
            </w:pPr>
            <w:r>
              <w:rPr>
                <w:rFonts w:ascii="Times New Roman" w:hAnsi="Times New Roman"/>
                <w:noProof/>
                <w:color w:val="006100"/>
                <w:sz w:val="20"/>
              </w:rPr>
              <w:t>Разработени и достъпни електронни платформи и електронни услуги</w:t>
            </w:r>
          </w:p>
        </w:tc>
        <w:tc>
          <w:tcPr>
            <w:tcW w:w="850" w:type="dxa"/>
            <w:tcBorders>
              <w:top w:val="nil"/>
              <w:left w:val="nil"/>
              <w:bottom w:val="single" w:sz="4" w:space="0" w:color="auto"/>
              <w:right w:val="single" w:sz="4" w:space="0" w:color="auto"/>
            </w:tcBorders>
            <w:shd w:val="clear" w:color="auto" w:fill="C6EFCE"/>
            <w:noWrap/>
          </w:tcPr>
          <w:p w14:paraId="3E97E3A1" w14:textId="77777777" w:rsidR="00DA604C" w:rsidRPr="008A0F8A" w:rsidDel="00DA7A76" w:rsidRDefault="00DA604C" w:rsidP="0066695B">
            <w:pPr>
              <w:jc w:val="center"/>
              <w:rPr>
                <w:rFonts w:ascii="Times New Roman" w:hAnsi="Times New Roman" w:cs="Times New Roman"/>
                <w:noProof/>
                <w:color w:val="006100"/>
                <w:sz w:val="20"/>
                <w:szCs w:val="20"/>
                <w:lang w:val="ru-RU"/>
              </w:rPr>
            </w:pPr>
          </w:p>
        </w:tc>
        <w:tc>
          <w:tcPr>
            <w:tcW w:w="851" w:type="dxa"/>
            <w:tcBorders>
              <w:top w:val="nil"/>
              <w:left w:val="nil"/>
              <w:bottom w:val="single" w:sz="4" w:space="0" w:color="auto"/>
              <w:right w:val="single" w:sz="4" w:space="0" w:color="auto"/>
            </w:tcBorders>
            <w:shd w:val="clear" w:color="auto" w:fill="C6EFCE"/>
            <w:noWrap/>
          </w:tcPr>
          <w:p w14:paraId="64045AA9" w14:textId="77777777" w:rsidR="00DA604C" w:rsidRPr="008A0F8A" w:rsidDel="00DA7A76" w:rsidRDefault="00DA604C" w:rsidP="0066695B">
            <w:pPr>
              <w:jc w:val="center"/>
              <w:rPr>
                <w:rFonts w:ascii="Times New Roman" w:hAnsi="Times New Roman" w:cs="Times New Roman"/>
                <w:noProof/>
                <w:color w:val="006100"/>
                <w:sz w:val="20"/>
                <w:szCs w:val="20"/>
                <w:lang w:val="ru-RU"/>
              </w:rPr>
            </w:pPr>
          </w:p>
        </w:tc>
        <w:tc>
          <w:tcPr>
            <w:tcW w:w="709" w:type="dxa"/>
            <w:tcBorders>
              <w:top w:val="nil"/>
              <w:left w:val="nil"/>
              <w:bottom w:val="single" w:sz="4" w:space="0" w:color="auto"/>
              <w:right w:val="single" w:sz="4" w:space="0" w:color="auto"/>
            </w:tcBorders>
            <w:shd w:val="clear" w:color="auto" w:fill="C6EFCE"/>
            <w:noWrap/>
          </w:tcPr>
          <w:p w14:paraId="1616EC59" w14:textId="77777777" w:rsidR="00DA604C" w:rsidRPr="008A0F8A" w:rsidDel="00DA7A76" w:rsidRDefault="00DA604C" w:rsidP="0066695B">
            <w:pPr>
              <w:jc w:val="center"/>
              <w:rPr>
                <w:rFonts w:ascii="Times New Roman" w:hAnsi="Times New Roman" w:cs="Times New Roman"/>
                <w:noProof/>
                <w:color w:val="006100"/>
                <w:sz w:val="20"/>
                <w:szCs w:val="20"/>
                <w:lang w:val="ru-RU"/>
              </w:rPr>
            </w:pPr>
          </w:p>
        </w:tc>
        <w:tc>
          <w:tcPr>
            <w:tcW w:w="850" w:type="dxa"/>
            <w:tcBorders>
              <w:top w:val="nil"/>
              <w:left w:val="nil"/>
              <w:bottom w:val="single" w:sz="4" w:space="0" w:color="auto"/>
              <w:right w:val="single" w:sz="4" w:space="0" w:color="auto"/>
            </w:tcBorders>
            <w:shd w:val="clear" w:color="auto" w:fill="C6EFCE"/>
            <w:noWrap/>
          </w:tcPr>
          <w:p w14:paraId="0875DBD7" w14:textId="77777777"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T4</w:t>
            </w:r>
          </w:p>
        </w:tc>
        <w:tc>
          <w:tcPr>
            <w:tcW w:w="709" w:type="dxa"/>
            <w:tcBorders>
              <w:top w:val="nil"/>
              <w:left w:val="nil"/>
              <w:bottom w:val="single" w:sz="4" w:space="0" w:color="auto"/>
              <w:right w:val="single" w:sz="4" w:space="0" w:color="auto"/>
            </w:tcBorders>
            <w:shd w:val="clear" w:color="auto" w:fill="C6EFCE"/>
            <w:noWrap/>
          </w:tcPr>
          <w:p w14:paraId="2C7F81DA" w14:textId="77777777"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2024</w:t>
            </w:r>
          </w:p>
        </w:tc>
        <w:tc>
          <w:tcPr>
            <w:tcW w:w="4802" w:type="dxa"/>
            <w:tcBorders>
              <w:top w:val="nil"/>
              <w:left w:val="nil"/>
              <w:bottom w:val="single" w:sz="4" w:space="0" w:color="auto"/>
              <w:right w:val="single" w:sz="4" w:space="0" w:color="auto"/>
            </w:tcBorders>
            <w:shd w:val="clear" w:color="auto" w:fill="C6EFCE"/>
            <w:noWrap/>
          </w:tcPr>
          <w:p w14:paraId="32A54B42" w14:textId="62DBBDF0" w:rsidR="00DA604C" w:rsidRPr="0051384F" w:rsidRDefault="00DA604C" w:rsidP="0066695B">
            <w:pPr>
              <w:rPr>
                <w:rFonts w:ascii="Times New Roman" w:hAnsi="Times New Roman" w:cs="Times New Roman"/>
                <w:noProof/>
                <w:color w:val="006100"/>
                <w:sz w:val="20"/>
                <w:szCs w:val="20"/>
              </w:rPr>
            </w:pPr>
            <w:r>
              <w:rPr>
                <w:rFonts w:ascii="Times New Roman" w:hAnsi="Times New Roman"/>
                <w:noProof/>
                <w:color w:val="006100"/>
                <w:sz w:val="20"/>
              </w:rPr>
              <w:t>След сключването на договори (ключов етап 305) се разработват електронни платформи и електронни услуги и се предоставят на Агенцията по заетостта и, когато е приложимо — на обществеността, включително:</w:t>
            </w:r>
          </w:p>
          <w:p w14:paraId="0A44EC43" w14:textId="77777777" w:rsidR="00DA604C" w:rsidRPr="0051384F" w:rsidRDefault="00DA604C" w:rsidP="0051384F">
            <w:pPr>
              <w:pStyle w:val="ListParagraph"/>
              <w:numPr>
                <w:ilvl w:val="0"/>
                <w:numId w:val="56"/>
              </w:numPr>
              <w:spacing w:after="0"/>
              <w:ind w:left="417"/>
              <w:rPr>
                <w:rFonts w:ascii="Times New Roman" w:hAnsi="Times New Roman" w:cs="Times New Roman"/>
                <w:noProof/>
                <w:color w:val="006100"/>
                <w:sz w:val="20"/>
                <w:szCs w:val="20"/>
              </w:rPr>
            </w:pPr>
            <w:r>
              <w:rPr>
                <w:rFonts w:ascii="Times New Roman" w:hAnsi="Times New Roman"/>
                <w:noProof/>
                <w:color w:val="006100"/>
                <w:sz w:val="20"/>
              </w:rPr>
              <w:t>информационната система на националната база данни;</w:t>
            </w:r>
          </w:p>
          <w:p w14:paraId="11286C2F" w14:textId="77777777" w:rsidR="00DA604C" w:rsidRPr="0051384F" w:rsidRDefault="00DA604C" w:rsidP="0051384F">
            <w:pPr>
              <w:pStyle w:val="ListParagraph"/>
              <w:numPr>
                <w:ilvl w:val="0"/>
                <w:numId w:val="56"/>
              </w:numPr>
              <w:ind w:left="417"/>
              <w:rPr>
                <w:rFonts w:ascii="Times New Roman" w:hAnsi="Times New Roman" w:cs="Times New Roman"/>
                <w:noProof/>
                <w:color w:val="006100"/>
                <w:sz w:val="20"/>
                <w:szCs w:val="20"/>
              </w:rPr>
            </w:pPr>
            <w:r>
              <w:rPr>
                <w:rFonts w:ascii="Times New Roman" w:hAnsi="Times New Roman"/>
                <w:noProof/>
                <w:color w:val="006100"/>
                <w:sz w:val="20"/>
              </w:rPr>
              <w:t xml:space="preserve">цифровата лабораторна платформа за намиране на съвпадения; </w:t>
            </w:r>
          </w:p>
          <w:p w14:paraId="56CAF022" w14:textId="77777777" w:rsidR="00DA604C" w:rsidRPr="0051384F" w:rsidRDefault="00DA604C" w:rsidP="0051384F">
            <w:pPr>
              <w:pStyle w:val="ListParagraph"/>
              <w:numPr>
                <w:ilvl w:val="0"/>
                <w:numId w:val="56"/>
              </w:numPr>
              <w:ind w:left="417"/>
              <w:rPr>
                <w:rFonts w:ascii="Times New Roman" w:hAnsi="Times New Roman" w:cs="Times New Roman"/>
                <w:noProof/>
                <w:color w:val="006100"/>
                <w:sz w:val="20"/>
                <w:szCs w:val="20"/>
              </w:rPr>
            </w:pPr>
            <w:r>
              <w:rPr>
                <w:rFonts w:ascii="Times New Roman" w:hAnsi="Times New Roman"/>
                <w:noProof/>
                <w:color w:val="006100"/>
                <w:sz w:val="20"/>
              </w:rPr>
              <w:t xml:space="preserve">приложението за професионално ориентиране; </w:t>
            </w:r>
          </w:p>
          <w:p w14:paraId="2624DFC8" w14:textId="59F35C1B" w:rsidR="00DA604C" w:rsidRPr="0051384F" w:rsidRDefault="00DA604C" w:rsidP="0051384F">
            <w:pPr>
              <w:pStyle w:val="ListParagraph"/>
              <w:numPr>
                <w:ilvl w:val="0"/>
                <w:numId w:val="56"/>
              </w:numPr>
              <w:ind w:left="417"/>
              <w:rPr>
                <w:rFonts w:ascii="Times New Roman" w:hAnsi="Times New Roman" w:cs="Times New Roman"/>
                <w:noProof/>
                <w:color w:val="006100"/>
                <w:sz w:val="20"/>
                <w:szCs w:val="20"/>
              </w:rPr>
            </w:pPr>
            <w:r>
              <w:rPr>
                <w:rFonts w:ascii="Times New Roman" w:hAnsi="Times New Roman"/>
                <w:noProof/>
                <w:color w:val="006100"/>
                <w:sz w:val="20"/>
              </w:rPr>
              <w:t>електронни услуги, произтичащи от по-нататъшното развитие на цифровизацията на работните направления на Агенцията.</w:t>
            </w:r>
          </w:p>
        </w:tc>
      </w:tr>
      <w:tr w:rsidR="000D78BC" w:rsidRPr="005241FC" w14:paraId="354B2488" w14:textId="77777777" w:rsidTr="702FA0E6">
        <w:trPr>
          <w:trHeight w:val="309"/>
          <w:jc w:val="center"/>
        </w:trPr>
        <w:tc>
          <w:tcPr>
            <w:tcW w:w="646" w:type="dxa"/>
            <w:tcBorders>
              <w:top w:val="nil"/>
              <w:left w:val="single" w:sz="4" w:space="0" w:color="auto"/>
              <w:bottom w:val="single" w:sz="4" w:space="0" w:color="auto"/>
              <w:right w:val="single" w:sz="4" w:space="0" w:color="auto"/>
            </w:tcBorders>
            <w:shd w:val="clear" w:color="auto" w:fill="C6EFCE"/>
            <w:noWrap/>
          </w:tcPr>
          <w:p w14:paraId="5DA4A685" w14:textId="6BEA36FA" w:rsidR="00DA604C" w:rsidRPr="0051384F" w:rsidRDefault="00DA604C" w:rsidP="007D677C">
            <w:pPr>
              <w:jc w:val="center"/>
              <w:rPr>
                <w:rFonts w:ascii="Times New Roman" w:hAnsi="Times New Roman" w:cs="Times New Roman"/>
                <w:noProof/>
                <w:color w:val="006100"/>
                <w:sz w:val="20"/>
                <w:szCs w:val="20"/>
              </w:rPr>
            </w:pPr>
            <w:r>
              <w:rPr>
                <w:rFonts w:ascii="Times New Roman" w:hAnsi="Times New Roman"/>
                <w:noProof/>
                <w:color w:val="006100"/>
                <w:sz w:val="20"/>
              </w:rPr>
              <w:t> 307</w:t>
            </w:r>
          </w:p>
        </w:tc>
        <w:tc>
          <w:tcPr>
            <w:tcW w:w="1136" w:type="dxa"/>
            <w:tcBorders>
              <w:top w:val="nil"/>
              <w:left w:val="nil"/>
              <w:bottom w:val="single" w:sz="4" w:space="0" w:color="auto"/>
              <w:right w:val="single" w:sz="4" w:space="0" w:color="auto"/>
            </w:tcBorders>
            <w:shd w:val="clear" w:color="auto" w:fill="C6EFCE"/>
            <w:noWrap/>
          </w:tcPr>
          <w:p w14:paraId="1095218C" w14:textId="44212CE5" w:rsidR="00DA604C" w:rsidRPr="0051384F" w:rsidRDefault="00DA604C" w:rsidP="003B02A1">
            <w:pPr>
              <w:rPr>
                <w:rFonts w:ascii="Times New Roman" w:hAnsi="Times New Roman" w:cs="Times New Roman"/>
                <w:noProof/>
                <w:color w:val="006100"/>
                <w:sz w:val="20"/>
                <w:szCs w:val="20"/>
              </w:rPr>
            </w:pPr>
            <w:r>
              <w:rPr>
                <w:rFonts w:ascii="Times New Roman" w:hAnsi="Times New Roman"/>
                <w:noProof/>
                <w:color w:val="006100"/>
                <w:sz w:val="20"/>
              </w:rPr>
              <w:t>C11.I6: Развитие на културния и творческия сектори</w:t>
            </w:r>
          </w:p>
        </w:tc>
        <w:tc>
          <w:tcPr>
            <w:tcW w:w="1011" w:type="dxa"/>
            <w:tcBorders>
              <w:top w:val="nil"/>
              <w:left w:val="nil"/>
              <w:bottom w:val="single" w:sz="4" w:space="0" w:color="auto"/>
              <w:right w:val="single" w:sz="4" w:space="0" w:color="auto"/>
            </w:tcBorders>
            <w:shd w:val="clear" w:color="auto" w:fill="C6EFCE"/>
            <w:noWrap/>
          </w:tcPr>
          <w:p w14:paraId="4434BA8C" w14:textId="77777777"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Ключов етап</w:t>
            </w:r>
          </w:p>
        </w:tc>
        <w:tc>
          <w:tcPr>
            <w:tcW w:w="1311" w:type="dxa"/>
            <w:tcBorders>
              <w:top w:val="nil"/>
              <w:left w:val="nil"/>
              <w:bottom w:val="single" w:sz="4" w:space="0" w:color="auto"/>
              <w:right w:val="single" w:sz="4" w:space="0" w:color="auto"/>
            </w:tcBorders>
            <w:shd w:val="clear" w:color="auto" w:fill="C6EFCE"/>
            <w:noWrap/>
          </w:tcPr>
          <w:p w14:paraId="35E559A9" w14:textId="77777777" w:rsidR="00DA604C" w:rsidRPr="0051384F" w:rsidRDefault="00DA604C" w:rsidP="0066695B">
            <w:pPr>
              <w:rPr>
                <w:rFonts w:ascii="Times New Roman" w:hAnsi="Times New Roman" w:cs="Times New Roman"/>
                <w:noProof/>
                <w:color w:val="006100"/>
                <w:sz w:val="20"/>
                <w:szCs w:val="20"/>
              </w:rPr>
            </w:pPr>
            <w:r>
              <w:rPr>
                <w:rFonts w:ascii="Times New Roman" w:hAnsi="Times New Roman"/>
                <w:noProof/>
                <w:color w:val="006100"/>
                <w:sz w:val="20"/>
              </w:rPr>
              <w:t>Влизане в сила на измененията на законодателната рамка на Национален фонд „Култура“</w:t>
            </w:r>
          </w:p>
        </w:tc>
        <w:tc>
          <w:tcPr>
            <w:tcW w:w="2004" w:type="dxa"/>
            <w:tcBorders>
              <w:top w:val="nil"/>
              <w:left w:val="nil"/>
              <w:bottom w:val="single" w:sz="4" w:space="0" w:color="auto"/>
              <w:right w:val="single" w:sz="4" w:space="0" w:color="auto"/>
            </w:tcBorders>
            <w:shd w:val="clear" w:color="auto" w:fill="C6EFCE"/>
            <w:noWrap/>
          </w:tcPr>
          <w:p w14:paraId="3AAD8934" w14:textId="77777777" w:rsidR="00DA604C" w:rsidRPr="0051384F" w:rsidRDefault="00DA604C" w:rsidP="0066695B">
            <w:pPr>
              <w:rPr>
                <w:rFonts w:ascii="Times New Roman" w:hAnsi="Times New Roman" w:cs="Times New Roman"/>
                <w:noProof/>
                <w:color w:val="006100"/>
                <w:sz w:val="20"/>
                <w:szCs w:val="20"/>
              </w:rPr>
            </w:pPr>
            <w:r>
              <w:rPr>
                <w:rFonts w:ascii="Times New Roman" w:hAnsi="Times New Roman"/>
                <w:noProof/>
                <w:color w:val="006100"/>
                <w:sz w:val="20"/>
              </w:rPr>
              <w:t>Разпоредба във вторичното законодателство, указваща влизането в сила на измененията на законодателната рамка на Национален фонд „Култура“</w:t>
            </w:r>
          </w:p>
        </w:tc>
        <w:tc>
          <w:tcPr>
            <w:tcW w:w="850" w:type="dxa"/>
            <w:tcBorders>
              <w:top w:val="nil"/>
              <w:left w:val="nil"/>
              <w:bottom w:val="single" w:sz="4" w:space="0" w:color="auto"/>
              <w:right w:val="single" w:sz="4" w:space="0" w:color="auto"/>
            </w:tcBorders>
            <w:shd w:val="clear" w:color="auto" w:fill="C6EFCE"/>
            <w:noWrap/>
          </w:tcPr>
          <w:p w14:paraId="2E755D71" w14:textId="77777777" w:rsidR="00DA604C" w:rsidRPr="008A0F8A" w:rsidRDefault="00DA604C" w:rsidP="0066695B">
            <w:pPr>
              <w:jc w:val="center"/>
              <w:rPr>
                <w:rFonts w:ascii="Times New Roman" w:hAnsi="Times New Roman" w:cs="Times New Roman"/>
                <w:noProof/>
                <w:color w:val="006100"/>
                <w:sz w:val="20"/>
                <w:szCs w:val="20"/>
                <w:lang w:val="ru-RU"/>
              </w:rPr>
            </w:pPr>
          </w:p>
        </w:tc>
        <w:tc>
          <w:tcPr>
            <w:tcW w:w="851" w:type="dxa"/>
            <w:tcBorders>
              <w:top w:val="nil"/>
              <w:left w:val="nil"/>
              <w:bottom w:val="single" w:sz="4" w:space="0" w:color="auto"/>
              <w:right w:val="single" w:sz="4" w:space="0" w:color="auto"/>
            </w:tcBorders>
            <w:shd w:val="clear" w:color="auto" w:fill="C6EFCE"/>
            <w:noWrap/>
          </w:tcPr>
          <w:p w14:paraId="678E91D0" w14:textId="77777777" w:rsidR="00DA604C" w:rsidRPr="008A0F8A" w:rsidRDefault="00DA604C" w:rsidP="0066695B">
            <w:pPr>
              <w:jc w:val="center"/>
              <w:rPr>
                <w:rFonts w:ascii="Times New Roman" w:hAnsi="Times New Roman" w:cs="Times New Roman"/>
                <w:noProof/>
                <w:color w:val="006100"/>
                <w:sz w:val="20"/>
                <w:szCs w:val="20"/>
                <w:lang w:val="ru-RU"/>
              </w:rPr>
            </w:pPr>
          </w:p>
        </w:tc>
        <w:tc>
          <w:tcPr>
            <w:tcW w:w="709" w:type="dxa"/>
            <w:tcBorders>
              <w:top w:val="nil"/>
              <w:left w:val="nil"/>
              <w:bottom w:val="single" w:sz="4" w:space="0" w:color="auto"/>
              <w:right w:val="single" w:sz="4" w:space="0" w:color="auto"/>
            </w:tcBorders>
            <w:shd w:val="clear" w:color="auto" w:fill="C6EFCE"/>
            <w:noWrap/>
          </w:tcPr>
          <w:p w14:paraId="637CC9A1" w14:textId="77777777" w:rsidR="00DA604C" w:rsidRPr="008A0F8A" w:rsidRDefault="00DA604C" w:rsidP="0066695B">
            <w:pPr>
              <w:jc w:val="center"/>
              <w:rPr>
                <w:rFonts w:ascii="Times New Roman" w:hAnsi="Times New Roman" w:cs="Times New Roman"/>
                <w:noProof/>
                <w:color w:val="006100"/>
                <w:sz w:val="20"/>
                <w:szCs w:val="20"/>
                <w:lang w:val="ru-RU"/>
              </w:rPr>
            </w:pPr>
          </w:p>
        </w:tc>
        <w:tc>
          <w:tcPr>
            <w:tcW w:w="850" w:type="dxa"/>
            <w:tcBorders>
              <w:top w:val="nil"/>
              <w:left w:val="nil"/>
              <w:bottom w:val="single" w:sz="4" w:space="0" w:color="auto"/>
              <w:right w:val="single" w:sz="4" w:space="0" w:color="auto"/>
            </w:tcBorders>
            <w:shd w:val="clear" w:color="auto" w:fill="C6EFCE"/>
            <w:noWrap/>
          </w:tcPr>
          <w:p w14:paraId="45500300" w14:textId="1096D5FB"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T1</w:t>
            </w:r>
          </w:p>
        </w:tc>
        <w:tc>
          <w:tcPr>
            <w:tcW w:w="709" w:type="dxa"/>
            <w:tcBorders>
              <w:top w:val="nil"/>
              <w:left w:val="nil"/>
              <w:bottom w:val="single" w:sz="4" w:space="0" w:color="auto"/>
              <w:right w:val="single" w:sz="4" w:space="0" w:color="auto"/>
            </w:tcBorders>
            <w:shd w:val="clear" w:color="auto" w:fill="C6EFCE"/>
            <w:noWrap/>
          </w:tcPr>
          <w:p w14:paraId="298FE4DA" w14:textId="059BACF1"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2023</w:t>
            </w:r>
          </w:p>
        </w:tc>
        <w:tc>
          <w:tcPr>
            <w:tcW w:w="4802" w:type="dxa"/>
            <w:tcBorders>
              <w:top w:val="nil"/>
              <w:left w:val="nil"/>
              <w:bottom w:val="single" w:sz="4" w:space="0" w:color="auto"/>
              <w:right w:val="single" w:sz="4" w:space="0" w:color="auto"/>
            </w:tcBorders>
            <w:shd w:val="clear" w:color="auto" w:fill="C6EFCE"/>
            <w:noWrap/>
          </w:tcPr>
          <w:p w14:paraId="104B4E79" w14:textId="65FFC074" w:rsidR="00DA604C" w:rsidRPr="0051384F" w:rsidRDefault="00DA604C"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 xml:space="preserve">Очаква се измененията да повишат ефикасността и прозрачността на публичните разходи за култура и включват следните елементи: </w:t>
            </w:r>
          </w:p>
          <w:p w14:paraId="340E322D" w14:textId="77777777" w:rsidR="00DA604C" w:rsidRPr="0051384F" w:rsidRDefault="00DA604C" w:rsidP="0051384F">
            <w:pPr>
              <w:pStyle w:val="ListParagraph"/>
              <w:numPr>
                <w:ilvl w:val="0"/>
                <w:numId w:val="56"/>
              </w:numPr>
              <w:spacing w:after="0"/>
              <w:ind w:left="360"/>
              <w:rPr>
                <w:rFonts w:ascii="Times New Roman" w:hAnsi="Times New Roman" w:cs="Times New Roman"/>
                <w:noProof/>
                <w:color w:val="006100"/>
                <w:sz w:val="20"/>
                <w:szCs w:val="20"/>
              </w:rPr>
            </w:pPr>
            <w:r>
              <w:rPr>
                <w:rFonts w:ascii="Times New Roman" w:hAnsi="Times New Roman"/>
                <w:noProof/>
                <w:color w:val="006100"/>
                <w:sz w:val="20"/>
              </w:rPr>
              <w:t>преразглеждане на организацията и на управленската структура на фонда;</w:t>
            </w:r>
          </w:p>
          <w:p w14:paraId="1FA7C75C" w14:textId="77777777" w:rsidR="00DA604C" w:rsidRPr="0051384F" w:rsidRDefault="00DA604C" w:rsidP="0051384F">
            <w:pPr>
              <w:pStyle w:val="ListParagraph"/>
              <w:numPr>
                <w:ilvl w:val="0"/>
                <w:numId w:val="56"/>
              </w:numPr>
              <w:spacing w:after="0"/>
              <w:ind w:left="360"/>
              <w:rPr>
                <w:rFonts w:ascii="Times New Roman" w:hAnsi="Times New Roman" w:cs="Times New Roman"/>
                <w:noProof/>
                <w:color w:val="006100"/>
                <w:sz w:val="20"/>
                <w:szCs w:val="20"/>
              </w:rPr>
            </w:pPr>
            <w:r>
              <w:rPr>
                <w:rFonts w:ascii="Times New Roman" w:hAnsi="Times New Roman"/>
                <w:noProof/>
                <w:color w:val="006100"/>
                <w:sz w:val="20"/>
              </w:rPr>
              <w:t>механизъм за наблюдение на дейностите на фонда</w:t>
            </w:r>
          </w:p>
          <w:p w14:paraId="15B3FF05" w14:textId="132E5186" w:rsidR="00DA604C" w:rsidRPr="0051384F" w:rsidRDefault="00DA604C" w:rsidP="0066695B">
            <w:pPr>
              <w:rPr>
                <w:rFonts w:ascii="Times New Roman" w:hAnsi="Times New Roman" w:cs="Times New Roman"/>
                <w:noProof/>
                <w:color w:val="006100"/>
                <w:sz w:val="20"/>
                <w:szCs w:val="20"/>
              </w:rPr>
            </w:pPr>
            <w:r>
              <w:rPr>
                <w:rFonts w:ascii="Times New Roman" w:hAnsi="Times New Roman"/>
                <w:noProof/>
                <w:color w:val="006100"/>
                <w:sz w:val="20"/>
              </w:rPr>
              <w:t>В допълнение, публикува се електронна система за управление на административните процеси на Национален фонд „Култура“.</w:t>
            </w:r>
          </w:p>
        </w:tc>
      </w:tr>
      <w:tr w:rsidR="000D78BC" w:rsidRPr="005241FC" w14:paraId="6B8A2DC7" w14:textId="77777777" w:rsidTr="702FA0E6">
        <w:trPr>
          <w:trHeight w:val="309"/>
          <w:jc w:val="center"/>
        </w:trPr>
        <w:tc>
          <w:tcPr>
            <w:tcW w:w="646" w:type="dxa"/>
            <w:tcBorders>
              <w:top w:val="nil"/>
              <w:left w:val="single" w:sz="4" w:space="0" w:color="auto"/>
              <w:bottom w:val="single" w:sz="4" w:space="0" w:color="auto"/>
              <w:right w:val="single" w:sz="4" w:space="0" w:color="auto"/>
            </w:tcBorders>
            <w:shd w:val="clear" w:color="auto" w:fill="C6EFCE"/>
            <w:noWrap/>
          </w:tcPr>
          <w:p w14:paraId="1EC54B5A" w14:textId="34632091" w:rsidR="00DA604C" w:rsidRPr="0051384F" w:rsidRDefault="007D677C" w:rsidP="0066695B">
            <w:pPr>
              <w:jc w:val="center"/>
              <w:rPr>
                <w:rFonts w:ascii="Times New Roman" w:hAnsi="Times New Roman" w:cs="Times New Roman"/>
                <w:noProof/>
                <w:color w:val="006100"/>
                <w:sz w:val="20"/>
                <w:szCs w:val="20"/>
              </w:rPr>
            </w:pPr>
            <w:r>
              <w:rPr>
                <w:rFonts w:ascii="Times New Roman" w:hAnsi="Times New Roman"/>
                <w:noProof/>
                <w:color w:val="006100"/>
                <w:sz w:val="20"/>
              </w:rPr>
              <w:t>308</w:t>
            </w:r>
          </w:p>
        </w:tc>
        <w:tc>
          <w:tcPr>
            <w:tcW w:w="1136" w:type="dxa"/>
            <w:tcBorders>
              <w:top w:val="nil"/>
              <w:left w:val="nil"/>
              <w:bottom w:val="single" w:sz="4" w:space="0" w:color="auto"/>
              <w:right w:val="single" w:sz="4" w:space="0" w:color="auto"/>
            </w:tcBorders>
            <w:shd w:val="clear" w:color="auto" w:fill="C6EFCE"/>
            <w:noWrap/>
          </w:tcPr>
          <w:p w14:paraId="11E87C49" w14:textId="47C41319" w:rsidR="00DA604C" w:rsidRPr="0051384F" w:rsidRDefault="00DA604C" w:rsidP="003B02A1">
            <w:pPr>
              <w:rPr>
                <w:rFonts w:ascii="Times New Roman" w:hAnsi="Times New Roman" w:cs="Times New Roman"/>
                <w:noProof/>
                <w:color w:val="006100"/>
                <w:sz w:val="20"/>
                <w:szCs w:val="20"/>
              </w:rPr>
            </w:pPr>
            <w:r>
              <w:rPr>
                <w:rFonts w:ascii="Times New Roman" w:hAnsi="Times New Roman"/>
                <w:noProof/>
                <w:color w:val="006100"/>
                <w:sz w:val="20"/>
              </w:rPr>
              <w:t>C11.I6: Развитие на културния и творческия сектори</w:t>
            </w:r>
          </w:p>
        </w:tc>
        <w:tc>
          <w:tcPr>
            <w:tcW w:w="1011" w:type="dxa"/>
            <w:tcBorders>
              <w:top w:val="nil"/>
              <w:left w:val="nil"/>
              <w:bottom w:val="single" w:sz="4" w:space="0" w:color="auto"/>
              <w:right w:val="single" w:sz="4" w:space="0" w:color="auto"/>
            </w:tcBorders>
            <w:shd w:val="clear" w:color="auto" w:fill="C6EFCE"/>
            <w:noWrap/>
          </w:tcPr>
          <w:p w14:paraId="1EF4C607" w14:textId="77777777" w:rsidR="00DA604C" w:rsidRPr="0051384F" w:rsidDel="00DB51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Цел</w:t>
            </w:r>
          </w:p>
        </w:tc>
        <w:tc>
          <w:tcPr>
            <w:tcW w:w="1311" w:type="dxa"/>
            <w:tcBorders>
              <w:top w:val="nil"/>
              <w:left w:val="nil"/>
              <w:bottom w:val="single" w:sz="4" w:space="0" w:color="auto"/>
              <w:right w:val="single" w:sz="4" w:space="0" w:color="auto"/>
            </w:tcBorders>
            <w:shd w:val="clear" w:color="auto" w:fill="C6EFCE"/>
            <w:noWrap/>
          </w:tcPr>
          <w:p w14:paraId="2F5DB54A" w14:textId="77777777" w:rsidR="00DA604C" w:rsidRPr="0051384F" w:rsidDel="00DB514F" w:rsidRDefault="00DA604C" w:rsidP="0066695B">
            <w:pPr>
              <w:rPr>
                <w:rFonts w:ascii="Times New Roman" w:hAnsi="Times New Roman" w:cs="Times New Roman"/>
                <w:noProof/>
                <w:color w:val="006100"/>
                <w:sz w:val="20"/>
                <w:szCs w:val="20"/>
              </w:rPr>
            </w:pPr>
            <w:r>
              <w:rPr>
                <w:rFonts w:ascii="Times New Roman" w:hAnsi="Times New Roman"/>
                <w:noProof/>
                <w:color w:val="006100"/>
                <w:sz w:val="20"/>
              </w:rPr>
              <w:t xml:space="preserve">Подкрепа за европейското културно сътрудничество </w:t>
            </w:r>
          </w:p>
        </w:tc>
        <w:tc>
          <w:tcPr>
            <w:tcW w:w="2004" w:type="dxa"/>
            <w:tcBorders>
              <w:top w:val="nil"/>
              <w:left w:val="nil"/>
              <w:bottom w:val="single" w:sz="4" w:space="0" w:color="auto"/>
              <w:right w:val="single" w:sz="4" w:space="0" w:color="auto"/>
            </w:tcBorders>
            <w:shd w:val="clear" w:color="auto" w:fill="C6EFCE"/>
            <w:noWrap/>
          </w:tcPr>
          <w:p w14:paraId="39009AF2" w14:textId="77777777" w:rsidR="00DA604C" w:rsidRPr="008A0F8A" w:rsidDel="00594D40" w:rsidRDefault="00DA604C" w:rsidP="0066695B">
            <w:pPr>
              <w:rPr>
                <w:rFonts w:ascii="Times New Roman" w:hAnsi="Times New Roman" w:cs="Times New Roman"/>
                <w:noProof/>
                <w:color w:val="006100"/>
                <w:sz w:val="20"/>
                <w:szCs w:val="20"/>
                <w:lang w:val="ru-RU"/>
              </w:rPr>
            </w:pPr>
          </w:p>
        </w:tc>
        <w:tc>
          <w:tcPr>
            <w:tcW w:w="850" w:type="dxa"/>
            <w:tcBorders>
              <w:top w:val="nil"/>
              <w:left w:val="nil"/>
              <w:bottom w:val="single" w:sz="4" w:space="0" w:color="auto"/>
              <w:right w:val="single" w:sz="4" w:space="0" w:color="auto"/>
            </w:tcBorders>
            <w:shd w:val="clear" w:color="auto" w:fill="C6EFCE"/>
            <w:noWrap/>
          </w:tcPr>
          <w:p w14:paraId="6744FF31" w14:textId="77777777"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Брой</w:t>
            </w:r>
          </w:p>
        </w:tc>
        <w:tc>
          <w:tcPr>
            <w:tcW w:w="851" w:type="dxa"/>
            <w:tcBorders>
              <w:top w:val="nil"/>
              <w:left w:val="nil"/>
              <w:bottom w:val="single" w:sz="4" w:space="0" w:color="auto"/>
              <w:right w:val="single" w:sz="4" w:space="0" w:color="auto"/>
            </w:tcBorders>
            <w:shd w:val="clear" w:color="auto" w:fill="C6EFCE"/>
            <w:noWrap/>
          </w:tcPr>
          <w:p w14:paraId="5CFEED5D" w14:textId="77777777"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0</w:t>
            </w:r>
          </w:p>
        </w:tc>
        <w:tc>
          <w:tcPr>
            <w:tcW w:w="709" w:type="dxa"/>
            <w:tcBorders>
              <w:top w:val="nil"/>
              <w:left w:val="nil"/>
              <w:bottom w:val="single" w:sz="4" w:space="0" w:color="auto"/>
              <w:right w:val="single" w:sz="4" w:space="0" w:color="auto"/>
            </w:tcBorders>
            <w:shd w:val="clear" w:color="auto" w:fill="C6EFCE"/>
            <w:noWrap/>
          </w:tcPr>
          <w:p w14:paraId="3AE4FE93" w14:textId="77777777"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203</w:t>
            </w:r>
          </w:p>
        </w:tc>
        <w:tc>
          <w:tcPr>
            <w:tcW w:w="850" w:type="dxa"/>
            <w:tcBorders>
              <w:top w:val="nil"/>
              <w:left w:val="nil"/>
              <w:bottom w:val="single" w:sz="4" w:space="0" w:color="auto"/>
              <w:right w:val="single" w:sz="4" w:space="0" w:color="auto"/>
            </w:tcBorders>
            <w:shd w:val="clear" w:color="auto" w:fill="C6EFCE"/>
            <w:noWrap/>
          </w:tcPr>
          <w:p w14:paraId="7E07158E" w14:textId="1F86FF21"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T4</w:t>
            </w:r>
          </w:p>
        </w:tc>
        <w:tc>
          <w:tcPr>
            <w:tcW w:w="709" w:type="dxa"/>
            <w:tcBorders>
              <w:top w:val="nil"/>
              <w:left w:val="nil"/>
              <w:bottom w:val="single" w:sz="4" w:space="0" w:color="auto"/>
              <w:right w:val="single" w:sz="4" w:space="0" w:color="auto"/>
            </w:tcBorders>
            <w:shd w:val="clear" w:color="auto" w:fill="C6EFCE"/>
            <w:noWrap/>
          </w:tcPr>
          <w:p w14:paraId="70D2E5B7" w14:textId="77777777"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2025</w:t>
            </w:r>
          </w:p>
        </w:tc>
        <w:tc>
          <w:tcPr>
            <w:tcW w:w="4802" w:type="dxa"/>
            <w:tcBorders>
              <w:top w:val="nil"/>
              <w:left w:val="nil"/>
              <w:bottom w:val="single" w:sz="4" w:space="0" w:color="auto"/>
              <w:right w:val="single" w:sz="4" w:space="0" w:color="auto"/>
            </w:tcBorders>
            <w:shd w:val="clear" w:color="auto" w:fill="C6EFCE"/>
            <w:noWrap/>
          </w:tcPr>
          <w:p w14:paraId="65C38481" w14:textId="77777777" w:rsidR="00DA604C" w:rsidRPr="0051384F" w:rsidRDefault="00DA604C" w:rsidP="0066695B">
            <w:pPr>
              <w:rPr>
                <w:rFonts w:ascii="Times New Roman" w:hAnsi="Times New Roman" w:cs="Times New Roman"/>
                <w:noProof/>
                <w:color w:val="006100"/>
                <w:sz w:val="20"/>
                <w:szCs w:val="20"/>
              </w:rPr>
            </w:pPr>
            <w:r>
              <w:rPr>
                <w:rFonts w:ascii="Times New Roman" w:hAnsi="Times New Roman"/>
                <w:noProof/>
                <w:color w:val="006100"/>
                <w:sz w:val="20"/>
              </w:rPr>
              <w:t>След стартирането на схемите за безвъзмездни средства на Национален фонд „Култура“ „Подкрепа за европейско културно сътрудничество“ на предприятията и едноличните търговци, работещи в културния и творческия сектори, се предоставя подкрепа с безвъзмездни средства;</w:t>
            </w:r>
          </w:p>
          <w:p w14:paraId="18BF3FC7" w14:textId="77777777" w:rsidR="00DA604C" w:rsidRPr="0051384F" w:rsidRDefault="00DA604C" w:rsidP="0066695B">
            <w:pPr>
              <w:rPr>
                <w:rFonts w:ascii="Times New Roman" w:hAnsi="Times New Roman" w:cs="Times New Roman"/>
                <w:noProof/>
                <w:color w:val="006100"/>
                <w:sz w:val="20"/>
                <w:szCs w:val="20"/>
              </w:rPr>
            </w:pPr>
            <w:r>
              <w:rPr>
                <w:rFonts w:ascii="Times New Roman" w:hAnsi="Times New Roman"/>
                <w:noProof/>
                <w:color w:val="006100"/>
                <w:sz w:val="20"/>
              </w:rPr>
              <w:t>Схемите за отпускане на безвъзмездни средства имат за цел да насърчат участието на български продукции на международни фестивали и европейски копродукции.</w:t>
            </w:r>
          </w:p>
          <w:p w14:paraId="2D737D92" w14:textId="77777777" w:rsidR="00DA604C" w:rsidRPr="0051384F" w:rsidRDefault="00DA604C" w:rsidP="0066695B">
            <w:pPr>
              <w:rPr>
                <w:rFonts w:ascii="Times New Roman" w:hAnsi="Times New Roman" w:cs="Times New Roman"/>
                <w:noProof/>
                <w:color w:val="006100"/>
                <w:sz w:val="20"/>
                <w:szCs w:val="20"/>
              </w:rPr>
            </w:pPr>
            <w:r>
              <w:rPr>
                <w:rFonts w:ascii="Times New Roman" w:hAnsi="Times New Roman"/>
                <w:noProof/>
                <w:color w:val="006100"/>
                <w:sz w:val="20"/>
              </w:rPr>
              <w:t>Схемата за отпускане на безвъзмездни средства включва две публични покани за представяне на оферти, проведени в четири сесии. Размерът на безвъзмездните средства по първата покана е между 100 000 лв. и 500 000 лв. с 10 % съфинансиране от бенефициерите. Размерът на безвъзмездните средства по втората покана е между 70 000 лв. и 142 000 лв. с 10 % съфинансиране от бенефициерите.</w:t>
            </w:r>
          </w:p>
          <w:p w14:paraId="7BFE72E1" w14:textId="41D60BC3" w:rsidR="00167984" w:rsidRPr="0051384F" w:rsidRDefault="00167984" w:rsidP="0066695B">
            <w:pPr>
              <w:rPr>
                <w:rFonts w:ascii="Times New Roman" w:hAnsi="Times New Roman" w:cs="Times New Roman"/>
                <w:noProof/>
                <w:color w:val="006100"/>
                <w:sz w:val="20"/>
                <w:szCs w:val="20"/>
              </w:rPr>
            </w:pPr>
            <w:r>
              <w:rPr>
                <w:rFonts w:ascii="Times New Roman" w:hAnsi="Times New Roman"/>
                <w:noProof/>
                <w:color w:val="006100"/>
                <w:sz w:val="20"/>
              </w:rPr>
              <w:t>Бенефициерите се избират чрез състезателни процедури въз основа на предварително определени критерии.</w:t>
            </w:r>
          </w:p>
        </w:tc>
      </w:tr>
      <w:tr w:rsidR="000D78BC" w:rsidRPr="005241FC" w14:paraId="0D35FDD2" w14:textId="77777777" w:rsidTr="702FA0E6">
        <w:trPr>
          <w:trHeight w:val="309"/>
          <w:jc w:val="center"/>
        </w:trPr>
        <w:tc>
          <w:tcPr>
            <w:tcW w:w="646" w:type="dxa"/>
            <w:tcBorders>
              <w:top w:val="nil"/>
              <w:left w:val="single" w:sz="4" w:space="0" w:color="auto"/>
              <w:bottom w:val="single" w:sz="4" w:space="0" w:color="auto"/>
              <w:right w:val="single" w:sz="4" w:space="0" w:color="auto"/>
            </w:tcBorders>
            <w:shd w:val="clear" w:color="auto" w:fill="C6EFCE"/>
            <w:noWrap/>
          </w:tcPr>
          <w:p w14:paraId="2F0B17DE" w14:textId="079F8E97" w:rsidR="00DA604C" w:rsidRPr="0051384F" w:rsidRDefault="007D677C" w:rsidP="007D677C">
            <w:pPr>
              <w:jc w:val="center"/>
              <w:rPr>
                <w:rFonts w:ascii="Times New Roman" w:hAnsi="Times New Roman" w:cs="Times New Roman"/>
                <w:noProof/>
                <w:color w:val="006100"/>
                <w:sz w:val="20"/>
                <w:szCs w:val="20"/>
              </w:rPr>
            </w:pPr>
            <w:r>
              <w:rPr>
                <w:rFonts w:ascii="Times New Roman" w:hAnsi="Times New Roman"/>
                <w:noProof/>
                <w:color w:val="006100"/>
                <w:sz w:val="20"/>
              </w:rPr>
              <w:t>309</w:t>
            </w:r>
          </w:p>
        </w:tc>
        <w:tc>
          <w:tcPr>
            <w:tcW w:w="1136" w:type="dxa"/>
            <w:tcBorders>
              <w:top w:val="nil"/>
              <w:left w:val="nil"/>
              <w:bottom w:val="single" w:sz="4" w:space="0" w:color="auto"/>
              <w:right w:val="single" w:sz="4" w:space="0" w:color="auto"/>
            </w:tcBorders>
            <w:shd w:val="clear" w:color="auto" w:fill="C6EFCE"/>
            <w:noWrap/>
          </w:tcPr>
          <w:p w14:paraId="579F5AC4" w14:textId="481D91FB" w:rsidR="00DA604C" w:rsidRPr="0051384F" w:rsidRDefault="00DA604C" w:rsidP="003B02A1">
            <w:pPr>
              <w:rPr>
                <w:rFonts w:ascii="Times New Roman" w:hAnsi="Times New Roman" w:cs="Times New Roman"/>
                <w:noProof/>
                <w:color w:val="006100"/>
                <w:sz w:val="20"/>
                <w:szCs w:val="20"/>
              </w:rPr>
            </w:pPr>
            <w:r>
              <w:rPr>
                <w:rFonts w:ascii="Times New Roman" w:hAnsi="Times New Roman"/>
                <w:noProof/>
                <w:color w:val="006100"/>
                <w:sz w:val="20"/>
              </w:rPr>
              <w:t>C11.I6: Развитие на културния и творческия сектори</w:t>
            </w:r>
          </w:p>
        </w:tc>
        <w:tc>
          <w:tcPr>
            <w:tcW w:w="1011" w:type="dxa"/>
            <w:tcBorders>
              <w:top w:val="nil"/>
              <w:left w:val="nil"/>
              <w:bottom w:val="single" w:sz="4" w:space="0" w:color="auto"/>
              <w:right w:val="single" w:sz="4" w:space="0" w:color="auto"/>
            </w:tcBorders>
            <w:shd w:val="clear" w:color="auto" w:fill="C6EFCE"/>
            <w:noWrap/>
          </w:tcPr>
          <w:p w14:paraId="1769F71C" w14:textId="77777777" w:rsidR="00DA604C" w:rsidRPr="0051384F" w:rsidDel="00DB51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Цел</w:t>
            </w:r>
          </w:p>
        </w:tc>
        <w:tc>
          <w:tcPr>
            <w:tcW w:w="1311" w:type="dxa"/>
            <w:tcBorders>
              <w:top w:val="nil"/>
              <w:left w:val="nil"/>
              <w:bottom w:val="single" w:sz="4" w:space="0" w:color="auto"/>
              <w:right w:val="single" w:sz="4" w:space="0" w:color="auto"/>
            </w:tcBorders>
            <w:shd w:val="clear" w:color="auto" w:fill="C6EFCE"/>
            <w:noWrap/>
          </w:tcPr>
          <w:p w14:paraId="5739A1D8" w14:textId="77777777" w:rsidR="00DA604C" w:rsidRPr="0051384F" w:rsidDel="00DB514F" w:rsidRDefault="00DA604C" w:rsidP="0066695B">
            <w:pPr>
              <w:rPr>
                <w:rFonts w:ascii="Times New Roman" w:hAnsi="Times New Roman" w:cs="Times New Roman"/>
                <w:noProof/>
                <w:color w:val="006100"/>
                <w:sz w:val="20"/>
                <w:szCs w:val="20"/>
              </w:rPr>
            </w:pPr>
            <w:r>
              <w:rPr>
                <w:rFonts w:ascii="Times New Roman" w:hAnsi="Times New Roman"/>
                <w:noProof/>
                <w:color w:val="006100"/>
                <w:sz w:val="20"/>
              </w:rPr>
              <w:t>Подкрепа за разпространението на културно съдържание</w:t>
            </w:r>
          </w:p>
        </w:tc>
        <w:tc>
          <w:tcPr>
            <w:tcW w:w="2004" w:type="dxa"/>
            <w:tcBorders>
              <w:top w:val="nil"/>
              <w:left w:val="nil"/>
              <w:bottom w:val="single" w:sz="4" w:space="0" w:color="auto"/>
              <w:right w:val="single" w:sz="4" w:space="0" w:color="auto"/>
            </w:tcBorders>
            <w:shd w:val="clear" w:color="auto" w:fill="C6EFCE"/>
            <w:noWrap/>
          </w:tcPr>
          <w:p w14:paraId="5902CFE8" w14:textId="77777777" w:rsidR="00DA604C" w:rsidRPr="008A0F8A" w:rsidDel="00594D40" w:rsidRDefault="00DA604C" w:rsidP="0066695B">
            <w:pPr>
              <w:rPr>
                <w:rFonts w:ascii="Times New Roman" w:hAnsi="Times New Roman" w:cs="Times New Roman"/>
                <w:noProof/>
                <w:color w:val="006100"/>
                <w:sz w:val="20"/>
                <w:szCs w:val="20"/>
                <w:lang w:val="ru-RU"/>
              </w:rPr>
            </w:pPr>
          </w:p>
        </w:tc>
        <w:tc>
          <w:tcPr>
            <w:tcW w:w="850" w:type="dxa"/>
            <w:tcBorders>
              <w:top w:val="nil"/>
              <w:left w:val="nil"/>
              <w:bottom w:val="single" w:sz="4" w:space="0" w:color="auto"/>
              <w:right w:val="single" w:sz="4" w:space="0" w:color="auto"/>
            </w:tcBorders>
            <w:shd w:val="clear" w:color="auto" w:fill="C6EFCE"/>
            <w:noWrap/>
          </w:tcPr>
          <w:p w14:paraId="5BEEDB76" w14:textId="77777777"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Брой</w:t>
            </w:r>
          </w:p>
        </w:tc>
        <w:tc>
          <w:tcPr>
            <w:tcW w:w="851" w:type="dxa"/>
            <w:tcBorders>
              <w:top w:val="nil"/>
              <w:left w:val="nil"/>
              <w:bottom w:val="single" w:sz="4" w:space="0" w:color="auto"/>
              <w:right w:val="single" w:sz="4" w:space="0" w:color="auto"/>
            </w:tcBorders>
            <w:shd w:val="clear" w:color="auto" w:fill="C6EFCE"/>
            <w:noWrap/>
          </w:tcPr>
          <w:p w14:paraId="75661215" w14:textId="77777777"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0</w:t>
            </w:r>
          </w:p>
        </w:tc>
        <w:tc>
          <w:tcPr>
            <w:tcW w:w="709" w:type="dxa"/>
            <w:tcBorders>
              <w:top w:val="nil"/>
              <w:left w:val="nil"/>
              <w:bottom w:val="single" w:sz="4" w:space="0" w:color="auto"/>
              <w:right w:val="single" w:sz="4" w:space="0" w:color="auto"/>
            </w:tcBorders>
            <w:shd w:val="clear" w:color="auto" w:fill="C6EFCE"/>
            <w:noWrap/>
          </w:tcPr>
          <w:p w14:paraId="67D0B620" w14:textId="18F6586D" w:rsidR="00DA604C" w:rsidRPr="0051384F" w:rsidRDefault="00A4716F" w:rsidP="0066695B">
            <w:pPr>
              <w:jc w:val="center"/>
              <w:rPr>
                <w:rFonts w:ascii="Times New Roman" w:hAnsi="Times New Roman" w:cs="Times New Roman"/>
                <w:noProof/>
                <w:color w:val="006100"/>
                <w:sz w:val="20"/>
                <w:szCs w:val="20"/>
              </w:rPr>
            </w:pPr>
            <w:r>
              <w:rPr>
                <w:rFonts w:ascii="Times New Roman" w:hAnsi="Times New Roman"/>
                <w:noProof/>
                <w:color w:val="006100"/>
                <w:sz w:val="20"/>
              </w:rPr>
              <w:t>416</w:t>
            </w:r>
          </w:p>
        </w:tc>
        <w:tc>
          <w:tcPr>
            <w:tcW w:w="850" w:type="dxa"/>
            <w:tcBorders>
              <w:top w:val="nil"/>
              <w:left w:val="nil"/>
              <w:bottom w:val="single" w:sz="4" w:space="0" w:color="auto"/>
              <w:right w:val="single" w:sz="4" w:space="0" w:color="auto"/>
            </w:tcBorders>
            <w:shd w:val="clear" w:color="auto" w:fill="C6EFCE"/>
            <w:noWrap/>
          </w:tcPr>
          <w:p w14:paraId="4CE7C543" w14:textId="30111C04" w:rsidR="00DA604C" w:rsidRPr="0051384F" w:rsidRDefault="00DA604C" w:rsidP="00C62FF2">
            <w:pPr>
              <w:jc w:val="center"/>
              <w:rPr>
                <w:rFonts w:ascii="Times New Roman" w:hAnsi="Times New Roman" w:cs="Times New Roman"/>
                <w:noProof/>
                <w:color w:val="006100"/>
                <w:sz w:val="20"/>
                <w:szCs w:val="20"/>
              </w:rPr>
            </w:pPr>
            <w:r>
              <w:rPr>
                <w:rFonts w:ascii="Times New Roman" w:hAnsi="Times New Roman"/>
                <w:noProof/>
                <w:color w:val="006100"/>
                <w:sz w:val="20"/>
              </w:rPr>
              <w:t>T4</w:t>
            </w:r>
          </w:p>
        </w:tc>
        <w:tc>
          <w:tcPr>
            <w:tcW w:w="709" w:type="dxa"/>
            <w:tcBorders>
              <w:top w:val="nil"/>
              <w:left w:val="nil"/>
              <w:bottom w:val="single" w:sz="4" w:space="0" w:color="auto"/>
              <w:right w:val="single" w:sz="4" w:space="0" w:color="auto"/>
            </w:tcBorders>
            <w:shd w:val="clear" w:color="auto" w:fill="C6EFCE"/>
            <w:noWrap/>
          </w:tcPr>
          <w:p w14:paraId="72877ACC" w14:textId="77777777"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2025</w:t>
            </w:r>
          </w:p>
        </w:tc>
        <w:tc>
          <w:tcPr>
            <w:tcW w:w="4802" w:type="dxa"/>
            <w:tcBorders>
              <w:top w:val="nil"/>
              <w:left w:val="nil"/>
              <w:bottom w:val="single" w:sz="4" w:space="0" w:color="auto"/>
              <w:right w:val="single" w:sz="4" w:space="0" w:color="auto"/>
            </w:tcBorders>
            <w:shd w:val="clear" w:color="auto" w:fill="C6EFCE"/>
            <w:noWrap/>
          </w:tcPr>
          <w:p w14:paraId="65A589DD" w14:textId="753CB277" w:rsidR="00DA604C" w:rsidRPr="0051384F" w:rsidRDefault="00DA604C" w:rsidP="0066695B">
            <w:pPr>
              <w:rPr>
                <w:rFonts w:ascii="Times New Roman" w:hAnsi="Times New Roman" w:cs="Times New Roman"/>
                <w:noProof/>
                <w:color w:val="006100"/>
                <w:sz w:val="20"/>
                <w:szCs w:val="20"/>
              </w:rPr>
            </w:pPr>
            <w:r>
              <w:rPr>
                <w:rFonts w:ascii="Times New Roman" w:hAnsi="Times New Roman"/>
                <w:noProof/>
                <w:color w:val="006100"/>
                <w:sz w:val="20"/>
              </w:rPr>
              <w:t xml:space="preserve">След стартирането на схемите за безвъзмездни средства на Национален фонд „Култура“ „Подкрепа за развитие и достъп на публиката“ на предприятията и едноличните търговци, работещи в културния и творческия сектори, се предоставя подкрепа с безвъзмездни средства. Целта на схемите за отпускане на безвъзмездни средства е да се насърчи разпространението и предлагането на пазара на културно съдържание на цялата територия. Това се очаква да включва презентации, които могат да се провеждат лично или онлайн. </w:t>
            </w:r>
          </w:p>
          <w:p w14:paraId="79FE05F7" w14:textId="77777777" w:rsidR="00DA604C" w:rsidRPr="0051384F" w:rsidRDefault="00DA604C" w:rsidP="0066695B">
            <w:pPr>
              <w:rPr>
                <w:rFonts w:ascii="Times New Roman" w:hAnsi="Times New Roman" w:cs="Times New Roman"/>
                <w:noProof/>
                <w:color w:val="006100"/>
                <w:sz w:val="20"/>
                <w:szCs w:val="20"/>
              </w:rPr>
            </w:pPr>
            <w:r>
              <w:rPr>
                <w:rFonts w:ascii="Times New Roman" w:hAnsi="Times New Roman"/>
                <w:noProof/>
                <w:color w:val="006100"/>
                <w:sz w:val="20"/>
              </w:rPr>
              <w:t>В рамките на програмата се отправят две покани за представяне на оферти. Размерът на безвъзмездните средства по първата покана е между 20 000 лв. и 120 000 лв. с 10 % съфинансиране от бенефициерите. Размерът на безвъзмездните средства по втората покана е между 6 000 лв. и 16 000 лв. с 10 % съфинансиране от бенефициерите.</w:t>
            </w:r>
          </w:p>
          <w:p w14:paraId="1AA6D494" w14:textId="636F5C38" w:rsidR="00167984" w:rsidRPr="0051384F" w:rsidRDefault="00167984" w:rsidP="0066695B">
            <w:pPr>
              <w:rPr>
                <w:rFonts w:ascii="Times New Roman" w:hAnsi="Times New Roman" w:cs="Times New Roman"/>
                <w:noProof/>
                <w:color w:val="006100"/>
                <w:sz w:val="20"/>
                <w:szCs w:val="20"/>
              </w:rPr>
            </w:pPr>
            <w:r>
              <w:rPr>
                <w:rFonts w:ascii="Times New Roman" w:hAnsi="Times New Roman"/>
                <w:noProof/>
                <w:color w:val="006100"/>
                <w:sz w:val="20"/>
              </w:rPr>
              <w:t>Бенефициерите се избират чрез състезателни процедури въз основа на предварително определени критерии.</w:t>
            </w:r>
          </w:p>
        </w:tc>
      </w:tr>
      <w:tr w:rsidR="000D78BC" w:rsidRPr="005241FC" w:rsidDel="001B2668" w14:paraId="497A03A4" w14:textId="77777777" w:rsidTr="702FA0E6">
        <w:trPr>
          <w:trHeight w:val="309"/>
          <w:jc w:val="center"/>
        </w:trPr>
        <w:tc>
          <w:tcPr>
            <w:tcW w:w="646" w:type="dxa"/>
            <w:tcBorders>
              <w:top w:val="nil"/>
              <w:left w:val="single" w:sz="4" w:space="0" w:color="auto"/>
              <w:bottom w:val="single" w:sz="4" w:space="0" w:color="auto"/>
              <w:right w:val="single" w:sz="4" w:space="0" w:color="auto"/>
            </w:tcBorders>
            <w:shd w:val="clear" w:color="auto" w:fill="C6EFCE"/>
            <w:noWrap/>
          </w:tcPr>
          <w:p w14:paraId="6B5722C6" w14:textId="163A3DB6" w:rsidR="00DA604C" w:rsidRPr="0051384F" w:rsidDel="001B2668" w:rsidRDefault="007D677C" w:rsidP="0066695B">
            <w:pPr>
              <w:jc w:val="center"/>
              <w:rPr>
                <w:rFonts w:ascii="Times New Roman" w:hAnsi="Times New Roman" w:cs="Times New Roman"/>
                <w:noProof/>
                <w:color w:val="006100"/>
                <w:sz w:val="20"/>
                <w:szCs w:val="20"/>
              </w:rPr>
            </w:pPr>
            <w:r>
              <w:rPr>
                <w:rFonts w:ascii="Times New Roman" w:hAnsi="Times New Roman"/>
                <w:noProof/>
                <w:color w:val="006100"/>
                <w:sz w:val="20"/>
              </w:rPr>
              <w:t>310</w:t>
            </w:r>
          </w:p>
        </w:tc>
        <w:tc>
          <w:tcPr>
            <w:tcW w:w="1136" w:type="dxa"/>
            <w:tcBorders>
              <w:top w:val="nil"/>
              <w:left w:val="nil"/>
              <w:bottom w:val="single" w:sz="4" w:space="0" w:color="auto"/>
              <w:right w:val="single" w:sz="4" w:space="0" w:color="auto"/>
            </w:tcBorders>
            <w:shd w:val="clear" w:color="auto" w:fill="C6EFCE"/>
            <w:noWrap/>
          </w:tcPr>
          <w:p w14:paraId="08DDFCB2" w14:textId="3176133D" w:rsidR="00DA604C" w:rsidRPr="0051384F" w:rsidDel="001B2668" w:rsidRDefault="00DA604C" w:rsidP="003B02A1">
            <w:pPr>
              <w:rPr>
                <w:rFonts w:ascii="Times New Roman" w:hAnsi="Times New Roman" w:cs="Times New Roman"/>
                <w:noProof/>
                <w:color w:val="006100"/>
                <w:sz w:val="20"/>
                <w:szCs w:val="20"/>
              </w:rPr>
            </w:pPr>
            <w:r>
              <w:rPr>
                <w:rFonts w:ascii="Times New Roman" w:hAnsi="Times New Roman"/>
                <w:noProof/>
                <w:color w:val="006100"/>
                <w:sz w:val="20"/>
              </w:rPr>
              <w:t>C11.I6: Развитие на културния и творческия сектори</w:t>
            </w:r>
          </w:p>
        </w:tc>
        <w:tc>
          <w:tcPr>
            <w:tcW w:w="1011" w:type="dxa"/>
            <w:tcBorders>
              <w:top w:val="nil"/>
              <w:left w:val="nil"/>
              <w:bottom w:val="single" w:sz="4" w:space="0" w:color="auto"/>
              <w:right w:val="single" w:sz="4" w:space="0" w:color="auto"/>
            </w:tcBorders>
            <w:shd w:val="clear" w:color="auto" w:fill="C6EFCE"/>
            <w:noWrap/>
          </w:tcPr>
          <w:p w14:paraId="4733E865" w14:textId="77777777" w:rsidR="00DA604C" w:rsidRPr="0051384F" w:rsidDel="001B2668"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Цел</w:t>
            </w:r>
          </w:p>
        </w:tc>
        <w:tc>
          <w:tcPr>
            <w:tcW w:w="1311" w:type="dxa"/>
            <w:tcBorders>
              <w:top w:val="nil"/>
              <w:left w:val="nil"/>
              <w:bottom w:val="single" w:sz="4" w:space="0" w:color="auto"/>
              <w:right w:val="single" w:sz="4" w:space="0" w:color="auto"/>
            </w:tcBorders>
            <w:shd w:val="clear" w:color="auto" w:fill="C6EFCE"/>
            <w:noWrap/>
          </w:tcPr>
          <w:p w14:paraId="2D673938" w14:textId="77777777" w:rsidR="00DA604C" w:rsidRPr="0051384F" w:rsidDel="001B2668" w:rsidRDefault="00DA604C" w:rsidP="0066695B">
            <w:pPr>
              <w:rPr>
                <w:rFonts w:ascii="Times New Roman" w:hAnsi="Times New Roman" w:cs="Times New Roman"/>
                <w:noProof/>
                <w:color w:val="006100"/>
                <w:sz w:val="20"/>
                <w:szCs w:val="20"/>
              </w:rPr>
            </w:pPr>
            <w:r>
              <w:rPr>
                <w:rFonts w:ascii="Times New Roman" w:hAnsi="Times New Roman"/>
                <w:noProof/>
                <w:color w:val="006100"/>
                <w:sz w:val="20"/>
              </w:rPr>
              <w:t>Подкрепа за културните политики на общините в България</w:t>
            </w:r>
          </w:p>
        </w:tc>
        <w:tc>
          <w:tcPr>
            <w:tcW w:w="2004" w:type="dxa"/>
            <w:tcBorders>
              <w:top w:val="nil"/>
              <w:left w:val="nil"/>
              <w:bottom w:val="single" w:sz="4" w:space="0" w:color="auto"/>
              <w:right w:val="single" w:sz="4" w:space="0" w:color="auto"/>
            </w:tcBorders>
            <w:shd w:val="clear" w:color="auto" w:fill="C6EFCE"/>
            <w:noWrap/>
          </w:tcPr>
          <w:p w14:paraId="6C0ADA9B" w14:textId="77777777" w:rsidR="00DA604C" w:rsidRPr="008A0F8A" w:rsidDel="001B2668" w:rsidRDefault="00DA604C" w:rsidP="0066695B">
            <w:pPr>
              <w:rPr>
                <w:rFonts w:ascii="Times New Roman" w:hAnsi="Times New Roman" w:cs="Times New Roman"/>
                <w:noProof/>
                <w:color w:val="006100"/>
                <w:sz w:val="20"/>
                <w:szCs w:val="20"/>
                <w:lang w:val="ru-RU"/>
              </w:rPr>
            </w:pPr>
          </w:p>
        </w:tc>
        <w:tc>
          <w:tcPr>
            <w:tcW w:w="850" w:type="dxa"/>
            <w:tcBorders>
              <w:top w:val="nil"/>
              <w:left w:val="nil"/>
              <w:bottom w:val="single" w:sz="4" w:space="0" w:color="auto"/>
              <w:right w:val="single" w:sz="4" w:space="0" w:color="auto"/>
            </w:tcBorders>
            <w:shd w:val="clear" w:color="auto" w:fill="C6EFCE"/>
            <w:noWrap/>
          </w:tcPr>
          <w:p w14:paraId="77714E29" w14:textId="77777777" w:rsidR="00DA604C" w:rsidRPr="0051384F" w:rsidDel="001B2668"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Брой</w:t>
            </w:r>
          </w:p>
        </w:tc>
        <w:tc>
          <w:tcPr>
            <w:tcW w:w="851" w:type="dxa"/>
            <w:tcBorders>
              <w:top w:val="nil"/>
              <w:left w:val="nil"/>
              <w:bottom w:val="single" w:sz="4" w:space="0" w:color="auto"/>
              <w:right w:val="single" w:sz="4" w:space="0" w:color="auto"/>
            </w:tcBorders>
            <w:shd w:val="clear" w:color="auto" w:fill="C6EFCE"/>
            <w:noWrap/>
          </w:tcPr>
          <w:p w14:paraId="50D083CA" w14:textId="77777777" w:rsidR="00DA604C" w:rsidRPr="0051384F" w:rsidDel="001B2668"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0</w:t>
            </w:r>
          </w:p>
        </w:tc>
        <w:tc>
          <w:tcPr>
            <w:tcW w:w="709" w:type="dxa"/>
            <w:tcBorders>
              <w:top w:val="nil"/>
              <w:left w:val="nil"/>
              <w:bottom w:val="single" w:sz="4" w:space="0" w:color="auto"/>
              <w:right w:val="single" w:sz="4" w:space="0" w:color="auto"/>
            </w:tcBorders>
            <w:shd w:val="clear" w:color="auto" w:fill="C6EFCE"/>
            <w:noWrap/>
          </w:tcPr>
          <w:p w14:paraId="6A5CB0D3" w14:textId="77777777" w:rsidR="00DA604C" w:rsidRPr="0051384F" w:rsidDel="001B2668"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82</w:t>
            </w:r>
          </w:p>
        </w:tc>
        <w:tc>
          <w:tcPr>
            <w:tcW w:w="850" w:type="dxa"/>
            <w:tcBorders>
              <w:top w:val="nil"/>
              <w:left w:val="nil"/>
              <w:bottom w:val="single" w:sz="4" w:space="0" w:color="auto"/>
              <w:right w:val="single" w:sz="4" w:space="0" w:color="auto"/>
            </w:tcBorders>
            <w:shd w:val="clear" w:color="auto" w:fill="C6EFCE"/>
            <w:noWrap/>
          </w:tcPr>
          <w:p w14:paraId="00F883B2" w14:textId="3DAB135B" w:rsidR="00DA604C" w:rsidRPr="0051384F" w:rsidDel="001B2668"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T4</w:t>
            </w:r>
          </w:p>
        </w:tc>
        <w:tc>
          <w:tcPr>
            <w:tcW w:w="709" w:type="dxa"/>
            <w:tcBorders>
              <w:top w:val="nil"/>
              <w:left w:val="nil"/>
              <w:bottom w:val="single" w:sz="4" w:space="0" w:color="auto"/>
              <w:right w:val="single" w:sz="4" w:space="0" w:color="auto"/>
            </w:tcBorders>
            <w:shd w:val="clear" w:color="auto" w:fill="C6EFCE"/>
            <w:noWrap/>
          </w:tcPr>
          <w:p w14:paraId="58E0EC80" w14:textId="77777777" w:rsidR="00DA604C" w:rsidRPr="0051384F" w:rsidDel="001B2668"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2025</w:t>
            </w:r>
          </w:p>
        </w:tc>
        <w:tc>
          <w:tcPr>
            <w:tcW w:w="4802" w:type="dxa"/>
            <w:tcBorders>
              <w:top w:val="nil"/>
              <w:left w:val="nil"/>
              <w:bottom w:val="single" w:sz="4" w:space="0" w:color="auto"/>
              <w:right w:val="single" w:sz="4" w:space="0" w:color="auto"/>
            </w:tcBorders>
            <w:shd w:val="clear" w:color="auto" w:fill="C6EFCE"/>
            <w:noWrap/>
          </w:tcPr>
          <w:p w14:paraId="47DDC41E" w14:textId="77777777" w:rsidR="00DA604C" w:rsidRPr="0051384F" w:rsidRDefault="00DA604C" w:rsidP="0066695B">
            <w:pPr>
              <w:rPr>
                <w:rFonts w:ascii="Times New Roman" w:hAnsi="Times New Roman" w:cs="Times New Roman"/>
                <w:noProof/>
                <w:color w:val="006100"/>
                <w:sz w:val="20"/>
                <w:szCs w:val="20"/>
              </w:rPr>
            </w:pPr>
            <w:r>
              <w:rPr>
                <w:rFonts w:ascii="Times New Roman" w:hAnsi="Times New Roman"/>
                <w:noProof/>
                <w:color w:val="006100"/>
                <w:sz w:val="20"/>
              </w:rPr>
              <w:t xml:space="preserve">След стартирането на схемите за безвъзмездни средства на Национален фонд „Култура“ „Ново поколение местни културни политики“ на общините в България се предоставя подкрепа с безвъзмездни средства. </w:t>
            </w:r>
          </w:p>
          <w:p w14:paraId="21B97B22" w14:textId="77777777" w:rsidR="00DA604C" w:rsidRPr="0051384F" w:rsidRDefault="00DA604C" w:rsidP="0066695B">
            <w:pPr>
              <w:rPr>
                <w:rFonts w:ascii="Times New Roman" w:hAnsi="Times New Roman" w:cs="Times New Roman"/>
                <w:noProof/>
                <w:color w:val="006100"/>
                <w:sz w:val="20"/>
                <w:szCs w:val="20"/>
              </w:rPr>
            </w:pPr>
            <w:r>
              <w:rPr>
                <w:rFonts w:ascii="Times New Roman" w:hAnsi="Times New Roman"/>
                <w:noProof/>
                <w:color w:val="006100"/>
                <w:sz w:val="20"/>
              </w:rPr>
              <w:t xml:space="preserve">Схемата за отпускане на безвъзмездни средства има за цел да финансира мерки, насочени към културния и творческия сектори в общините в България. </w:t>
            </w:r>
          </w:p>
          <w:p w14:paraId="63B57EB9" w14:textId="77777777" w:rsidR="00DA604C" w:rsidRPr="0051384F" w:rsidRDefault="00DA604C" w:rsidP="0066695B">
            <w:pPr>
              <w:rPr>
                <w:rFonts w:ascii="Times New Roman" w:hAnsi="Times New Roman" w:cs="Times New Roman"/>
                <w:noProof/>
                <w:color w:val="006100"/>
                <w:sz w:val="20"/>
                <w:szCs w:val="20"/>
              </w:rPr>
            </w:pPr>
            <w:r>
              <w:rPr>
                <w:rFonts w:ascii="Times New Roman" w:hAnsi="Times New Roman"/>
                <w:noProof/>
                <w:color w:val="006100"/>
                <w:sz w:val="20"/>
              </w:rPr>
              <w:t xml:space="preserve">В рамките на програмата се отправят две покани за представяне на оферти. </w:t>
            </w:r>
          </w:p>
          <w:p w14:paraId="063620F8" w14:textId="77777777" w:rsidR="00DA604C" w:rsidRPr="0051384F" w:rsidRDefault="00DA604C" w:rsidP="0066695B">
            <w:pPr>
              <w:rPr>
                <w:rFonts w:ascii="Times New Roman" w:hAnsi="Times New Roman" w:cs="Times New Roman"/>
                <w:noProof/>
                <w:color w:val="006100"/>
                <w:sz w:val="20"/>
                <w:szCs w:val="20"/>
              </w:rPr>
            </w:pPr>
            <w:r>
              <w:rPr>
                <w:rFonts w:ascii="Times New Roman" w:hAnsi="Times New Roman"/>
                <w:noProof/>
                <w:color w:val="006100"/>
                <w:sz w:val="20"/>
              </w:rPr>
              <w:t>Първата покана е насочена към големите общини и размерът на безвъзмездните средства е между 500 000 лв. и 2 000 000 лв. с 50 % съфинансиране от бенефициерите. Втората покана е насочена към малките общини и размерът на безвъзмездните средства е между 100 000 лв. и 200 000 лв. с 25 % съфинансиране от бенефициерите.</w:t>
            </w:r>
          </w:p>
          <w:p w14:paraId="44CB61F6" w14:textId="388110C6" w:rsidR="00167984" w:rsidRPr="0051384F" w:rsidDel="001B2668" w:rsidRDefault="00167984" w:rsidP="0066695B">
            <w:pPr>
              <w:rPr>
                <w:rFonts w:ascii="Times New Roman" w:hAnsi="Times New Roman" w:cs="Times New Roman"/>
                <w:noProof/>
                <w:color w:val="006100"/>
                <w:sz w:val="20"/>
                <w:szCs w:val="20"/>
              </w:rPr>
            </w:pPr>
            <w:r>
              <w:rPr>
                <w:rFonts w:ascii="Times New Roman" w:hAnsi="Times New Roman"/>
                <w:noProof/>
                <w:color w:val="006100"/>
                <w:sz w:val="20"/>
              </w:rPr>
              <w:t>Бенефициерите се избират чрез състезателни процедури въз основа на предварително определени критерии.</w:t>
            </w:r>
          </w:p>
        </w:tc>
      </w:tr>
      <w:tr w:rsidR="000D78BC" w:rsidRPr="005241FC" w14:paraId="7422897F" w14:textId="77777777" w:rsidTr="702FA0E6">
        <w:trPr>
          <w:trHeight w:val="309"/>
          <w:jc w:val="center"/>
        </w:trPr>
        <w:tc>
          <w:tcPr>
            <w:tcW w:w="646" w:type="dxa"/>
            <w:tcBorders>
              <w:top w:val="single" w:sz="4" w:space="0" w:color="auto"/>
              <w:left w:val="single" w:sz="4" w:space="0" w:color="auto"/>
              <w:bottom w:val="single" w:sz="4" w:space="0" w:color="auto"/>
              <w:right w:val="single" w:sz="4" w:space="0" w:color="auto"/>
            </w:tcBorders>
            <w:shd w:val="clear" w:color="auto" w:fill="C6EFCE"/>
            <w:noWrap/>
          </w:tcPr>
          <w:p w14:paraId="68EA8C48" w14:textId="031BBFDF" w:rsidR="00DA604C" w:rsidRPr="0051384F" w:rsidRDefault="007D677C" w:rsidP="0066695B">
            <w:pPr>
              <w:jc w:val="center"/>
              <w:rPr>
                <w:rFonts w:ascii="Times New Roman" w:hAnsi="Times New Roman" w:cs="Times New Roman"/>
                <w:noProof/>
                <w:color w:val="006100"/>
                <w:sz w:val="20"/>
                <w:szCs w:val="20"/>
              </w:rPr>
            </w:pPr>
            <w:r>
              <w:rPr>
                <w:rFonts w:ascii="Times New Roman" w:hAnsi="Times New Roman"/>
                <w:noProof/>
                <w:color w:val="006100"/>
                <w:sz w:val="20"/>
              </w:rPr>
              <w:t>311</w:t>
            </w:r>
          </w:p>
        </w:tc>
        <w:tc>
          <w:tcPr>
            <w:tcW w:w="1136" w:type="dxa"/>
            <w:tcBorders>
              <w:top w:val="single" w:sz="4" w:space="0" w:color="auto"/>
              <w:left w:val="single" w:sz="4" w:space="0" w:color="auto"/>
              <w:bottom w:val="single" w:sz="4" w:space="0" w:color="auto"/>
              <w:right w:val="single" w:sz="4" w:space="0" w:color="auto"/>
            </w:tcBorders>
            <w:shd w:val="clear" w:color="auto" w:fill="C6EFCE"/>
            <w:noWrap/>
          </w:tcPr>
          <w:p w14:paraId="0914A0F8" w14:textId="19CCE8D3" w:rsidR="00DA604C" w:rsidRPr="0051384F" w:rsidRDefault="00DA604C" w:rsidP="003B02A1">
            <w:pPr>
              <w:rPr>
                <w:rFonts w:ascii="Times New Roman" w:hAnsi="Times New Roman" w:cs="Times New Roman"/>
                <w:noProof/>
                <w:color w:val="006100"/>
                <w:sz w:val="20"/>
                <w:szCs w:val="20"/>
              </w:rPr>
            </w:pPr>
            <w:r>
              <w:rPr>
                <w:rFonts w:ascii="Times New Roman" w:hAnsi="Times New Roman"/>
                <w:noProof/>
                <w:color w:val="006100"/>
                <w:sz w:val="20"/>
              </w:rPr>
              <w:t>C11.I6: Развитие на културния и творческия сектори</w:t>
            </w:r>
          </w:p>
        </w:tc>
        <w:tc>
          <w:tcPr>
            <w:tcW w:w="1011" w:type="dxa"/>
            <w:tcBorders>
              <w:top w:val="single" w:sz="4" w:space="0" w:color="auto"/>
              <w:left w:val="single" w:sz="4" w:space="0" w:color="auto"/>
              <w:bottom w:val="single" w:sz="4" w:space="0" w:color="auto"/>
              <w:right w:val="single" w:sz="4" w:space="0" w:color="auto"/>
            </w:tcBorders>
            <w:shd w:val="clear" w:color="auto" w:fill="C6EFCE"/>
            <w:noWrap/>
          </w:tcPr>
          <w:p w14:paraId="776FF267" w14:textId="77777777"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Цел</w:t>
            </w:r>
          </w:p>
        </w:tc>
        <w:tc>
          <w:tcPr>
            <w:tcW w:w="1311" w:type="dxa"/>
            <w:tcBorders>
              <w:top w:val="single" w:sz="4" w:space="0" w:color="auto"/>
              <w:left w:val="single" w:sz="4" w:space="0" w:color="auto"/>
              <w:bottom w:val="single" w:sz="4" w:space="0" w:color="auto"/>
              <w:right w:val="single" w:sz="4" w:space="0" w:color="auto"/>
            </w:tcBorders>
            <w:shd w:val="clear" w:color="auto" w:fill="C6EFCE"/>
            <w:noWrap/>
          </w:tcPr>
          <w:p w14:paraId="1CB34EFC" w14:textId="77777777" w:rsidR="00DA604C" w:rsidRPr="0051384F" w:rsidRDefault="00DA604C" w:rsidP="0066695B">
            <w:pPr>
              <w:rPr>
                <w:rFonts w:ascii="Times New Roman" w:hAnsi="Times New Roman" w:cs="Times New Roman"/>
                <w:noProof/>
                <w:color w:val="006100"/>
                <w:sz w:val="20"/>
                <w:szCs w:val="20"/>
              </w:rPr>
            </w:pPr>
            <w:r>
              <w:rPr>
                <w:rFonts w:ascii="Times New Roman" w:hAnsi="Times New Roman"/>
                <w:noProof/>
                <w:color w:val="006100"/>
                <w:sz w:val="20"/>
              </w:rPr>
              <w:t>Хора, работещи в културния и творческия сектори, които са завършили обучение</w:t>
            </w:r>
          </w:p>
        </w:tc>
        <w:tc>
          <w:tcPr>
            <w:tcW w:w="2004" w:type="dxa"/>
            <w:tcBorders>
              <w:top w:val="single" w:sz="4" w:space="0" w:color="auto"/>
              <w:left w:val="single" w:sz="4" w:space="0" w:color="auto"/>
              <w:bottom w:val="single" w:sz="4" w:space="0" w:color="auto"/>
              <w:right w:val="single" w:sz="4" w:space="0" w:color="auto"/>
            </w:tcBorders>
            <w:shd w:val="clear" w:color="auto" w:fill="C6EFCE"/>
            <w:noWrap/>
          </w:tcPr>
          <w:p w14:paraId="25E9CCE0" w14:textId="77777777" w:rsidR="00DA604C" w:rsidRPr="008A0F8A" w:rsidRDefault="00DA604C" w:rsidP="0066695B">
            <w:pPr>
              <w:rPr>
                <w:rFonts w:ascii="Times New Roman" w:hAnsi="Times New Roman" w:cs="Times New Roman"/>
                <w:noProof/>
                <w:color w:val="006100"/>
                <w:sz w:val="20"/>
                <w:szCs w:val="20"/>
                <w:lang w:val="ru-RU"/>
              </w:rPr>
            </w:pP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14:paraId="1565711D" w14:textId="77777777"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Брой</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14:paraId="6FB120CD" w14:textId="77777777"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0</w:t>
            </w:r>
          </w:p>
        </w:tc>
        <w:tc>
          <w:tcPr>
            <w:tcW w:w="709" w:type="dxa"/>
            <w:tcBorders>
              <w:top w:val="single" w:sz="4" w:space="0" w:color="auto"/>
              <w:left w:val="single" w:sz="4" w:space="0" w:color="auto"/>
              <w:bottom w:val="single" w:sz="4" w:space="0" w:color="auto"/>
              <w:right w:val="single" w:sz="4" w:space="0" w:color="auto"/>
            </w:tcBorders>
            <w:shd w:val="clear" w:color="auto" w:fill="C6EFCE"/>
            <w:noWrap/>
          </w:tcPr>
          <w:p w14:paraId="79444C4F" w14:textId="77777777"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600</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14:paraId="4C306C02" w14:textId="67126804"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T1</w:t>
            </w:r>
          </w:p>
        </w:tc>
        <w:tc>
          <w:tcPr>
            <w:tcW w:w="709" w:type="dxa"/>
            <w:tcBorders>
              <w:top w:val="single" w:sz="4" w:space="0" w:color="auto"/>
              <w:left w:val="single" w:sz="4" w:space="0" w:color="auto"/>
              <w:bottom w:val="single" w:sz="4" w:space="0" w:color="auto"/>
              <w:right w:val="single" w:sz="4" w:space="0" w:color="auto"/>
            </w:tcBorders>
            <w:shd w:val="clear" w:color="auto" w:fill="C6EFCE"/>
            <w:noWrap/>
          </w:tcPr>
          <w:p w14:paraId="78AC658F" w14:textId="77777777"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2025</w:t>
            </w:r>
          </w:p>
        </w:tc>
        <w:tc>
          <w:tcPr>
            <w:tcW w:w="4802" w:type="dxa"/>
            <w:tcBorders>
              <w:top w:val="single" w:sz="4" w:space="0" w:color="auto"/>
              <w:left w:val="single" w:sz="4" w:space="0" w:color="auto"/>
              <w:bottom w:val="single" w:sz="4" w:space="0" w:color="auto"/>
              <w:right w:val="single" w:sz="4" w:space="0" w:color="auto"/>
            </w:tcBorders>
            <w:shd w:val="clear" w:color="auto" w:fill="C6EFCE"/>
            <w:noWrap/>
          </w:tcPr>
          <w:p w14:paraId="08C1212E" w14:textId="77777777" w:rsidR="00DA604C" w:rsidRPr="0051384F" w:rsidRDefault="00DA604C" w:rsidP="0066695B">
            <w:pPr>
              <w:rPr>
                <w:rFonts w:ascii="Times New Roman" w:hAnsi="Times New Roman" w:cs="Times New Roman"/>
                <w:noProof/>
                <w:color w:val="006100"/>
                <w:sz w:val="20"/>
                <w:szCs w:val="20"/>
              </w:rPr>
            </w:pPr>
            <w:r>
              <w:rPr>
                <w:rFonts w:ascii="Times New Roman" w:hAnsi="Times New Roman"/>
                <w:noProof/>
                <w:color w:val="006100"/>
                <w:sz w:val="20"/>
              </w:rPr>
              <w:t xml:space="preserve">Хората, работещи в културния и творческия сектори, което обхваща публичния и частния сектор, преминават обучение. Обученията обхващат теми, свързани с развитието на културния и творческия сектори, като например управлението на културата, предприемачество в областта на културата, развитието на публика и използването на цифрови инструменти за културните прояви. </w:t>
            </w:r>
          </w:p>
        </w:tc>
      </w:tr>
      <w:tr w:rsidR="000D78BC" w:rsidRPr="005241FC" w14:paraId="0FC6426B" w14:textId="77777777" w:rsidTr="702FA0E6">
        <w:trPr>
          <w:trHeight w:val="309"/>
          <w:jc w:val="center"/>
        </w:trPr>
        <w:tc>
          <w:tcPr>
            <w:tcW w:w="646" w:type="dxa"/>
            <w:tcBorders>
              <w:top w:val="single" w:sz="4" w:space="0" w:color="auto"/>
              <w:left w:val="single" w:sz="4" w:space="0" w:color="auto"/>
              <w:bottom w:val="single" w:sz="4" w:space="0" w:color="auto"/>
              <w:right w:val="single" w:sz="4" w:space="0" w:color="auto"/>
            </w:tcBorders>
            <w:shd w:val="clear" w:color="auto" w:fill="C6EFCE"/>
            <w:noWrap/>
          </w:tcPr>
          <w:p w14:paraId="6C01B848" w14:textId="3DCA4750" w:rsidR="00DA604C" w:rsidRPr="0051384F" w:rsidRDefault="007D677C" w:rsidP="0066695B">
            <w:pPr>
              <w:jc w:val="center"/>
              <w:rPr>
                <w:rFonts w:ascii="Times New Roman" w:hAnsi="Times New Roman" w:cs="Times New Roman"/>
                <w:noProof/>
                <w:color w:val="006100"/>
                <w:sz w:val="20"/>
                <w:szCs w:val="20"/>
              </w:rPr>
            </w:pPr>
            <w:r>
              <w:rPr>
                <w:rFonts w:ascii="Times New Roman" w:hAnsi="Times New Roman"/>
                <w:noProof/>
                <w:color w:val="006100"/>
                <w:sz w:val="20"/>
              </w:rPr>
              <w:t>312</w:t>
            </w:r>
          </w:p>
        </w:tc>
        <w:tc>
          <w:tcPr>
            <w:tcW w:w="1136" w:type="dxa"/>
            <w:tcBorders>
              <w:top w:val="single" w:sz="4" w:space="0" w:color="auto"/>
              <w:left w:val="nil"/>
              <w:bottom w:val="single" w:sz="4" w:space="0" w:color="auto"/>
              <w:right w:val="single" w:sz="4" w:space="0" w:color="auto"/>
            </w:tcBorders>
            <w:shd w:val="clear" w:color="auto" w:fill="C6EFCE"/>
            <w:noWrap/>
          </w:tcPr>
          <w:p w14:paraId="190798C5" w14:textId="650C9C13" w:rsidR="00DA604C" w:rsidRPr="0051384F" w:rsidRDefault="00DA604C" w:rsidP="003B02A1">
            <w:pPr>
              <w:rPr>
                <w:rFonts w:ascii="Times New Roman" w:hAnsi="Times New Roman" w:cs="Times New Roman"/>
                <w:noProof/>
                <w:color w:val="006100"/>
                <w:sz w:val="20"/>
                <w:szCs w:val="20"/>
              </w:rPr>
            </w:pPr>
            <w:r>
              <w:rPr>
                <w:rFonts w:ascii="Times New Roman" w:hAnsi="Times New Roman"/>
                <w:noProof/>
                <w:color w:val="006100"/>
                <w:sz w:val="20"/>
              </w:rPr>
              <w:t>C11.I7: Цифровизация на музейни колекции, библиотеки и архиви</w:t>
            </w:r>
          </w:p>
        </w:tc>
        <w:tc>
          <w:tcPr>
            <w:tcW w:w="1011" w:type="dxa"/>
            <w:tcBorders>
              <w:top w:val="single" w:sz="4" w:space="0" w:color="auto"/>
              <w:left w:val="nil"/>
              <w:bottom w:val="single" w:sz="4" w:space="0" w:color="auto"/>
              <w:right w:val="single" w:sz="4" w:space="0" w:color="auto"/>
            </w:tcBorders>
            <w:shd w:val="clear" w:color="auto" w:fill="C6EFCE"/>
            <w:noWrap/>
          </w:tcPr>
          <w:p w14:paraId="537C85B9" w14:textId="77777777"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Ключов етап</w:t>
            </w:r>
          </w:p>
        </w:tc>
        <w:tc>
          <w:tcPr>
            <w:tcW w:w="1311" w:type="dxa"/>
            <w:tcBorders>
              <w:top w:val="single" w:sz="4" w:space="0" w:color="auto"/>
              <w:left w:val="nil"/>
              <w:bottom w:val="single" w:sz="4" w:space="0" w:color="auto"/>
              <w:right w:val="single" w:sz="4" w:space="0" w:color="auto"/>
            </w:tcBorders>
            <w:shd w:val="clear" w:color="auto" w:fill="C6EFCE"/>
            <w:noWrap/>
          </w:tcPr>
          <w:p w14:paraId="6B22E0F9" w14:textId="77777777" w:rsidR="00DA604C" w:rsidRPr="0051384F" w:rsidRDefault="00DA604C" w:rsidP="0066695B">
            <w:pPr>
              <w:rPr>
                <w:rFonts w:ascii="Times New Roman" w:hAnsi="Times New Roman" w:cs="Times New Roman"/>
                <w:noProof/>
                <w:color w:val="006100"/>
                <w:sz w:val="20"/>
                <w:szCs w:val="20"/>
              </w:rPr>
            </w:pPr>
            <w:r>
              <w:rPr>
                <w:rFonts w:ascii="Times New Roman" w:hAnsi="Times New Roman"/>
                <w:noProof/>
                <w:color w:val="006100"/>
                <w:sz w:val="20"/>
              </w:rPr>
              <w:t>Установяване на единна методика и стандарти за цифровизацията на съдържанието</w:t>
            </w:r>
          </w:p>
        </w:tc>
        <w:tc>
          <w:tcPr>
            <w:tcW w:w="2004" w:type="dxa"/>
            <w:tcBorders>
              <w:top w:val="single" w:sz="4" w:space="0" w:color="auto"/>
              <w:left w:val="nil"/>
              <w:bottom w:val="single" w:sz="4" w:space="0" w:color="auto"/>
              <w:right w:val="single" w:sz="4" w:space="0" w:color="auto"/>
            </w:tcBorders>
            <w:shd w:val="clear" w:color="auto" w:fill="C6EFCE"/>
            <w:noWrap/>
          </w:tcPr>
          <w:p w14:paraId="341D9756" w14:textId="2FCC724D" w:rsidR="00DA604C" w:rsidRPr="0051384F" w:rsidRDefault="00DA604C" w:rsidP="0066695B">
            <w:pPr>
              <w:rPr>
                <w:rFonts w:ascii="Times New Roman" w:hAnsi="Times New Roman" w:cs="Times New Roman"/>
                <w:noProof/>
                <w:color w:val="006100"/>
                <w:sz w:val="20"/>
                <w:szCs w:val="20"/>
              </w:rPr>
            </w:pPr>
            <w:r>
              <w:rPr>
                <w:rFonts w:ascii="Times New Roman" w:hAnsi="Times New Roman"/>
                <w:noProof/>
                <w:color w:val="006100"/>
                <w:sz w:val="20"/>
              </w:rPr>
              <w:t xml:space="preserve">Публикуване на единна методика и стандарти за цифровизация на съдържанието </w:t>
            </w:r>
          </w:p>
        </w:tc>
        <w:tc>
          <w:tcPr>
            <w:tcW w:w="850" w:type="dxa"/>
            <w:tcBorders>
              <w:top w:val="single" w:sz="4" w:space="0" w:color="auto"/>
              <w:left w:val="nil"/>
              <w:bottom w:val="single" w:sz="4" w:space="0" w:color="auto"/>
              <w:right w:val="single" w:sz="4" w:space="0" w:color="auto"/>
            </w:tcBorders>
            <w:shd w:val="clear" w:color="auto" w:fill="C6EFCE"/>
            <w:noWrap/>
          </w:tcPr>
          <w:p w14:paraId="6E4380DA" w14:textId="77777777" w:rsidR="00DA604C" w:rsidRPr="008A0F8A" w:rsidRDefault="00DA604C" w:rsidP="0066695B">
            <w:pPr>
              <w:jc w:val="center"/>
              <w:rPr>
                <w:rFonts w:ascii="Times New Roman" w:hAnsi="Times New Roman" w:cs="Times New Roman"/>
                <w:noProof/>
                <w:color w:val="006100"/>
                <w:sz w:val="20"/>
                <w:szCs w:val="20"/>
                <w:lang w:val="ru-RU"/>
              </w:rPr>
            </w:pPr>
          </w:p>
        </w:tc>
        <w:tc>
          <w:tcPr>
            <w:tcW w:w="851" w:type="dxa"/>
            <w:tcBorders>
              <w:top w:val="single" w:sz="4" w:space="0" w:color="auto"/>
              <w:left w:val="nil"/>
              <w:bottom w:val="single" w:sz="4" w:space="0" w:color="auto"/>
              <w:right w:val="single" w:sz="4" w:space="0" w:color="auto"/>
            </w:tcBorders>
            <w:shd w:val="clear" w:color="auto" w:fill="C6EFCE"/>
            <w:noWrap/>
          </w:tcPr>
          <w:p w14:paraId="2EB31765" w14:textId="77777777" w:rsidR="00DA604C" w:rsidRPr="008A0F8A" w:rsidRDefault="00DA604C" w:rsidP="0066695B">
            <w:pPr>
              <w:jc w:val="center"/>
              <w:rPr>
                <w:rFonts w:ascii="Times New Roman" w:hAnsi="Times New Roman" w:cs="Times New Roman"/>
                <w:noProof/>
                <w:color w:val="006100"/>
                <w:sz w:val="20"/>
                <w:szCs w:val="20"/>
                <w:lang w:val="ru-RU"/>
              </w:rPr>
            </w:pPr>
          </w:p>
        </w:tc>
        <w:tc>
          <w:tcPr>
            <w:tcW w:w="709" w:type="dxa"/>
            <w:tcBorders>
              <w:top w:val="single" w:sz="4" w:space="0" w:color="auto"/>
              <w:left w:val="nil"/>
              <w:bottom w:val="single" w:sz="4" w:space="0" w:color="auto"/>
              <w:right w:val="single" w:sz="4" w:space="0" w:color="auto"/>
            </w:tcBorders>
            <w:shd w:val="clear" w:color="auto" w:fill="C6EFCE"/>
            <w:noWrap/>
          </w:tcPr>
          <w:p w14:paraId="27953C42" w14:textId="77777777" w:rsidR="00DA604C" w:rsidRPr="008A0F8A" w:rsidRDefault="00DA604C" w:rsidP="0066695B">
            <w:pPr>
              <w:jc w:val="center"/>
              <w:rPr>
                <w:rFonts w:ascii="Times New Roman" w:hAnsi="Times New Roman" w:cs="Times New Roman"/>
                <w:noProof/>
                <w:color w:val="006100"/>
                <w:sz w:val="20"/>
                <w:szCs w:val="20"/>
                <w:lang w:val="ru-RU"/>
              </w:rPr>
            </w:pPr>
          </w:p>
        </w:tc>
        <w:tc>
          <w:tcPr>
            <w:tcW w:w="850" w:type="dxa"/>
            <w:tcBorders>
              <w:top w:val="single" w:sz="4" w:space="0" w:color="auto"/>
              <w:left w:val="nil"/>
              <w:bottom w:val="single" w:sz="4" w:space="0" w:color="auto"/>
              <w:right w:val="single" w:sz="4" w:space="0" w:color="auto"/>
            </w:tcBorders>
            <w:shd w:val="clear" w:color="auto" w:fill="C6EFCE"/>
            <w:noWrap/>
          </w:tcPr>
          <w:p w14:paraId="23357D28" w14:textId="77777777"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T2</w:t>
            </w:r>
          </w:p>
        </w:tc>
        <w:tc>
          <w:tcPr>
            <w:tcW w:w="709" w:type="dxa"/>
            <w:tcBorders>
              <w:top w:val="single" w:sz="4" w:space="0" w:color="auto"/>
              <w:left w:val="nil"/>
              <w:bottom w:val="single" w:sz="4" w:space="0" w:color="auto"/>
              <w:right w:val="single" w:sz="4" w:space="0" w:color="auto"/>
            </w:tcBorders>
            <w:shd w:val="clear" w:color="auto" w:fill="C6EFCE"/>
            <w:noWrap/>
          </w:tcPr>
          <w:p w14:paraId="560F1E74" w14:textId="482D591D"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2023</w:t>
            </w:r>
          </w:p>
        </w:tc>
        <w:tc>
          <w:tcPr>
            <w:tcW w:w="4802" w:type="dxa"/>
            <w:tcBorders>
              <w:top w:val="single" w:sz="4" w:space="0" w:color="auto"/>
              <w:left w:val="nil"/>
              <w:bottom w:val="single" w:sz="4" w:space="0" w:color="auto"/>
              <w:right w:val="single" w:sz="4" w:space="0" w:color="auto"/>
            </w:tcBorders>
            <w:shd w:val="clear" w:color="auto" w:fill="C6EFCE"/>
            <w:noWrap/>
          </w:tcPr>
          <w:p w14:paraId="1D102774" w14:textId="0EC08A73" w:rsidR="00DA604C" w:rsidRPr="0051384F" w:rsidRDefault="00DA604C" w:rsidP="00B509C6">
            <w:pPr>
              <w:rPr>
                <w:rFonts w:ascii="Times New Roman" w:hAnsi="Times New Roman" w:cs="Times New Roman"/>
                <w:noProof/>
                <w:color w:val="006100"/>
                <w:sz w:val="20"/>
                <w:szCs w:val="20"/>
              </w:rPr>
            </w:pPr>
            <w:r>
              <w:rPr>
                <w:rFonts w:ascii="Times New Roman" w:hAnsi="Times New Roman"/>
                <w:noProof/>
                <w:color w:val="006100"/>
                <w:sz w:val="20"/>
              </w:rPr>
              <w:t>Единната методика обхваща определянето на национални координатори и критериите за приоритизиране на съдържанието, както и единни и актуални стандарти, приложими към съдържанието, което се цифровизира. Единните стандарти се прилагат за цифровизацията на съдържанието на музеите, библиотеките и архивите.</w:t>
            </w:r>
          </w:p>
        </w:tc>
      </w:tr>
      <w:tr w:rsidR="000D78BC" w:rsidRPr="005241FC" w14:paraId="065A7561" w14:textId="77777777" w:rsidTr="702FA0E6">
        <w:trPr>
          <w:trHeight w:val="309"/>
          <w:jc w:val="center"/>
        </w:trPr>
        <w:tc>
          <w:tcPr>
            <w:tcW w:w="646" w:type="dxa"/>
            <w:tcBorders>
              <w:top w:val="single" w:sz="4" w:space="0" w:color="auto"/>
              <w:left w:val="single" w:sz="4" w:space="0" w:color="auto"/>
              <w:bottom w:val="single" w:sz="4" w:space="0" w:color="auto"/>
              <w:right w:val="single" w:sz="4" w:space="0" w:color="auto"/>
            </w:tcBorders>
            <w:shd w:val="clear" w:color="auto" w:fill="C6EFCE"/>
            <w:noWrap/>
          </w:tcPr>
          <w:p w14:paraId="43EEBBF7" w14:textId="08FA7A11" w:rsidR="00DA604C" w:rsidRPr="0051384F" w:rsidRDefault="007D677C" w:rsidP="0066695B">
            <w:pPr>
              <w:jc w:val="center"/>
              <w:rPr>
                <w:rFonts w:ascii="Times New Roman" w:hAnsi="Times New Roman" w:cs="Times New Roman"/>
                <w:noProof/>
                <w:color w:val="006100"/>
                <w:sz w:val="20"/>
                <w:szCs w:val="20"/>
              </w:rPr>
            </w:pPr>
            <w:r>
              <w:rPr>
                <w:rFonts w:ascii="Times New Roman" w:hAnsi="Times New Roman"/>
                <w:noProof/>
                <w:color w:val="006100"/>
                <w:sz w:val="20"/>
              </w:rPr>
              <w:t>313</w:t>
            </w:r>
          </w:p>
        </w:tc>
        <w:tc>
          <w:tcPr>
            <w:tcW w:w="1136" w:type="dxa"/>
            <w:tcBorders>
              <w:top w:val="single" w:sz="4" w:space="0" w:color="auto"/>
              <w:left w:val="nil"/>
              <w:bottom w:val="single" w:sz="4" w:space="0" w:color="auto"/>
              <w:right w:val="single" w:sz="4" w:space="0" w:color="auto"/>
            </w:tcBorders>
            <w:shd w:val="clear" w:color="auto" w:fill="C6EFCE"/>
            <w:noWrap/>
          </w:tcPr>
          <w:p w14:paraId="38ADDC4E" w14:textId="5149AEF1" w:rsidR="00DA604C" w:rsidRPr="0051384F" w:rsidRDefault="00DA604C" w:rsidP="003B02A1">
            <w:pPr>
              <w:rPr>
                <w:rFonts w:ascii="Times New Roman" w:hAnsi="Times New Roman" w:cs="Times New Roman"/>
                <w:noProof/>
                <w:color w:val="006100"/>
                <w:sz w:val="20"/>
                <w:szCs w:val="20"/>
              </w:rPr>
            </w:pPr>
            <w:r>
              <w:rPr>
                <w:rFonts w:ascii="Times New Roman" w:hAnsi="Times New Roman"/>
                <w:noProof/>
                <w:color w:val="006100"/>
                <w:sz w:val="20"/>
              </w:rPr>
              <w:t>C11.I7: Цифровизация на музейни колекции, библиотеки и архиви</w:t>
            </w:r>
          </w:p>
        </w:tc>
        <w:tc>
          <w:tcPr>
            <w:tcW w:w="1011" w:type="dxa"/>
            <w:tcBorders>
              <w:top w:val="single" w:sz="4" w:space="0" w:color="auto"/>
              <w:left w:val="nil"/>
              <w:bottom w:val="single" w:sz="4" w:space="0" w:color="auto"/>
              <w:right w:val="single" w:sz="4" w:space="0" w:color="auto"/>
            </w:tcBorders>
            <w:shd w:val="clear" w:color="auto" w:fill="C6EFCE"/>
            <w:noWrap/>
          </w:tcPr>
          <w:p w14:paraId="00E9738F" w14:textId="77777777"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Ключов етап</w:t>
            </w:r>
          </w:p>
        </w:tc>
        <w:tc>
          <w:tcPr>
            <w:tcW w:w="1311" w:type="dxa"/>
            <w:tcBorders>
              <w:top w:val="single" w:sz="4" w:space="0" w:color="auto"/>
              <w:left w:val="nil"/>
              <w:bottom w:val="single" w:sz="4" w:space="0" w:color="auto"/>
              <w:right w:val="single" w:sz="4" w:space="0" w:color="auto"/>
            </w:tcBorders>
            <w:shd w:val="clear" w:color="auto" w:fill="C6EFCE"/>
            <w:noWrap/>
          </w:tcPr>
          <w:p w14:paraId="1702D28C" w14:textId="77777777" w:rsidR="00DA604C" w:rsidRPr="0051384F" w:rsidRDefault="00DA604C" w:rsidP="0066695B">
            <w:pPr>
              <w:rPr>
                <w:rFonts w:ascii="Times New Roman" w:hAnsi="Times New Roman" w:cs="Times New Roman"/>
                <w:noProof/>
                <w:color w:val="006100"/>
                <w:sz w:val="20"/>
                <w:szCs w:val="20"/>
              </w:rPr>
            </w:pPr>
            <w:r>
              <w:rPr>
                <w:rFonts w:ascii="Times New Roman" w:hAnsi="Times New Roman"/>
                <w:noProof/>
                <w:color w:val="006100"/>
                <w:sz w:val="20"/>
              </w:rPr>
              <w:t xml:space="preserve">Електронна платформа за културното наследство </w:t>
            </w:r>
          </w:p>
        </w:tc>
        <w:tc>
          <w:tcPr>
            <w:tcW w:w="2004" w:type="dxa"/>
            <w:tcBorders>
              <w:top w:val="single" w:sz="4" w:space="0" w:color="auto"/>
              <w:left w:val="nil"/>
              <w:bottom w:val="single" w:sz="4" w:space="0" w:color="auto"/>
              <w:right w:val="single" w:sz="4" w:space="0" w:color="auto"/>
            </w:tcBorders>
            <w:shd w:val="clear" w:color="auto" w:fill="C6EFCE"/>
            <w:noWrap/>
          </w:tcPr>
          <w:p w14:paraId="62541508" w14:textId="77777777" w:rsidR="00DA604C" w:rsidRPr="0051384F" w:rsidRDefault="00DA604C" w:rsidP="0066695B">
            <w:pPr>
              <w:rPr>
                <w:rFonts w:ascii="Times New Roman" w:hAnsi="Times New Roman" w:cs="Times New Roman"/>
                <w:noProof/>
                <w:color w:val="006100"/>
                <w:sz w:val="20"/>
                <w:szCs w:val="20"/>
              </w:rPr>
            </w:pPr>
            <w:r>
              <w:rPr>
                <w:rFonts w:ascii="Times New Roman" w:hAnsi="Times New Roman"/>
                <w:noProof/>
                <w:color w:val="006100"/>
                <w:sz w:val="20"/>
              </w:rPr>
              <w:t xml:space="preserve">Разработена и публично достъпна електронна платформа за културното наследство </w:t>
            </w:r>
          </w:p>
        </w:tc>
        <w:tc>
          <w:tcPr>
            <w:tcW w:w="850" w:type="dxa"/>
            <w:tcBorders>
              <w:top w:val="single" w:sz="4" w:space="0" w:color="auto"/>
              <w:left w:val="nil"/>
              <w:bottom w:val="single" w:sz="4" w:space="0" w:color="auto"/>
              <w:right w:val="single" w:sz="4" w:space="0" w:color="auto"/>
            </w:tcBorders>
            <w:shd w:val="clear" w:color="auto" w:fill="C6EFCE"/>
            <w:noWrap/>
          </w:tcPr>
          <w:p w14:paraId="4EB7C6E2" w14:textId="77777777" w:rsidR="00DA604C" w:rsidRPr="008A0F8A" w:rsidRDefault="00DA604C" w:rsidP="0066695B">
            <w:pPr>
              <w:jc w:val="center"/>
              <w:rPr>
                <w:rFonts w:ascii="Times New Roman" w:hAnsi="Times New Roman" w:cs="Times New Roman"/>
                <w:noProof/>
                <w:color w:val="006100"/>
                <w:sz w:val="20"/>
                <w:szCs w:val="20"/>
                <w:lang w:val="ru-RU"/>
              </w:rPr>
            </w:pPr>
          </w:p>
        </w:tc>
        <w:tc>
          <w:tcPr>
            <w:tcW w:w="851" w:type="dxa"/>
            <w:tcBorders>
              <w:top w:val="single" w:sz="4" w:space="0" w:color="auto"/>
              <w:left w:val="nil"/>
              <w:bottom w:val="single" w:sz="4" w:space="0" w:color="auto"/>
              <w:right w:val="single" w:sz="4" w:space="0" w:color="auto"/>
            </w:tcBorders>
            <w:shd w:val="clear" w:color="auto" w:fill="C6EFCE"/>
            <w:noWrap/>
          </w:tcPr>
          <w:p w14:paraId="7B55AEB4" w14:textId="77777777" w:rsidR="00DA604C" w:rsidRPr="008A0F8A" w:rsidRDefault="00DA604C" w:rsidP="0066695B">
            <w:pPr>
              <w:jc w:val="center"/>
              <w:rPr>
                <w:rFonts w:ascii="Times New Roman" w:hAnsi="Times New Roman" w:cs="Times New Roman"/>
                <w:noProof/>
                <w:color w:val="006100"/>
                <w:sz w:val="20"/>
                <w:szCs w:val="20"/>
                <w:lang w:val="ru-RU"/>
              </w:rPr>
            </w:pPr>
          </w:p>
        </w:tc>
        <w:tc>
          <w:tcPr>
            <w:tcW w:w="709" w:type="dxa"/>
            <w:tcBorders>
              <w:top w:val="single" w:sz="4" w:space="0" w:color="auto"/>
              <w:left w:val="nil"/>
              <w:bottom w:val="single" w:sz="4" w:space="0" w:color="auto"/>
              <w:right w:val="single" w:sz="4" w:space="0" w:color="auto"/>
            </w:tcBorders>
            <w:shd w:val="clear" w:color="auto" w:fill="C6EFCE"/>
            <w:noWrap/>
          </w:tcPr>
          <w:p w14:paraId="211C3118" w14:textId="77777777" w:rsidR="00DA604C" w:rsidRPr="008A0F8A" w:rsidRDefault="00DA604C" w:rsidP="0066695B">
            <w:pPr>
              <w:jc w:val="center"/>
              <w:rPr>
                <w:rFonts w:ascii="Times New Roman" w:hAnsi="Times New Roman" w:cs="Times New Roman"/>
                <w:noProof/>
                <w:color w:val="006100"/>
                <w:sz w:val="20"/>
                <w:szCs w:val="20"/>
                <w:lang w:val="ru-RU"/>
              </w:rPr>
            </w:pPr>
          </w:p>
        </w:tc>
        <w:tc>
          <w:tcPr>
            <w:tcW w:w="850" w:type="dxa"/>
            <w:tcBorders>
              <w:top w:val="single" w:sz="4" w:space="0" w:color="auto"/>
              <w:left w:val="nil"/>
              <w:bottom w:val="single" w:sz="4" w:space="0" w:color="auto"/>
              <w:right w:val="single" w:sz="4" w:space="0" w:color="auto"/>
            </w:tcBorders>
            <w:shd w:val="clear" w:color="auto" w:fill="C6EFCE"/>
            <w:noWrap/>
          </w:tcPr>
          <w:p w14:paraId="51942961" w14:textId="0B8C1A3F" w:rsidR="00DA604C" w:rsidRPr="0051384F" w:rsidRDefault="00DA604C" w:rsidP="00D10258">
            <w:pPr>
              <w:jc w:val="center"/>
              <w:rPr>
                <w:rFonts w:ascii="Times New Roman" w:hAnsi="Times New Roman" w:cs="Times New Roman"/>
                <w:noProof/>
                <w:color w:val="006100"/>
                <w:sz w:val="20"/>
                <w:szCs w:val="20"/>
              </w:rPr>
            </w:pPr>
            <w:r>
              <w:rPr>
                <w:rFonts w:ascii="Times New Roman" w:hAnsi="Times New Roman"/>
                <w:noProof/>
                <w:color w:val="006100"/>
                <w:sz w:val="20"/>
              </w:rPr>
              <w:t>T4</w:t>
            </w:r>
          </w:p>
        </w:tc>
        <w:tc>
          <w:tcPr>
            <w:tcW w:w="709" w:type="dxa"/>
            <w:tcBorders>
              <w:top w:val="single" w:sz="4" w:space="0" w:color="auto"/>
              <w:left w:val="nil"/>
              <w:bottom w:val="single" w:sz="4" w:space="0" w:color="auto"/>
              <w:right w:val="single" w:sz="4" w:space="0" w:color="auto"/>
            </w:tcBorders>
            <w:shd w:val="clear" w:color="auto" w:fill="C6EFCE"/>
            <w:noWrap/>
          </w:tcPr>
          <w:p w14:paraId="3C0448E7" w14:textId="77777777"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2024</w:t>
            </w:r>
          </w:p>
        </w:tc>
        <w:tc>
          <w:tcPr>
            <w:tcW w:w="4802" w:type="dxa"/>
            <w:tcBorders>
              <w:top w:val="single" w:sz="4" w:space="0" w:color="auto"/>
              <w:left w:val="nil"/>
              <w:bottom w:val="single" w:sz="4" w:space="0" w:color="auto"/>
              <w:right w:val="single" w:sz="4" w:space="0" w:color="auto"/>
            </w:tcBorders>
            <w:shd w:val="clear" w:color="auto" w:fill="C6EFCE"/>
            <w:noWrap/>
          </w:tcPr>
          <w:p w14:paraId="0B6D9785" w14:textId="77777777" w:rsidR="00DA604C" w:rsidRPr="0051384F" w:rsidRDefault="00DA604C" w:rsidP="0066695B">
            <w:pPr>
              <w:rPr>
                <w:rFonts w:ascii="Times New Roman" w:hAnsi="Times New Roman" w:cs="Times New Roman"/>
                <w:noProof/>
                <w:color w:val="006100"/>
                <w:sz w:val="20"/>
                <w:szCs w:val="20"/>
              </w:rPr>
            </w:pPr>
            <w:r>
              <w:rPr>
                <w:rFonts w:ascii="Times New Roman" w:hAnsi="Times New Roman"/>
                <w:noProof/>
                <w:color w:val="006100"/>
                <w:sz w:val="20"/>
              </w:rPr>
              <w:t>Електронната платформа за културното наследство предоставя онлайн достъп до цифровото съдържание на музеите, библиотеките и държавните архиви и се интегрира в портала е-Култура на Министерството на културата.</w:t>
            </w:r>
          </w:p>
        </w:tc>
      </w:tr>
      <w:tr w:rsidR="000D78BC" w:rsidRPr="005241FC" w14:paraId="2CC9A013" w14:textId="77777777" w:rsidTr="702FA0E6">
        <w:trPr>
          <w:trHeight w:val="309"/>
          <w:jc w:val="center"/>
        </w:trPr>
        <w:tc>
          <w:tcPr>
            <w:tcW w:w="646" w:type="dxa"/>
            <w:tcBorders>
              <w:top w:val="single" w:sz="4" w:space="0" w:color="auto"/>
              <w:left w:val="single" w:sz="4" w:space="0" w:color="auto"/>
              <w:bottom w:val="single" w:sz="4" w:space="0" w:color="auto"/>
              <w:right w:val="single" w:sz="4" w:space="0" w:color="auto"/>
            </w:tcBorders>
            <w:shd w:val="clear" w:color="auto" w:fill="C6EFCE"/>
            <w:noWrap/>
          </w:tcPr>
          <w:p w14:paraId="5755B638" w14:textId="4E7A8387" w:rsidR="00DA604C" w:rsidRPr="0051384F" w:rsidRDefault="007D677C" w:rsidP="0066695B">
            <w:pPr>
              <w:jc w:val="center"/>
              <w:rPr>
                <w:rFonts w:ascii="Times New Roman" w:hAnsi="Times New Roman" w:cs="Times New Roman"/>
                <w:noProof/>
                <w:color w:val="006100"/>
                <w:sz w:val="20"/>
                <w:szCs w:val="20"/>
              </w:rPr>
            </w:pPr>
            <w:r>
              <w:rPr>
                <w:rFonts w:ascii="Times New Roman" w:hAnsi="Times New Roman"/>
                <w:noProof/>
                <w:color w:val="006100"/>
                <w:sz w:val="20"/>
              </w:rPr>
              <w:t>314</w:t>
            </w:r>
          </w:p>
        </w:tc>
        <w:tc>
          <w:tcPr>
            <w:tcW w:w="1136" w:type="dxa"/>
            <w:tcBorders>
              <w:top w:val="single" w:sz="4" w:space="0" w:color="auto"/>
              <w:left w:val="nil"/>
              <w:bottom w:val="single" w:sz="4" w:space="0" w:color="auto"/>
              <w:right w:val="single" w:sz="4" w:space="0" w:color="auto"/>
            </w:tcBorders>
            <w:shd w:val="clear" w:color="auto" w:fill="C6EFCE"/>
            <w:noWrap/>
          </w:tcPr>
          <w:p w14:paraId="0E3C7417" w14:textId="12C92B85" w:rsidR="00DA604C" w:rsidRPr="0051384F" w:rsidRDefault="00DA604C" w:rsidP="003B02A1">
            <w:pPr>
              <w:rPr>
                <w:rFonts w:ascii="Times New Roman" w:hAnsi="Times New Roman" w:cs="Times New Roman"/>
                <w:noProof/>
                <w:color w:val="006100"/>
                <w:sz w:val="20"/>
                <w:szCs w:val="20"/>
              </w:rPr>
            </w:pPr>
            <w:r>
              <w:rPr>
                <w:rFonts w:ascii="Times New Roman" w:hAnsi="Times New Roman"/>
                <w:noProof/>
                <w:color w:val="006100"/>
                <w:sz w:val="20"/>
              </w:rPr>
              <w:t>C11.I7: Цифровизация на музейни колекции, библиотеки и архиви</w:t>
            </w:r>
          </w:p>
        </w:tc>
        <w:tc>
          <w:tcPr>
            <w:tcW w:w="1011" w:type="dxa"/>
            <w:tcBorders>
              <w:top w:val="single" w:sz="4" w:space="0" w:color="auto"/>
              <w:left w:val="nil"/>
              <w:bottom w:val="single" w:sz="4" w:space="0" w:color="auto"/>
              <w:right w:val="single" w:sz="4" w:space="0" w:color="auto"/>
            </w:tcBorders>
            <w:shd w:val="clear" w:color="auto" w:fill="C6EFCE"/>
            <w:noWrap/>
          </w:tcPr>
          <w:p w14:paraId="403E3F7E" w14:textId="77777777"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 xml:space="preserve">Цел </w:t>
            </w:r>
          </w:p>
        </w:tc>
        <w:tc>
          <w:tcPr>
            <w:tcW w:w="1311" w:type="dxa"/>
            <w:tcBorders>
              <w:top w:val="single" w:sz="4" w:space="0" w:color="auto"/>
              <w:left w:val="nil"/>
              <w:bottom w:val="single" w:sz="4" w:space="0" w:color="auto"/>
              <w:right w:val="single" w:sz="4" w:space="0" w:color="auto"/>
            </w:tcBorders>
            <w:shd w:val="clear" w:color="auto" w:fill="C6EFCE"/>
            <w:noWrap/>
          </w:tcPr>
          <w:p w14:paraId="2F1693E6" w14:textId="28AC1579" w:rsidR="00DA604C" w:rsidRPr="0051384F" w:rsidRDefault="00DA604C" w:rsidP="0066695B">
            <w:pPr>
              <w:rPr>
                <w:rFonts w:ascii="Times New Roman" w:hAnsi="Times New Roman" w:cs="Times New Roman"/>
                <w:noProof/>
                <w:color w:val="006100"/>
                <w:sz w:val="20"/>
                <w:szCs w:val="20"/>
              </w:rPr>
            </w:pPr>
            <w:r>
              <w:rPr>
                <w:rFonts w:ascii="Times New Roman" w:hAnsi="Times New Roman"/>
                <w:noProof/>
                <w:color w:val="006100"/>
                <w:sz w:val="20"/>
              </w:rPr>
              <w:t>Цифровизирано съдържание, публично достъпно на електронната платформа</w:t>
            </w:r>
          </w:p>
        </w:tc>
        <w:tc>
          <w:tcPr>
            <w:tcW w:w="2004" w:type="dxa"/>
            <w:tcBorders>
              <w:top w:val="single" w:sz="4" w:space="0" w:color="auto"/>
              <w:left w:val="nil"/>
              <w:bottom w:val="single" w:sz="4" w:space="0" w:color="auto"/>
              <w:right w:val="single" w:sz="4" w:space="0" w:color="auto"/>
            </w:tcBorders>
            <w:shd w:val="clear" w:color="auto" w:fill="C6EFCE"/>
            <w:noWrap/>
          </w:tcPr>
          <w:p w14:paraId="1034B134" w14:textId="2DA8E017" w:rsidR="00DA604C" w:rsidRPr="008A0F8A" w:rsidRDefault="00DA604C" w:rsidP="00682092">
            <w:pPr>
              <w:rPr>
                <w:rFonts w:ascii="Times New Roman" w:hAnsi="Times New Roman" w:cs="Times New Roman"/>
                <w:noProof/>
                <w:color w:val="006100"/>
                <w:sz w:val="20"/>
                <w:szCs w:val="20"/>
                <w:lang w:val="ru-RU"/>
              </w:rPr>
            </w:pPr>
          </w:p>
        </w:tc>
        <w:tc>
          <w:tcPr>
            <w:tcW w:w="850" w:type="dxa"/>
            <w:tcBorders>
              <w:top w:val="single" w:sz="4" w:space="0" w:color="auto"/>
              <w:left w:val="nil"/>
              <w:bottom w:val="single" w:sz="4" w:space="0" w:color="auto"/>
              <w:right w:val="single" w:sz="4" w:space="0" w:color="auto"/>
            </w:tcBorders>
            <w:shd w:val="clear" w:color="auto" w:fill="C6EFCE"/>
            <w:noWrap/>
          </w:tcPr>
          <w:p w14:paraId="507ED8C7" w14:textId="77777777"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Брой</w:t>
            </w:r>
          </w:p>
        </w:tc>
        <w:tc>
          <w:tcPr>
            <w:tcW w:w="851" w:type="dxa"/>
            <w:tcBorders>
              <w:top w:val="single" w:sz="4" w:space="0" w:color="auto"/>
              <w:left w:val="nil"/>
              <w:bottom w:val="single" w:sz="4" w:space="0" w:color="auto"/>
              <w:right w:val="single" w:sz="4" w:space="0" w:color="auto"/>
            </w:tcBorders>
            <w:shd w:val="clear" w:color="auto" w:fill="C6EFCE"/>
            <w:noWrap/>
          </w:tcPr>
          <w:p w14:paraId="2D4F2FAC" w14:textId="77777777"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0</w:t>
            </w:r>
          </w:p>
        </w:tc>
        <w:tc>
          <w:tcPr>
            <w:tcW w:w="709" w:type="dxa"/>
            <w:tcBorders>
              <w:top w:val="single" w:sz="4" w:space="0" w:color="auto"/>
              <w:left w:val="nil"/>
              <w:bottom w:val="single" w:sz="4" w:space="0" w:color="auto"/>
              <w:right w:val="single" w:sz="4" w:space="0" w:color="auto"/>
            </w:tcBorders>
            <w:shd w:val="clear" w:color="auto" w:fill="C6EFCE"/>
            <w:noWrap/>
          </w:tcPr>
          <w:p w14:paraId="51E4AA1B" w14:textId="77777777"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43</w:t>
            </w:r>
          </w:p>
        </w:tc>
        <w:tc>
          <w:tcPr>
            <w:tcW w:w="850" w:type="dxa"/>
            <w:tcBorders>
              <w:top w:val="single" w:sz="4" w:space="0" w:color="auto"/>
              <w:left w:val="nil"/>
              <w:bottom w:val="single" w:sz="4" w:space="0" w:color="auto"/>
              <w:right w:val="single" w:sz="4" w:space="0" w:color="auto"/>
            </w:tcBorders>
            <w:shd w:val="clear" w:color="auto" w:fill="C6EFCE"/>
            <w:noWrap/>
          </w:tcPr>
          <w:p w14:paraId="4C5EB8BB" w14:textId="77777777"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T2</w:t>
            </w:r>
          </w:p>
        </w:tc>
        <w:tc>
          <w:tcPr>
            <w:tcW w:w="709" w:type="dxa"/>
            <w:tcBorders>
              <w:top w:val="single" w:sz="4" w:space="0" w:color="auto"/>
              <w:left w:val="nil"/>
              <w:bottom w:val="single" w:sz="4" w:space="0" w:color="auto"/>
              <w:right w:val="single" w:sz="4" w:space="0" w:color="auto"/>
            </w:tcBorders>
            <w:shd w:val="clear" w:color="auto" w:fill="C6EFCE"/>
            <w:noWrap/>
          </w:tcPr>
          <w:p w14:paraId="68E1BF7D" w14:textId="77777777" w:rsidR="00DA604C" w:rsidRPr="0051384F" w:rsidRDefault="00DA604C" w:rsidP="0066695B">
            <w:pPr>
              <w:jc w:val="center"/>
              <w:rPr>
                <w:rFonts w:ascii="Times New Roman" w:hAnsi="Times New Roman" w:cs="Times New Roman"/>
                <w:noProof/>
                <w:color w:val="006100"/>
                <w:sz w:val="20"/>
                <w:szCs w:val="20"/>
              </w:rPr>
            </w:pPr>
            <w:r>
              <w:rPr>
                <w:rFonts w:ascii="Times New Roman" w:hAnsi="Times New Roman"/>
                <w:noProof/>
                <w:color w:val="006100"/>
                <w:sz w:val="20"/>
              </w:rPr>
              <w:t>2026</w:t>
            </w:r>
          </w:p>
        </w:tc>
        <w:tc>
          <w:tcPr>
            <w:tcW w:w="4802" w:type="dxa"/>
            <w:tcBorders>
              <w:top w:val="single" w:sz="4" w:space="0" w:color="auto"/>
              <w:left w:val="nil"/>
              <w:bottom w:val="single" w:sz="4" w:space="0" w:color="auto"/>
              <w:right w:val="single" w:sz="4" w:space="0" w:color="auto"/>
            </w:tcBorders>
            <w:shd w:val="clear" w:color="auto" w:fill="C6EFCE"/>
            <w:noWrap/>
          </w:tcPr>
          <w:p w14:paraId="377C0B48" w14:textId="1656D7A6" w:rsidR="00DA604C" w:rsidRPr="0051384F" w:rsidRDefault="00DA604C" w:rsidP="0066695B">
            <w:pPr>
              <w:rPr>
                <w:rFonts w:ascii="Times New Roman" w:hAnsi="Times New Roman" w:cs="Times New Roman"/>
                <w:noProof/>
                <w:color w:val="006100"/>
                <w:sz w:val="20"/>
                <w:szCs w:val="20"/>
              </w:rPr>
            </w:pPr>
            <w:r>
              <w:rPr>
                <w:rFonts w:ascii="Times New Roman" w:hAnsi="Times New Roman"/>
                <w:noProof/>
                <w:color w:val="006100"/>
                <w:sz w:val="20"/>
              </w:rPr>
              <w:t>Цифровизираното съдържание на най-малко 28 музея, 10 библиотеки и държавните архиви, включващи Българската национална филмотека, Българската национална телевизия и Българското национално радио, Българската телеграфна агенция и Националния архив, се публикува и предоставя публично онлайн на електронната платформа за културното наследство (ключов етап 313).</w:t>
            </w:r>
          </w:p>
        </w:tc>
      </w:tr>
    </w:tbl>
    <w:p w14:paraId="4E0EC75A" w14:textId="77777777" w:rsidR="00DA604C" w:rsidRPr="008A0F8A" w:rsidRDefault="00DA604C" w:rsidP="00895175">
      <w:pPr>
        <w:spacing w:before="120" w:after="120" w:line="240" w:lineRule="auto"/>
        <w:jc w:val="both"/>
        <w:rPr>
          <w:rFonts w:ascii="Times New Roman" w:eastAsia="Calibri" w:hAnsi="Times New Roman" w:cs="Times New Roman"/>
          <w:noProof/>
          <w:sz w:val="24"/>
          <w:szCs w:val="24"/>
          <w:lang w:val="ru-RU"/>
        </w:rPr>
        <w:sectPr w:rsidR="00DA604C" w:rsidRPr="008A0F8A" w:rsidSect="00B60432">
          <w:headerReference w:type="even" r:id="rId144"/>
          <w:headerReference w:type="default" r:id="rId145"/>
          <w:footerReference w:type="even" r:id="rId146"/>
          <w:footerReference w:type="default" r:id="rId147"/>
          <w:headerReference w:type="first" r:id="rId148"/>
          <w:footerReference w:type="first" r:id="rId149"/>
          <w:pgSz w:w="16839" w:h="11907" w:orient="landscape"/>
          <w:pgMar w:top="1418" w:right="1134" w:bottom="1418" w:left="1134" w:header="709" w:footer="709" w:gutter="0"/>
          <w:cols w:space="720"/>
          <w:docGrid w:linePitch="360"/>
        </w:sectPr>
      </w:pPr>
    </w:p>
    <w:p w14:paraId="52093D8B" w14:textId="77777777" w:rsidR="0006128B" w:rsidRPr="00562D16" w:rsidRDefault="0006128B" w:rsidP="00DB3CEB">
      <w:pPr>
        <w:keepNext/>
        <w:tabs>
          <w:tab w:val="left" w:pos="850"/>
        </w:tabs>
        <w:spacing w:before="360" w:after="120" w:line="240" w:lineRule="auto"/>
        <w:ind w:left="850" w:firstLine="1"/>
        <w:jc w:val="both"/>
        <w:outlineLvl w:val="0"/>
        <w:rPr>
          <w:rFonts w:ascii="Times New Roman" w:eastAsia="Calibri" w:hAnsi="Times New Roman" w:cs="Times New Roman"/>
          <w:b/>
          <w:bCs/>
          <w:smallCaps/>
          <w:noProof/>
          <w:sz w:val="24"/>
          <w:szCs w:val="24"/>
        </w:rPr>
      </w:pPr>
      <w:r>
        <w:rPr>
          <w:rFonts w:ascii="Times New Roman" w:hAnsi="Times New Roman"/>
          <w:b/>
          <w:smallCaps/>
          <w:noProof/>
          <w:sz w:val="24"/>
        </w:rPr>
        <w:t>Л. КОМПОНЕНТ 12: Здравеопазване</w:t>
      </w:r>
    </w:p>
    <w:p w14:paraId="478AEC77" w14:textId="77777777" w:rsidR="0006128B" w:rsidRPr="00562D16" w:rsidRDefault="0006128B" w:rsidP="0006128B">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 xml:space="preserve">Този компонент на българския план за възстановяване и устойчивост има за цел да подобри предоставянето и наличието на здравни услуги в България. Той обхваща шест реформи и седем инвестиции. </w:t>
      </w:r>
    </w:p>
    <w:p w14:paraId="379E6B72" w14:textId="77777777" w:rsidR="0006128B" w:rsidRPr="00562D16" w:rsidRDefault="0006128B" w:rsidP="0006128B">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Компонентът включва инвестиции в здравния сектор на цялата територия, включително модернизиране на част от болниците и лечебните заведения за педиатрична, онкологична или психиатрична помощ.</w:t>
      </w:r>
    </w:p>
    <w:p w14:paraId="538CC290" w14:textId="77777777" w:rsidR="0006128B" w:rsidRPr="00562D16" w:rsidRDefault="0006128B" w:rsidP="0006128B">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Компонентът включва също така създаване на амбулатории, създаването на система за оказване на спешна медицинска помощ по въздуха, както и мерки за справяне с недостига на здравни специалисти, включително с тяхното неравномерно географско разпределение.</w:t>
      </w:r>
    </w:p>
    <w:p w14:paraId="5A10F975" w14:textId="77777777" w:rsidR="0006128B" w:rsidRPr="00562D16" w:rsidRDefault="0006128B" w:rsidP="0006128B">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 xml:space="preserve">Подобряването на електронното здравеопазване и цифровите иновации в здравеопазването се подпомагат чрез завършване на внедряването на Националната здравно информационна система и чрез разработване на платформа за медицинска диагностика. </w:t>
      </w:r>
    </w:p>
    <w:p w14:paraId="583EF3F7" w14:textId="77777777" w:rsidR="0006128B" w:rsidRPr="00562D16" w:rsidRDefault="0006128B" w:rsidP="0006128B">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В допълнение компонентът въвежда стратегии и планове за действие, които са в подкрепа на инвестициите. Националните стратегии и планове обхващат също така допълнителни въпроси от значение, включително здравното образование в училищата и остаряването в добро здраве.</w:t>
      </w:r>
    </w:p>
    <w:p w14:paraId="02222B3E" w14:textId="77777777" w:rsidR="0006128B" w:rsidRPr="00562D16" w:rsidRDefault="0006128B" w:rsidP="0006128B">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Компонентът допринася за преодоляване на предизвикателствата, посочени в специфичните за всяка държава препоръки, за мобилизиране на достатъчни финансови ресурси за укрепване на устойчивостта, достъпността и капацитета на здравната система и за осигуряване на балансирано географско разпределение на здравните работници (специфична за държавата препоръка 1 2020), както и за подобряване на достъпа до здравни услуги и справяне с недостига на здравни специалисти (специфична за държавата препоръка 4 2019).</w:t>
      </w:r>
    </w:p>
    <w:p w14:paraId="73E19B33" w14:textId="77777777" w:rsidR="0006128B" w:rsidRPr="00562D16" w:rsidRDefault="0006128B" w:rsidP="0006128B">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Очаква се, че нито една мярка в този компонент не вреди в значителна степен на екологичните цели по смисъла на член 17 от Регламент (ЕС) 2020/852, като се вземат предвид описанието на мерките и стъпките за смекчаване на последиците, определени в плана за възстановяване и устойчивост в съответствие с Техническите насоки на принципа за ненанасяне на значителни вреди (ПНЗВ) (2021/C58/01).</w:t>
      </w:r>
    </w:p>
    <w:p w14:paraId="310BDDC7" w14:textId="3F666BBA" w:rsidR="0006128B" w:rsidRPr="00562D16" w:rsidRDefault="00FE1623" w:rsidP="0006128B">
      <w:pPr>
        <w:spacing w:before="120" w:after="120" w:line="240" w:lineRule="auto"/>
        <w:ind w:left="850"/>
        <w:jc w:val="both"/>
        <w:rPr>
          <w:rFonts w:ascii="Times New Roman" w:eastAsia="Calibri" w:hAnsi="Times New Roman" w:cs="Times New Roman"/>
          <w:b/>
          <w:i/>
          <w:noProof/>
          <w:color w:val="4F81BD"/>
          <w:sz w:val="24"/>
          <w:szCs w:val="24"/>
        </w:rPr>
      </w:pPr>
      <w:r>
        <w:rPr>
          <w:rFonts w:ascii="Times New Roman" w:hAnsi="Times New Roman"/>
          <w:b/>
          <w:noProof/>
          <w:sz w:val="24"/>
          <w:u w:val="single"/>
        </w:rPr>
        <w:t>Л</w:t>
      </w:r>
      <w:r w:rsidR="0006128B">
        <w:rPr>
          <w:rFonts w:ascii="Times New Roman" w:hAnsi="Times New Roman"/>
          <w:b/>
          <w:noProof/>
          <w:sz w:val="24"/>
          <w:u w:val="single"/>
        </w:rPr>
        <w:t xml:space="preserve">.1 </w:t>
      </w:r>
      <w:r w:rsidR="0006128B">
        <w:rPr>
          <w:rFonts w:ascii="Times New Roman" w:hAnsi="Times New Roman"/>
          <w:b/>
          <w:noProof/>
          <w:sz w:val="24"/>
          <w:u w:val="single"/>
        </w:rPr>
        <w:tab/>
        <w:t>Описание на реформите и инвестициите за безвъзмездна финансова подкрепа</w:t>
      </w:r>
    </w:p>
    <w:p w14:paraId="2F47FB94" w14:textId="71DA0F3B" w:rsidR="0006128B" w:rsidRPr="00562D16" w:rsidRDefault="0006128B" w:rsidP="0006128B">
      <w:pPr>
        <w:spacing w:before="120" w:after="120" w:line="240" w:lineRule="auto"/>
        <w:ind w:left="850"/>
        <w:jc w:val="both"/>
        <w:rPr>
          <w:rFonts w:ascii="Times New Roman" w:eastAsia="Calibri" w:hAnsi="Times New Roman" w:cs="Times New Roman"/>
          <w:noProof/>
          <w:sz w:val="24"/>
          <w:szCs w:val="24"/>
          <w:u w:val="single"/>
        </w:rPr>
      </w:pPr>
      <w:r>
        <w:rPr>
          <w:rFonts w:ascii="Times New Roman" w:hAnsi="Times New Roman"/>
          <w:noProof/>
          <w:sz w:val="24"/>
          <w:u w:val="single"/>
        </w:rPr>
        <w:t xml:space="preserve">Реформа 1 (C12.R1): Актуалзиране на стратегическата рамка на сектора на здравеопазването </w:t>
      </w:r>
    </w:p>
    <w:p w14:paraId="778B1FE6" w14:textId="77777777" w:rsidR="0006128B" w:rsidRPr="00562D16" w:rsidRDefault="0006128B" w:rsidP="0006128B">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 xml:space="preserve">Целта на реформата е да се повиши устойчивостта на здравната система на сътресения, както и да се увеличи достъпът на населението до качествени и навременни здравни грижи, като се осигури стратегическата основа на бъдещите инвестиции и реформи и се набележат съответните действия. </w:t>
      </w:r>
    </w:p>
    <w:p w14:paraId="2F53B12B" w14:textId="77777777" w:rsidR="0006128B" w:rsidRPr="00562D16" w:rsidRDefault="0006128B" w:rsidP="0006128B">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Реформата включва приемането на редица стратегии и планове, а именно:</w:t>
      </w:r>
    </w:p>
    <w:p w14:paraId="38C086C7" w14:textId="4A974A3C" w:rsidR="0006128B" w:rsidRPr="00562D16" w:rsidRDefault="0006128B" w:rsidP="00A17CA8">
      <w:pPr>
        <w:pStyle w:val="ListParagraph"/>
        <w:numPr>
          <w:ilvl w:val="0"/>
          <w:numId w:val="60"/>
        </w:num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 xml:space="preserve">националната здравна стратегия за периода 2021—2030 г., която има за цел да отговори на съществуващите структурни предизвикателства в сектор „Здравеопазване“, включително недостига на здравни специалисти на места, чрез определяне на стратегическите цели и приоритети за 10-годишен период; </w:t>
      </w:r>
    </w:p>
    <w:p w14:paraId="4CFF570F" w14:textId="77777777" w:rsidR="0006128B" w:rsidRPr="00562D16" w:rsidRDefault="0006128B" w:rsidP="00A17CA8">
      <w:pPr>
        <w:pStyle w:val="ListParagraph"/>
        <w:numPr>
          <w:ilvl w:val="0"/>
          <w:numId w:val="60"/>
        </w:num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Националната стратегия за психично здраве на гражданите на Република България 2021—2030 г., в която се дават препоръки за насърчаване на интегрирането на психиатричните услуги в услугите, получавани в общността, и в услугите, получавани у дома (деинституционализация), както и за решаване на основните проблеми, пред които е изправена системата за психиатрична помощ в страната, включително остаряло оборудване и заведения, както и недостиг на персонал;</w:t>
      </w:r>
    </w:p>
    <w:p w14:paraId="7ABBC153" w14:textId="77777777" w:rsidR="0006128B" w:rsidRPr="00562D16" w:rsidRDefault="0006128B" w:rsidP="00A17CA8">
      <w:pPr>
        <w:pStyle w:val="ListParagraph"/>
        <w:numPr>
          <w:ilvl w:val="0"/>
          <w:numId w:val="60"/>
        </w:num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Националната стратегия за детско и юношеско здраве и педиатрична грижа в Република България 2021—2030 г., в която се дават целенасочени препоръки за укрепване на здравните услуги за деца и юноши, като се започне от бременността;</w:t>
      </w:r>
    </w:p>
    <w:p w14:paraId="0FF4760E" w14:textId="39DAD356" w:rsidR="0006128B" w:rsidRPr="00562D16" w:rsidRDefault="0006128B" w:rsidP="00A17CA8">
      <w:pPr>
        <w:pStyle w:val="ListParagraph"/>
        <w:numPr>
          <w:ilvl w:val="0"/>
          <w:numId w:val="60"/>
        </w:num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Националната стратегия за гериатрична грижа и остаряване в добро здраве в Република България 2021—2030 г. Стратегията насърчава цялостен набор от препоръки, насочени към здравето и благосъстоянието на старите хора, като се вземат предвид регионалните демографски тенденции и наличието на услуги, включително достъп до здравни и социални услуги.</w:t>
      </w:r>
    </w:p>
    <w:p w14:paraId="3061B5F4" w14:textId="77777777" w:rsidR="0006128B" w:rsidRPr="00562D16" w:rsidRDefault="0006128B" w:rsidP="0006128B">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Приемането на тези стратегии се допълва от приемането на придружаващи планове за действие за тяхното изпълнение. Плановете за действие се основават на препоръките на стратегиите за очертаване на мерки, включително техния график.</w:t>
      </w:r>
    </w:p>
    <w:p w14:paraId="2F8E1454" w14:textId="77777777" w:rsidR="0006128B" w:rsidRPr="00562D16" w:rsidRDefault="0006128B" w:rsidP="0006128B">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Реформата включва също така приемането на:</w:t>
      </w:r>
    </w:p>
    <w:p w14:paraId="78AEA750" w14:textId="67FACCB6" w:rsidR="0006128B" w:rsidRPr="00562D16" w:rsidRDefault="0006128B" w:rsidP="00A17CA8">
      <w:pPr>
        <w:pStyle w:val="ListParagraph"/>
        <w:numPr>
          <w:ilvl w:val="0"/>
          <w:numId w:val="60"/>
        </w:numPr>
        <w:spacing w:before="120" w:after="120" w:line="240" w:lineRule="auto"/>
        <w:jc w:val="both"/>
        <w:rPr>
          <w:rFonts w:ascii="Times New Roman" w:eastAsia="Calibri" w:hAnsi="Times New Roman" w:cs="Times New Roman"/>
          <w:noProof/>
          <w:sz w:val="24"/>
          <w:szCs w:val="24"/>
          <w:u w:val="single"/>
        </w:rPr>
      </w:pPr>
      <w:r>
        <w:rPr>
          <w:rFonts w:ascii="Times New Roman" w:hAnsi="Times New Roman"/>
          <w:noProof/>
          <w:sz w:val="24"/>
        </w:rPr>
        <w:t>Национална карта за дългосрочната нужда от здравни услуги България, в която се дават препоръки за насърчаване на балансирано разпределение на здравните услуги в България въз основа на анализи, обхващащи здравните заведения във всеки регион;</w:t>
      </w:r>
    </w:p>
    <w:p w14:paraId="5F55AF3B" w14:textId="77777777" w:rsidR="0006128B" w:rsidRPr="00562D16" w:rsidRDefault="0006128B" w:rsidP="00A17CA8">
      <w:pPr>
        <w:pStyle w:val="ListParagraph"/>
        <w:numPr>
          <w:ilvl w:val="0"/>
          <w:numId w:val="60"/>
        </w:num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Национален план за борба с рака в Република България 2021—2027 г., в който се очертават мерки за намаляване на заболеваемостта и смъртността от ракови заболявания, целеви скринингови дейности за ранно откриване на ракови заболявания, както и терапии за лечение на ракови заболявания;</w:t>
      </w:r>
    </w:p>
    <w:p w14:paraId="75305E58" w14:textId="77777777" w:rsidR="0006128B" w:rsidRPr="00562D16" w:rsidRDefault="0006128B" w:rsidP="00A17CA8">
      <w:pPr>
        <w:pStyle w:val="ListParagraph"/>
        <w:numPr>
          <w:ilvl w:val="0"/>
          <w:numId w:val="60"/>
        </w:num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Национален план за преструктуриране на болничната помощ в Република България 2021—2027 г., в който се очертават мерки за преструктуриране и оптимизиране на организацията на болничния сектор и за подобряване на достъпа до здравни услуги в болнични заведения.</w:t>
      </w:r>
    </w:p>
    <w:p w14:paraId="5BA05618" w14:textId="77777777" w:rsidR="0006128B" w:rsidRPr="008A0F8A" w:rsidRDefault="0006128B" w:rsidP="0006128B">
      <w:pPr>
        <w:pStyle w:val="ListParagraph"/>
        <w:spacing w:before="120" w:after="120" w:line="240" w:lineRule="auto"/>
        <w:ind w:left="1420"/>
        <w:jc w:val="both"/>
        <w:rPr>
          <w:rFonts w:ascii="Times New Roman" w:eastAsia="Calibri" w:hAnsi="Times New Roman" w:cs="Times New Roman"/>
          <w:noProof/>
          <w:sz w:val="24"/>
          <w:lang w:val="ru-RU"/>
        </w:rPr>
      </w:pPr>
    </w:p>
    <w:p w14:paraId="3113C7F0" w14:textId="15D106F5" w:rsidR="0006128B" w:rsidRPr="00562D16" w:rsidRDefault="0006128B" w:rsidP="0006128B">
      <w:pPr>
        <w:pStyle w:val="ListParagraph"/>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Изпълнението на реформата ще приключи до 31 март 2023 г.</w:t>
      </w:r>
    </w:p>
    <w:p w14:paraId="5EEA0745" w14:textId="77777777" w:rsidR="0006128B" w:rsidRPr="008A0F8A" w:rsidRDefault="0006128B" w:rsidP="0006128B">
      <w:pPr>
        <w:pStyle w:val="ListParagraph"/>
        <w:spacing w:before="120" w:after="120" w:line="240" w:lineRule="auto"/>
        <w:ind w:left="850"/>
        <w:jc w:val="both"/>
        <w:rPr>
          <w:rFonts w:ascii="Times New Roman" w:eastAsia="Calibri" w:hAnsi="Times New Roman" w:cs="Times New Roman"/>
          <w:noProof/>
          <w:sz w:val="24"/>
          <w:szCs w:val="24"/>
          <w:lang w:val="ru-RU"/>
        </w:rPr>
      </w:pPr>
    </w:p>
    <w:p w14:paraId="5325CE0A" w14:textId="3E9B870B" w:rsidR="0006128B" w:rsidRPr="00562D16" w:rsidRDefault="0006128B" w:rsidP="0006128B">
      <w:pPr>
        <w:spacing w:before="120" w:after="120" w:line="240" w:lineRule="auto"/>
        <w:ind w:left="850"/>
        <w:jc w:val="both"/>
        <w:rPr>
          <w:rFonts w:ascii="Times New Roman" w:eastAsia="Calibri" w:hAnsi="Times New Roman" w:cs="Times New Roman"/>
          <w:noProof/>
          <w:sz w:val="24"/>
          <w:szCs w:val="24"/>
          <w:u w:val="single"/>
        </w:rPr>
      </w:pPr>
      <w:r>
        <w:rPr>
          <w:rFonts w:ascii="Times New Roman" w:hAnsi="Times New Roman"/>
          <w:noProof/>
          <w:sz w:val="24"/>
          <w:u w:val="single"/>
        </w:rPr>
        <w:t>Реформа 2 (C12.R2): Развитие на електронното здравеопазване и на Националната здравно информационна система</w:t>
      </w:r>
    </w:p>
    <w:p w14:paraId="6C5E25A7" w14:textId="77777777" w:rsidR="0006128B" w:rsidRPr="00562D16" w:rsidRDefault="0006128B" w:rsidP="0006128B">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 xml:space="preserve">Целта на реформата е да се насърчи развитието на електронно здравеопазване. </w:t>
      </w:r>
    </w:p>
    <w:p w14:paraId="72D77791" w14:textId="77777777" w:rsidR="0006128B" w:rsidRPr="00562D16" w:rsidRDefault="0006128B" w:rsidP="0006128B">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Реформата включва приемането на Национална стратегия за електронно здравеопазване и цифровизация на здравната система 2021—2030 г., в която ще бъдат дадени препоръки относно цифровизацията и интеграцията на здравните услуги с цел повишаване на ефективността и обхвата на електронното здравеопазване в България. Приема се също така план за действие, в който се очертават мерките за изпълнение на препоръките на стратегията.</w:t>
      </w:r>
    </w:p>
    <w:p w14:paraId="4F12F846" w14:textId="77777777" w:rsidR="0006128B" w:rsidRPr="00562D16" w:rsidRDefault="0006128B" w:rsidP="0006128B">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Реформата включва също така актуализиране на правната рамка в страната във връзка с електронното здравеопазване по отношение на: телемедицина, включително теледиагностика и телемониторинг; реда и условията за предписване и отпускане на лекарствени продукти; създаването и поддържането на електронни здравни досиета на гражданите; както и работните процеси на Националната здравно информационна система (НЗИС).</w:t>
      </w:r>
    </w:p>
    <w:p w14:paraId="25CB8659" w14:textId="77777777" w:rsidR="0006128B" w:rsidRPr="00562D16" w:rsidRDefault="0006128B" w:rsidP="0006128B">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 xml:space="preserve">В допълнение реформата ще финализира изпълнението на НЗИС, като по този начин се създаде единна цифрова среда за събиране и обмен на медицинска информация. </w:t>
      </w:r>
    </w:p>
    <w:p w14:paraId="0BEDD3E9" w14:textId="3E99B583" w:rsidR="0006128B" w:rsidRPr="00562D16" w:rsidRDefault="0006128B" w:rsidP="0006128B">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Изпълнението на реформата трябва да приключи до 30 юни 2023 г.</w:t>
      </w:r>
    </w:p>
    <w:p w14:paraId="3DE74160" w14:textId="404653E3" w:rsidR="0006128B" w:rsidRPr="00562D16" w:rsidRDefault="0006128B" w:rsidP="0006128B">
      <w:pPr>
        <w:spacing w:before="120" w:after="120" w:line="240" w:lineRule="auto"/>
        <w:ind w:left="850"/>
        <w:jc w:val="both"/>
        <w:rPr>
          <w:rFonts w:ascii="Times New Roman" w:eastAsia="Calibri" w:hAnsi="Times New Roman" w:cs="Times New Roman"/>
          <w:noProof/>
          <w:sz w:val="24"/>
          <w:szCs w:val="24"/>
          <w:u w:val="single"/>
        </w:rPr>
      </w:pPr>
      <w:r>
        <w:rPr>
          <w:rFonts w:ascii="Times New Roman" w:hAnsi="Times New Roman"/>
          <w:noProof/>
          <w:sz w:val="24"/>
          <w:u w:val="single"/>
        </w:rPr>
        <w:t>Реформа 3 (C12.R3): Повишаване на привлекателността на здравните професии и насърчаване на по-балансираното разпределение на здравните специалисти на територията на страната</w:t>
      </w:r>
    </w:p>
    <w:p w14:paraId="6BC3CE66" w14:textId="77777777" w:rsidR="0006128B" w:rsidRPr="00562D16" w:rsidRDefault="0006128B" w:rsidP="0006128B">
      <w:pPr>
        <w:ind w:left="850"/>
        <w:jc w:val="both"/>
        <w:rPr>
          <w:rFonts w:ascii="Times New Roman" w:eastAsia="Calibri" w:hAnsi="Times New Roman" w:cs="Times New Roman"/>
          <w:noProof/>
          <w:sz w:val="24"/>
          <w:szCs w:val="24"/>
        </w:rPr>
      </w:pPr>
      <w:r>
        <w:rPr>
          <w:rFonts w:ascii="Times New Roman" w:hAnsi="Times New Roman"/>
          <w:noProof/>
          <w:sz w:val="24"/>
        </w:rPr>
        <w:t xml:space="preserve">Целта на реформата е да се преодолее недостигът на здравни специалисти и тяхното неравномерно разпределение на територията на страната. </w:t>
      </w:r>
    </w:p>
    <w:p w14:paraId="51D206AE" w14:textId="6B3B5A47" w:rsidR="0006128B" w:rsidRPr="00562D16" w:rsidRDefault="0006128B" w:rsidP="0006128B">
      <w:pPr>
        <w:ind w:left="850"/>
        <w:jc w:val="both"/>
        <w:rPr>
          <w:rFonts w:ascii="Times New Roman" w:hAnsi="Times New Roman" w:cs="Times New Roman"/>
          <w:noProof/>
          <w:sz w:val="24"/>
          <w:szCs w:val="24"/>
        </w:rPr>
      </w:pPr>
      <w:r>
        <w:rPr>
          <w:rFonts w:ascii="Times New Roman" w:hAnsi="Times New Roman"/>
          <w:noProof/>
          <w:sz w:val="24"/>
        </w:rPr>
        <w:t xml:space="preserve">Реформата включва разработването, приемането и влизането в сила на законодателен пакет и други действия, които: позволят на медицинските специалисти, по-специално на медицинските сестри и акушерките да създадат своя собствена практика; осигурят възстановяване от Националната здравноосигурителна система на разходите за услугите, предоставяни от медицински специалисти, по-специално от медицинските сестри и акушерките в рамките на своята практика; увеличават броя на университетските места за специализации за медицински сестри; да насърчават по-балансирано разпределение на здравните работници, включително чрез предоставяне на финансови стимули, финансирани от държавния бюджет и европейските структурни фондове; и да засилват представителството на здравните специалисти в редовния процес на договаряне с Националната здравноосигурителна каса. </w:t>
      </w:r>
    </w:p>
    <w:p w14:paraId="01572325" w14:textId="72543276" w:rsidR="0006128B" w:rsidRPr="00562D16" w:rsidRDefault="0006128B" w:rsidP="0006128B">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Изпълнението на реформата ще приключи до 30 юни 2026 г.</w:t>
      </w:r>
    </w:p>
    <w:p w14:paraId="06EC056E" w14:textId="0BD02D19" w:rsidR="0006128B" w:rsidRPr="00562D16" w:rsidRDefault="0006128B" w:rsidP="0006128B">
      <w:pPr>
        <w:spacing w:before="120" w:after="120" w:line="240" w:lineRule="auto"/>
        <w:ind w:left="850"/>
        <w:jc w:val="both"/>
        <w:rPr>
          <w:rFonts w:ascii="Times New Roman" w:eastAsia="Calibri" w:hAnsi="Times New Roman" w:cs="Times New Roman"/>
          <w:noProof/>
          <w:sz w:val="24"/>
          <w:szCs w:val="24"/>
          <w:u w:val="single"/>
        </w:rPr>
      </w:pPr>
      <w:r>
        <w:rPr>
          <w:rFonts w:ascii="Times New Roman" w:hAnsi="Times New Roman"/>
          <w:noProof/>
          <w:sz w:val="24"/>
          <w:u w:val="single"/>
        </w:rPr>
        <w:t>Реформа 4 (C12.R4): Стратегическа рамка и план за действие за увеличаване на наличието на първични и амбулаторни грижи</w:t>
      </w:r>
    </w:p>
    <w:p w14:paraId="27990F47" w14:textId="77777777" w:rsidR="0006128B" w:rsidRPr="00562D16" w:rsidRDefault="0006128B" w:rsidP="0006128B">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 xml:space="preserve">Целта на реформата е да се осигури основа за укрепване на предоставянето на първични и амбулаторни грижи на цялата територия чрез приемане на национална стратегия и свързания план за действие. </w:t>
      </w:r>
    </w:p>
    <w:p w14:paraId="35EBCC41" w14:textId="77777777" w:rsidR="0006128B" w:rsidRPr="00562D16" w:rsidRDefault="0006128B" w:rsidP="0006128B">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Реформата включва приемането на Национална стратегия за подобряване на достъпността и капацитета на първичната извънболнична медицинска помощ и осигуряване на балансирано териториално разпределение на медицинската помощ и здравните грижи в Република България 2021—2027 г. и на плана за действие за нейното изпълнение. В стратегията се формулират препоръки за осигуряване на балансирано разпределение на първичните и амбулаторните грижи в България, а в плана за действие се очертават мерките за изпълнение на препоръките от стратегията.</w:t>
      </w:r>
    </w:p>
    <w:p w14:paraId="3207B750" w14:textId="3BFB32E5" w:rsidR="0006128B" w:rsidRPr="00562D16" w:rsidRDefault="0006128B" w:rsidP="0006128B">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Изпълнението на реформата ще приключи до 31 март 2023 г.</w:t>
      </w:r>
    </w:p>
    <w:p w14:paraId="6D104430" w14:textId="14644859" w:rsidR="0006128B" w:rsidRPr="00562D16" w:rsidRDefault="0006128B" w:rsidP="0006128B">
      <w:pPr>
        <w:spacing w:before="120" w:after="120" w:line="240" w:lineRule="auto"/>
        <w:ind w:left="850"/>
        <w:jc w:val="both"/>
        <w:rPr>
          <w:rFonts w:ascii="Times New Roman" w:eastAsia="Calibri" w:hAnsi="Times New Roman" w:cs="Times New Roman"/>
          <w:noProof/>
          <w:sz w:val="24"/>
          <w:szCs w:val="24"/>
          <w:u w:val="single"/>
        </w:rPr>
      </w:pPr>
      <w:r>
        <w:rPr>
          <w:rFonts w:ascii="Times New Roman" w:hAnsi="Times New Roman"/>
          <w:noProof/>
          <w:sz w:val="24"/>
          <w:u w:val="single"/>
        </w:rPr>
        <w:t>Реформа 5 (C12.R5): Подкрепа за по-доброто осигуряване на профилактични скринингови дейности</w:t>
      </w:r>
    </w:p>
    <w:p w14:paraId="2414D442" w14:textId="77777777" w:rsidR="0006128B" w:rsidRPr="00562D16" w:rsidRDefault="0006128B" w:rsidP="0006128B">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 xml:space="preserve">Целта на реформата е да се подпомогне ефективността на здравното обслужване чрез разработване на план за насърчаване на скринингови дейности на здравното състояние и заболяванията на цялата територия на България. </w:t>
      </w:r>
    </w:p>
    <w:p w14:paraId="4E1FB454" w14:textId="77777777" w:rsidR="0006128B" w:rsidRPr="00562D16" w:rsidRDefault="0006128B" w:rsidP="0006128B">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Реформата включва разработването и приемането на Национален план за развитие на широкообхватен пренатален и неонатален скрининг, и скрининг на социалнозначимите заболявания 2021—2027 г., който ще бъде в основата на създаването на центрове за скрининг на цялата територия, включително на Национален интердисциплинарен център, предвиден по инвестиция 7 „Развитие на амбулаторните грижи“.</w:t>
      </w:r>
    </w:p>
    <w:p w14:paraId="3155D7E1" w14:textId="206CE064" w:rsidR="0006128B" w:rsidRDefault="0006128B" w:rsidP="0006128B">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Изпълнението на реформата ще приключи до 31 март 2023 г.</w:t>
      </w:r>
    </w:p>
    <w:p w14:paraId="454792A7" w14:textId="0F386094" w:rsidR="0006128B" w:rsidRPr="00562D16" w:rsidRDefault="0006128B" w:rsidP="006E16A2">
      <w:pPr>
        <w:pageBreakBefore/>
        <w:spacing w:before="120" w:after="120" w:line="240" w:lineRule="auto"/>
        <w:ind w:left="851"/>
        <w:jc w:val="both"/>
        <w:rPr>
          <w:rFonts w:ascii="Times New Roman" w:eastAsia="Calibri" w:hAnsi="Times New Roman" w:cs="Times New Roman"/>
          <w:noProof/>
          <w:sz w:val="24"/>
          <w:szCs w:val="24"/>
          <w:u w:val="single"/>
        </w:rPr>
      </w:pPr>
      <w:r>
        <w:rPr>
          <w:rFonts w:ascii="Times New Roman" w:hAnsi="Times New Roman"/>
          <w:noProof/>
          <w:sz w:val="24"/>
          <w:u w:val="single"/>
        </w:rPr>
        <w:t>Реформа 6 (C12.R6): План за съвременно здравно образование в училищата</w:t>
      </w:r>
    </w:p>
    <w:p w14:paraId="65D1E82F" w14:textId="77777777" w:rsidR="0006128B" w:rsidRPr="00562D16" w:rsidRDefault="0006128B" w:rsidP="0006128B">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 xml:space="preserve">Целта на реформата е да допринесе за намаляване на предотвратимите здравни проблеми чрез предоставяне на здравно образование в училищата. </w:t>
      </w:r>
    </w:p>
    <w:p w14:paraId="40C532E8" w14:textId="77777777" w:rsidR="0006128B" w:rsidRPr="00562D16" w:rsidRDefault="0006128B" w:rsidP="0006128B">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Реформата се състои в разработването и приемането на План за здравно образование в българското училище 2021—2027 г. В плана се посочват мерки за насърчаване на здравословния начин на живот сред учениците в областта на репродуктивното здраве, храненето и вредната консумация на алкохол и други психоактивни вещества.</w:t>
      </w:r>
    </w:p>
    <w:p w14:paraId="683ED455" w14:textId="77777777" w:rsidR="0006128B" w:rsidRPr="00562D16" w:rsidRDefault="0006128B" w:rsidP="0006128B">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Изпълнението на реформата ще приключи до 31 декември 2022 г.</w:t>
      </w:r>
    </w:p>
    <w:p w14:paraId="4D64A9DA" w14:textId="67E5A8AB" w:rsidR="0006128B" w:rsidRPr="00562D16" w:rsidRDefault="0006128B" w:rsidP="0006128B">
      <w:pPr>
        <w:spacing w:before="120" w:after="120" w:line="240" w:lineRule="auto"/>
        <w:ind w:left="850"/>
        <w:jc w:val="both"/>
        <w:rPr>
          <w:rFonts w:ascii="Times New Roman" w:eastAsia="Calibri" w:hAnsi="Times New Roman" w:cs="Times New Roman"/>
          <w:noProof/>
          <w:sz w:val="24"/>
          <w:szCs w:val="24"/>
          <w:u w:val="single"/>
        </w:rPr>
      </w:pPr>
      <w:r>
        <w:rPr>
          <w:rFonts w:ascii="Times New Roman" w:hAnsi="Times New Roman"/>
          <w:noProof/>
          <w:sz w:val="24"/>
          <w:u w:val="single"/>
        </w:rPr>
        <w:t>Инвестиция 1 (C12.I1): Модернизиране на болничните заведения</w:t>
      </w:r>
    </w:p>
    <w:p w14:paraId="29D4FC65" w14:textId="77777777" w:rsidR="0006128B" w:rsidRPr="00562D16" w:rsidRDefault="0006128B" w:rsidP="0006128B">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 xml:space="preserve">Инвестицията допълва реформа 1 „Актуализиране на стратегическата рамка на сектор „Здравеопазване“. Целта е да се подобри предоставянето на педиатрична и онкологична помощ. </w:t>
      </w:r>
    </w:p>
    <w:p w14:paraId="6AE36D41" w14:textId="5F879529" w:rsidR="0006128B" w:rsidRPr="00562D16" w:rsidRDefault="0006128B" w:rsidP="0006128B">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Инвестицията включва предоставянето на оборудване на болниците, осигуряващи педиатрична и онкологична помощ.</w:t>
      </w:r>
    </w:p>
    <w:p w14:paraId="31E34A27" w14:textId="555269C6" w:rsidR="0006128B" w:rsidRPr="00562D16" w:rsidRDefault="0006128B" w:rsidP="0006128B">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Определянето на съществуващите заведения за педиатрична и/или онкологична помощ, които трябва да получат оборудване, както и нуждите от оборудване на всяко от заведенията, се определят въз основа на препоръките на Националната карта за дългосрочните нужди на сектор „Здравеопазване“, както и на други подходящи критерии (напр. издадени разрешения за извършване на определени дейности, като например радиотерапия, ако се прилага).</w:t>
      </w:r>
    </w:p>
    <w:p w14:paraId="77A0979A" w14:textId="27FFF599" w:rsidR="0006128B" w:rsidRPr="00562D16" w:rsidRDefault="0006128B" w:rsidP="0006128B">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Изпълнението на инвестицията ще приключи до 31 декември 2025 г.</w:t>
      </w:r>
    </w:p>
    <w:p w14:paraId="66E4DC30" w14:textId="17E98A17" w:rsidR="0006128B" w:rsidRPr="00562D16" w:rsidRDefault="0006128B" w:rsidP="0006128B">
      <w:pPr>
        <w:spacing w:before="120" w:after="120" w:line="240" w:lineRule="auto"/>
        <w:ind w:left="850"/>
        <w:jc w:val="both"/>
        <w:rPr>
          <w:rFonts w:ascii="Times New Roman" w:eastAsia="Calibri" w:hAnsi="Times New Roman" w:cs="Times New Roman"/>
          <w:noProof/>
          <w:sz w:val="24"/>
          <w:szCs w:val="24"/>
          <w:u w:val="single"/>
        </w:rPr>
      </w:pPr>
      <w:r>
        <w:rPr>
          <w:rFonts w:ascii="Times New Roman" w:hAnsi="Times New Roman"/>
          <w:noProof/>
          <w:sz w:val="24"/>
          <w:u w:val="single"/>
        </w:rPr>
        <w:t>Инвестиция 2 (C12.I2): Центрове за интервенционална диагностика и ендоваскуларно лечение на мозъчно-съдови заболявания</w:t>
      </w:r>
    </w:p>
    <w:p w14:paraId="74E01758" w14:textId="77777777" w:rsidR="0006128B" w:rsidRPr="00562D16" w:rsidRDefault="0006128B" w:rsidP="0006128B">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 xml:space="preserve">Целта на инвестицията е да се засили предоставянето на здравни грижи за мозъчно-съдови заболявания. </w:t>
      </w:r>
    </w:p>
    <w:p w14:paraId="53EC791D" w14:textId="0288D1BA" w:rsidR="0006128B" w:rsidRPr="00562D16" w:rsidRDefault="0006128B" w:rsidP="0006128B">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Инвестицията създава специализирани медицински центрове в болниците. Центровете ще бъдат оборудвани за интервенционална диагностика и лечение на мозъчно-съдови заболявания.</w:t>
      </w:r>
    </w:p>
    <w:p w14:paraId="31EF27FA" w14:textId="77777777" w:rsidR="0006128B" w:rsidRPr="00562D16" w:rsidRDefault="0006128B" w:rsidP="0006128B">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Изпълнението на инвестицията ще приключи до 31 декември 2025 г.</w:t>
      </w:r>
    </w:p>
    <w:p w14:paraId="3EDD5E83" w14:textId="752CA320" w:rsidR="0006128B" w:rsidRPr="00562D16" w:rsidRDefault="0006128B" w:rsidP="0006128B">
      <w:pPr>
        <w:spacing w:before="120" w:after="120" w:line="240" w:lineRule="auto"/>
        <w:ind w:left="850"/>
        <w:jc w:val="both"/>
        <w:rPr>
          <w:rFonts w:ascii="Times New Roman" w:eastAsia="Calibri" w:hAnsi="Times New Roman" w:cs="Times New Roman"/>
          <w:noProof/>
          <w:sz w:val="24"/>
          <w:szCs w:val="24"/>
          <w:u w:val="single"/>
        </w:rPr>
      </w:pPr>
      <w:r>
        <w:rPr>
          <w:rFonts w:ascii="Times New Roman" w:hAnsi="Times New Roman"/>
          <w:noProof/>
          <w:sz w:val="24"/>
          <w:u w:val="single"/>
        </w:rPr>
        <w:t>Инвестиция 3 (C12.I3): Модернизация на психиатричната помощ</w:t>
      </w:r>
    </w:p>
    <w:p w14:paraId="4D7FA660" w14:textId="78B9D643" w:rsidR="0006128B" w:rsidRPr="00562D16" w:rsidRDefault="0006128B" w:rsidP="0006128B">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Инвестицията допълва реформа 1 „Актуализиране на стратегическата рамка на сектор „Здравеопазване“, и по-специално „Националната стратегия за психично здраве на гражданите на Република България 2021—2030 г.“ и съответния план за действие. Целта на инвестицията е подобряване на условията за хоспитализираните пациенти, подобряване на остарялото оборудване и инфраструктури на някои от заведенията за психиатрична помощ.</w:t>
      </w:r>
    </w:p>
    <w:p w14:paraId="351E8219" w14:textId="0C5DBE21" w:rsidR="0006128B" w:rsidRPr="00562D16" w:rsidRDefault="0006128B" w:rsidP="0006128B">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Мярката се състои от ремонтиране и оборудване на заведения за психиатрична помощ. Заведенията, които се ремонтират и получават оборудване, както и нуждите от оборудване на всяко от тях, се определят въз основа на анализ на нуждите на заведенията за психиатрична помощ.</w:t>
      </w:r>
    </w:p>
    <w:p w14:paraId="6E71CF06" w14:textId="457D5498" w:rsidR="0006128B" w:rsidRDefault="0006128B" w:rsidP="0006128B">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Изпълнението на инвестицията ще приключи до 31 декември 2025 г.</w:t>
      </w:r>
    </w:p>
    <w:p w14:paraId="7423177E" w14:textId="44C1F75E" w:rsidR="00DB3CEB" w:rsidRPr="008A0F8A" w:rsidRDefault="00DB3CEB" w:rsidP="0006128B">
      <w:pPr>
        <w:spacing w:before="120" w:after="120" w:line="240" w:lineRule="auto"/>
        <w:ind w:left="850"/>
        <w:jc w:val="both"/>
        <w:rPr>
          <w:rFonts w:ascii="Times New Roman" w:eastAsia="Calibri" w:hAnsi="Times New Roman" w:cs="Times New Roman"/>
          <w:noProof/>
          <w:sz w:val="24"/>
          <w:szCs w:val="24"/>
          <w:lang w:val="ru-RU"/>
        </w:rPr>
      </w:pPr>
    </w:p>
    <w:p w14:paraId="1F200022" w14:textId="5F8404A5" w:rsidR="0006128B" w:rsidRPr="00562D16" w:rsidRDefault="0006128B" w:rsidP="008E333E">
      <w:pPr>
        <w:pageBreakBefore/>
        <w:spacing w:before="120" w:after="120" w:line="240" w:lineRule="auto"/>
        <w:ind w:left="851"/>
        <w:jc w:val="both"/>
        <w:rPr>
          <w:rFonts w:ascii="Times New Roman" w:eastAsia="Calibri" w:hAnsi="Times New Roman" w:cs="Times New Roman"/>
          <w:noProof/>
          <w:sz w:val="24"/>
          <w:szCs w:val="24"/>
          <w:u w:val="single"/>
        </w:rPr>
      </w:pPr>
      <w:r>
        <w:rPr>
          <w:rFonts w:ascii="Times New Roman" w:hAnsi="Times New Roman"/>
          <w:noProof/>
          <w:sz w:val="24"/>
          <w:u w:val="single"/>
        </w:rPr>
        <w:t>Инвестиция 4 (C12.I4): Създаване на система за оказване на спешна медицинска помощ по въздуха</w:t>
      </w:r>
    </w:p>
    <w:p w14:paraId="29B1E202" w14:textId="40015F7A" w:rsidR="0006128B" w:rsidRPr="00562D16" w:rsidRDefault="0006128B" w:rsidP="0006128B">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 xml:space="preserve">Целта на инвестицията е да се създаде система за оказване на спешна медицинска помощ по въздуха. Това включва закупуването на вертолети за предоставяне на спешна медицинска помощ, когато е необходим незабавен и бърз превоз, както и изграждането на работни площадки с хангари за вертолетите. </w:t>
      </w:r>
    </w:p>
    <w:p w14:paraId="28382F69" w14:textId="77777777" w:rsidR="0006128B" w:rsidRPr="00562D16" w:rsidRDefault="0006128B" w:rsidP="0006128B">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Тази система за оказване на спешна медицинска помощ по въздуха осигурява превоза на хора, засегнати от извънредна ситуация, на медицински персонал, както и на медицинско оборудване и консумативи.</w:t>
      </w:r>
    </w:p>
    <w:p w14:paraId="0E7F89F7" w14:textId="77777777" w:rsidR="0006128B" w:rsidRPr="00562D16" w:rsidRDefault="0006128B" w:rsidP="0006128B">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Изпълнението на инвестицията ще приключи до 30 юни 2026 г.</w:t>
      </w:r>
    </w:p>
    <w:p w14:paraId="4DDC92C2" w14:textId="7F7AC0FE" w:rsidR="0006128B" w:rsidRPr="00562D16" w:rsidRDefault="0006128B" w:rsidP="0006128B">
      <w:pPr>
        <w:spacing w:before="120" w:after="120" w:line="240" w:lineRule="auto"/>
        <w:ind w:left="850"/>
        <w:jc w:val="both"/>
        <w:rPr>
          <w:rFonts w:ascii="Times New Roman" w:eastAsia="Calibri" w:hAnsi="Times New Roman" w:cs="Times New Roman"/>
          <w:noProof/>
          <w:sz w:val="24"/>
          <w:szCs w:val="24"/>
          <w:u w:val="single"/>
        </w:rPr>
      </w:pPr>
      <w:r>
        <w:rPr>
          <w:rFonts w:ascii="Times New Roman" w:hAnsi="Times New Roman"/>
          <w:noProof/>
          <w:sz w:val="24"/>
          <w:u w:val="single"/>
        </w:rPr>
        <w:t>Инвестиция 5 (C12.I5): Национална цифрова платформа за медицинска диагностика</w:t>
      </w:r>
    </w:p>
    <w:p w14:paraId="21F70800" w14:textId="77777777" w:rsidR="0006128B" w:rsidRPr="00562D16" w:rsidRDefault="0006128B" w:rsidP="0006128B">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 xml:space="preserve">Целта на инвестицията е да се подобри медицинската диагностика. </w:t>
      </w:r>
    </w:p>
    <w:p w14:paraId="1CFAB494" w14:textId="7F363AAB" w:rsidR="0006128B" w:rsidRPr="00562D16" w:rsidRDefault="0006128B" w:rsidP="0006128B">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С инвестицията се създава цифрова платформа за медицинска диагностика, която да насърчава цифровата диагностика в различните медицински специалности, като дава възможност за обработване на данни посредством валидирани алгоритми за машинно самообучение. Платформата се предоставя на разположение на лечебните заведения, включващи болници, клиники, лаборатории и амбулатории, които работят в областта на онкологията, диагностичната радиология, дерматологията и патологията и се интегрира в Националната здравно информационна система (НЗИС), като по този начин допълва реформа 2 „Внедряване на електронното здравеопазване и на Националната здравно информационна система“.</w:t>
      </w:r>
    </w:p>
    <w:p w14:paraId="58EE5DAB" w14:textId="6F7C2554" w:rsidR="0006128B" w:rsidRPr="00562D16" w:rsidRDefault="0006128B" w:rsidP="0006128B">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Изпълнението на инвестицията ще приключи до 30 юни 2026 г.</w:t>
      </w:r>
    </w:p>
    <w:p w14:paraId="4B8C4309" w14:textId="77777777" w:rsidR="0006128B" w:rsidRPr="008A0F8A" w:rsidRDefault="0006128B" w:rsidP="0006128B">
      <w:pPr>
        <w:spacing w:before="120" w:after="120" w:line="240" w:lineRule="auto"/>
        <w:ind w:left="850"/>
        <w:jc w:val="both"/>
        <w:rPr>
          <w:rFonts w:ascii="Times New Roman" w:eastAsia="Calibri" w:hAnsi="Times New Roman" w:cs="Times New Roman"/>
          <w:noProof/>
          <w:sz w:val="24"/>
          <w:szCs w:val="24"/>
          <w:lang w:val="ru-RU"/>
        </w:rPr>
      </w:pPr>
    </w:p>
    <w:p w14:paraId="5EF488E8" w14:textId="1891E948" w:rsidR="0006128B" w:rsidRPr="00562D16" w:rsidRDefault="0006128B" w:rsidP="0006128B">
      <w:pPr>
        <w:spacing w:before="120" w:after="120" w:line="240" w:lineRule="auto"/>
        <w:ind w:left="850"/>
        <w:jc w:val="both"/>
        <w:rPr>
          <w:rFonts w:ascii="Times New Roman" w:eastAsia="Calibri" w:hAnsi="Times New Roman" w:cs="Times New Roman"/>
          <w:noProof/>
          <w:sz w:val="24"/>
          <w:szCs w:val="24"/>
          <w:u w:val="single"/>
        </w:rPr>
      </w:pPr>
      <w:r>
        <w:rPr>
          <w:rFonts w:ascii="Times New Roman" w:hAnsi="Times New Roman"/>
          <w:noProof/>
          <w:sz w:val="24"/>
          <w:u w:val="single"/>
        </w:rPr>
        <w:t>Инвестиция 6 (C12.I6): Подобряване на националната система за спешни комуникации на номер 112</w:t>
      </w:r>
    </w:p>
    <w:p w14:paraId="663527E9" w14:textId="77777777" w:rsidR="0006128B" w:rsidRPr="00562D16" w:rsidRDefault="0006128B" w:rsidP="0006128B">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 xml:space="preserve">Целта на инвестицията е да се засили реагирането при извънредни ситуации. </w:t>
      </w:r>
    </w:p>
    <w:p w14:paraId="20490A9C" w14:textId="77777777" w:rsidR="0006128B" w:rsidRPr="00562D16" w:rsidRDefault="0006128B" w:rsidP="0006128B">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Инвестицията се състои в по-нататъшното развитие на функционалностите на Националната система на номер 112. Това включва централизиране на службите за спешно реагиране в единна система за извънредни ситуации — платформата NextGen 112, с цел укрепване на мрежата за спешно реагиране на Единния европейски номер 112 на територията на България. Мярката включва също така преразглеждане на съответния регламент, в който се очертават оперативните процедури и функции на платформата NextGen 112.</w:t>
      </w:r>
    </w:p>
    <w:p w14:paraId="2D28CAE7" w14:textId="08B10A6B" w:rsidR="0006128B" w:rsidRPr="00562D16" w:rsidRDefault="0006128B" w:rsidP="0006128B">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Изпълнението на инвестицията ще приключи до 30 септември 2024 г.</w:t>
      </w:r>
    </w:p>
    <w:p w14:paraId="10FCDDA8" w14:textId="77777777" w:rsidR="0006128B" w:rsidRPr="008A0F8A" w:rsidRDefault="0006128B" w:rsidP="0006128B">
      <w:pPr>
        <w:spacing w:before="120" w:after="120" w:line="240" w:lineRule="auto"/>
        <w:ind w:left="850"/>
        <w:jc w:val="both"/>
        <w:rPr>
          <w:rFonts w:ascii="Times New Roman" w:eastAsia="Calibri" w:hAnsi="Times New Roman" w:cs="Times New Roman"/>
          <w:noProof/>
          <w:sz w:val="24"/>
          <w:szCs w:val="24"/>
          <w:lang w:val="ru-RU"/>
        </w:rPr>
      </w:pPr>
    </w:p>
    <w:p w14:paraId="4FD0326C" w14:textId="67A0AC20" w:rsidR="0006128B" w:rsidRPr="00562D16" w:rsidRDefault="0006128B" w:rsidP="0006128B">
      <w:pPr>
        <w:spacing w:before="120" w:after="120" w:line="240" w:lineRule="auto"/>
        <w:ind w:left="850"/>
        <w:jc w:val="both"/>
        <w:rPr>
          <w:rFonts w:ascii="Times New Roman" w:eastAsia="Calibri" w:hAnsi="Times New Roman" w:cs="Times New Roman"/>
          <w:noProof/>
          <w:sz w:val="24"/>
          <w:szCs w:val="24"/>
          <w:u w:val="single"/>
        </w:rPr>
      </w:pPr>
      <w:r>
        <w:rPr>
          <w:rFonts w:ascii="Times New Roman" w:hAnsi="Times New Roman"/>
          <w:noProof/>
          <w:sz w:val="24"/>
          <w:u w:val="single"/>
        </w:rPr>
        <w:t>Инвестиция 7 (C12.I7): Развитие на амбулаторните грижи</w:t>
      </w:r>
    </w:p>
    <w:p w14:paraId="012B4283" w14:textId="77777777" w:rsidR="0006128B" w:rsidRPr="00562D16" w:rsidRDefault="0006128B" w:rsidP="0006128B">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 xml:space="preserve">Инвестицията допълва реформа 3 „Повишаване на привлекателността на здравните професии и насърчаване на по-балансираното разпределение на здравните специалисти на територията на страната“, реформа 4 „Увеличаване на достъпа до профилактични и амбулаторни грижи“ и реформа 5 „Подобряване на предоставянето на профилактични скринингови дейности“. Нейната цел е да насърчава профилактичните и амбулаторните грижи. </w:t>
      </w:r>
    </w:p>
    <w:p w14:paraId="73A356EE" w14:textId="77777777" w:rsidR="0006128B" w:rsidRPr="00562D16" w:rsidRDefault="0006128B" w:rsidP="0006128B">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 xml:space="preserve">Състои се в изграждане или ремонтиране на най-малко 300 амбулатории в райони с недостатъчно обслужване в България и създаване на Национален интердисциплинарен център. Амбулаториите се оборудват и във всяка една от тях най-малко един медицински специалист установява практика, с цел предоставяне на здравни услуги. </w:t>
      </w:r>
    </w:p>
    <w:p w14:paraId="5C4AE345" w14:textId="37B83847" w:rsidR="0006128B" w:rsidRPr="00562D16" w:rsidRDefault="0006128B" w:rsidP="0006128B">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Местоположението на амбулаториите се избира въз основа на Националната карта за дългосрочните нужди на сектор „Здравеопазване“ и други подходящи критерии, включително необходимостта от обхващане на районите с най-голям недостиг на предоставяне на услуги, като се акцентира върху районите без достъп до здравеопазване в разумен радиус, както са определени използвайки данните от преброяването на населението и Министерството на здравеопазването.</w:t>
      </w:r>
    </w:p>
    <w:p w14:paraId="3FFDA85B" w14:textId="77777777" w:rsidR="0006128B" w:rsidRPr="00562D16" w:rsidRDefault="0006128B" w:rsidP="0006128B">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 xml:space="preserve">Изпълнението на инвестицията ще приключи до 30 юни 2026 г. </w:t>
      </w:r>
    </w:p>
    <w:p w14:paraId="2674B1CF" w14:textId="379938E4" w:rsidR="00773BF3" w:rsidRPr="00562D16" w:rsidRDefault="008A0F8A" w:rsidP="0051384F">
      <w:pPr>
        <w:keepNext/>
        <w:tabs>
          <w:tab w:val="left" w:pos="850"/>
        </w:tabs>
        <w:spacing w:before="360" w:after="120" w:line="240" w:lineRule="auto"/>
        <w:ind w:left="850" w:firstLine="1"/>
        <w:jc w:val="both"/>
        <w:outlineLvl w:val="0"/>
        <w:rPr>
          <w:rFonts w:ascii="Times New Roman" w:eastAsia="Calibri" w:hAnsi="Times New Roman" w:cs="Times New Roman"/>
          <w:b/>
          <w:bCs/>
          <w:noProof/>
          <w:sz w:val="24"/>
          <w:szCs w:val="24"/>
          <w:u w:val="single"/>
        </w:rPr>
      </w:pPr>
      <w:r>
        <w:rPr>
          <w:rFonts w:ascii="Times New Roman" w:hAnsi="Times New Roman"/>
          <w:b/>
          <w:noProof/>
          <w:sz w:val="24"/>
          <w:u w:val="single"/>
        </w:rPr>
        <w:t>Л</w:t>
      </w:r>
      <w:r w:rsidR="0006128B">
        <w:rPr>
          <w:rFonts w:ascii="Times New Roman" w:hAnsi="Times New Roman"/>
          <w:b/>
          <w:noProof/>
          <w:sz w:val="24"/>
          <w:u w:val="single"/>
        </w:rPr>
        <w:t>.2 Ключови етапи, цели, показатели и график за мониторинг и изпълнение на безвъзмездната финансова подкрепа</w:t>
      </w:r>
    </w:p>
    <w:p w14:paraId="5F0B4BBC" w14:textId="224C9EAA" w:rsidR="00895175" w:rsidRPr="008A0F8A" w:rsidRDefault="00895175" w:rsidP="00895175">
      <w:pPr>
        <w:spacing w:before="120" w:after="120" w:line="240" w:lineRule="auto"/>
        <w:ind w:left="851"/>
        <w:jc w:val="both"/>
        <w:rPr>
          <w:rFonts w:ascii="Times New Roman" w:eastAsia="Calibri" w:hAnsi="Times New Roman" w:cs="Times New Roman"/>
          <w:noProof/>
          <w:sz w:val="24"/>
          <w:szCs w:val="24"/>
          <w:lang w:val="ru-RU"/>
        </w:rPr>
        <w:sectPr w:rsidR="00895175" w:rsidRPr="008A0F8A" w:rsidSect="00B60432">
          <w:headerReference w:type="even" r:id="rId150"/>
          <w:headerReference w:type="default" r:id="rId151"/>
          <w:footerReference w:type="even" r:id="rId152"/>
          <w:footerReference w:type="default" r:id="rId153"/>
          <w:headerReference w:type="first" r:id="rId154"/>
          <w:footerReference w:type="first" r:id="rId155"/>
          <w:pgSz w:w="11907" w:h="16839"/>
          <w:pgMar w:top="1418" w:right="1418" w:bottom="1418" w:left="1418" w:header="709" w:footer="709" w:gutter="0"/>
          <w:cols w:space="720"/>
          <w:docGrid w:linePitch="360"/>
        </w:sectPr>
      </w:pPr>
    </w:p>
    <w:tbl>
      <w:tblPr>
        <w:tblW w:w="15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595"/>
        <w:gridCol w:w="1701"/>
        <w:gridCol w:w="993"/>
        <w:gridCol w:w="1901"/>
        <w:gridCol w:w="1473"/>
        <w:gridCol w:w="937"/>
        <w:gridCol w:w="850"/>
        <w:gridCol w:w="709"/>
        <w:gridCol w:w="850"/>
        <w:gridCol w:w="851"/>
        <w:gridCol w:w="4450"/>
      </w:tblGrid>
      <w:tr w:rsidR="00122A84" w:rsidRPr="005241FC" w14:paraId="1CF35FED" w14:textId="77777777" w:rsidTr="0DF4F0A1">
        <w:trPr>
          <w:trHeight w:val="309"/>
          <w:tblHeader/>
          <w:jc w:val="center"/>
        </w:trPr>
        <w:tc>
          <w:tcPr>
            <w:tcW w:w="595" w:type="dxa"/>
            <w:vMerge w:val="restart"/>
            <w:shd w:val="clear" w:color="auto" w:fill="C6D9F1"/>
            <w:noWrap/>
            <w:vAlign w:val="center"/>
          </w:tcPr>
          <w:p w14:paraId="4F65547F" w14:textId="00DEE3D6" w:rsidR="00122A84" w:rsidRPr="0051384F" w:rsidRDefault="00122A84" w:rsidP="00122A84">
            <w:pPr>
              <w:spacing w:after="0"/>
              <w:jc w:val="center"/>
              <w:rPr>
                <w:rFonts w:ascii="Times New Roman" w:eastAsia="Calibri" w:hAnsi="Times New Roman" w:cs="Times New Roman"/>
                <w:b/>
                <w:bCs/>
                <w:noProof/>
                <w:color w:val="000000" w:themeColor="text1"/>
                <w:sz w:val="20"/>
                <w:szCs w:val="20"/>
              </w:rPr>
            </w:pPr>
            <w:r>
              <w:rPr>
                <w:rFonts w:ascii="Times New Roman" w:hAnsi="Times New Roman"/>
                <w:b/>
                <w:noProof/>
                <w:sz w:val="20"/>
              </w:rPr>
              <w:t>Пореден номер</w:t>
            </w:r>
          </w:p>
        </w:tc>
        <w:tc>
          <w:tcPr>
            <w:tcW w:w="1701" w:type="dxa"/>
            <w:vMerge w:val="restart"/>
            <w:shd w:val="clear" w:color="auto" w:fill="C6D9F1"/>
            <w:noWrap/>
            <w:vAlign w:val="center"/>
          </w:tcPr>
          <w:p w14:paraId="7D6766DF" w14:textId="77777777" w:rsidR="00122A84" w:rsidRPr="0051384F" w:rsidRDefault="00122A84" w:rsidP="00122A84">
            <w:pPr>
              <w:spacing w:after="0"/>
              <w:jc w:val="center"/>
              <w:rPr>
                <w:rFonts w:ascii="Times New Roman" w:eastAsia="Calibri" w:hAnsi="Times New Roman" w:cs="Times New Roman"/>
                <w:b/>
                <w:bCs/>
                <w:noProof/>
                <w:color w:val="000000" w:themeColor="text1"/>
                <w:sz w:val="20"/>
                <w:szCs w:val="20"/>
              </w:rPr>
            </w:pPr>
            <w:r>
              <w:rPr>
                <w:rFonts w:ascii="Times New Roman" w:hAnsi="Times New Roman"/>
                <w:b/>
                <w:noProof/>
                <w:sz w:val="20"/>
              </w:rPr>
              <w:t>Свързана мярка (реформа или инвестиция)</w:t>
            </w:r>
          </w:p>
        </w:tc>
        <w:tc>
          <w:tcPr>
            <w:tcW w:w="993" w:type="dxa"/>
            <w:vMerge w:val="restart"/>
            <w:shd w:val="clear" w:color="auto" w:fill="C6D9F1"/>
            <w:noWrap/>
            <w:vAlign w:val="center"/>
          </w:tcPr>
          <w:p w14:paraId="02E277F2" w14:textId="77777777" w:rsidR="00122A84" w:rsidRPr="0051384F" w:rsidRDefault="00122A84" w:rsidP="00122A84">
            <w:pPr>
              <w:spacing w:after="0"/>
              <w:jc w:val="center"/>
              <w:rPr>
                <w:rFonts w:ascii="Times New Roman" w:eastAsia="Calibri" w:hAnsi="Times New Roman" w:cs="Times New Roman"/>
                <w:b/>
                <w:bCs/>
                <w:noProof/>
                <w:color w:val="000000" w:themeColor="text1"/>
                <w:sz w:val="20"/>
                <w:szCs w:val="20"/>
              </w:rPr>
            </w:pPr>
            <w:r>
              <w:rPr>
                <w:rFonts w:ascii="Times New Roman" w:hAnsi="Times New Roman"/>
                <w:b/>
                <w:noProof/>
                <w:sz w:val="20"/>
              </w:rPr>
              <w:t>Ключов етап / Цел</w:t>
            </w:r>
          </w:p>
        </w:tc>
        <w:tc>
          <w:tcPr>
            <w:tcW w:w="1901" w:type="dxa"/>
            <w:vMerge w:val="restart"/>
            <w:shd w:val="clear" w:color="auto" w:fill="C6D9F1"/>
            <w:noWrap/>
            <w:vAlign w:val="center"/>
          </w:tcPr>
          <w:p w14:paraId="45202700" w14:textId="77777777" w:rsidR="00122A84" w:rsidRPr="0051384F" w:rsidRDefault="00122A84" w:rsidP="00122A84">
            <w:pPr>
              <w:spacing w:after="0"/>
              <w:jc w:val="center"/>
              <w:rPr>
                <w:rFonts w:ascii="Times New Roman" w:eastAsia="Calibri" w:hAnsi="Times New Roman" w:cs="Times New Roman"/>
                <w:b/>
                <w:bCs/>
                <w:noProof/>
                <w:color w:val="000000" w:themeColor="text1"/>
                <w:sz w:val="20"/>
                <w:szCs w:val="20"/>
              </w:rPr>
            </w:pPr>
            <w:r>
              <w:rPr>
                <w:rFonts w:ascii="Times New Roman" w:hAnsi="Times New Roman"/>
                <w:b/>
                <w:noProof/>
                <w:sz w:val="20"/>
              </w:rPr>
              <w:t>Наименование</w:t>
            </w:r>
          </w:p>
        </w:tc>
        <w:tc>
          <w:tcPr>
            <w:tcW w:w="1473" w:type="dxa"/>
            <w:vMerge w:val="restart"/>
            <w:shd w:val="clear" w:color="auto" w:fill="C6D9F1"/>
            <w:noWrap/>
            <w:vAlign w:val="center"/>
          </w:tcPr>
          <w:p w14:paraId="7D850BA8" w14:textId="77777777" w:rsidR="00122A84" w:rsidRPr="0051384F" w:rsidRDefault="00122A84" w:rsidP="00122A84">
            <w:pPr>
              <w:spacing w:after="0"/>
              <w:jc w:val="center"/>
              <w:rPr>
                <w:rFonts w:ascii="Times New Roman" w:eastAsia="Calibri" w:hAnsi="Times New Roman" w:cs="Times New Roman"/>
                <w:b/>
                <w:bCs/>
                <w:noProof/>
                <w:color w:val="000000" w:themeColor="text1"/>
                <w:sz w:val="20"/>
                <w:szCs w:val="20"/>
              </w:rPr>
            </w:pPr>
            <w:r>
              <w:rPr>
                <w:rFonts w:ascii="Times New Roman" w:hAnsi="Times New Roman"/>
                <w:b/>
                <w:noProof/>
                <w:sz w:val="20"/>
              </w:rPr>
              <w:t xml:space="preserve">Качествени показатели </w:t>
            </w:r>
            <w:r>
              <w:rPr>
                <w:rFonts w:ascii="Times New Roman" w:hAnsi="Times New Roman"/>
                <w:noProof/>
                <w:sz w:val="20"/>
              </w:rPr>
              <w:br/>
            </w:r>
            <w:r>
              <w:rPr>
                <w:rFonts w:ascii="Times New Roman" w:hAnsi="Times New Roman"/>
                <w:b/>
                <w:noProof/>
                <w:sz w:val="20"/>
              </w:rPr>
              <w:t>(за ключовите етапи)</w:t>
            </w:r>
          </w:p>
        </w:tc>
        <w:tc>
          <w:tcPr>
            <w:tcW w:w="2496" w:type="dxa"/>
            <w:gridSpan w:val="3"/>
            <w:shd w:val="clear" w:color="auto" w:fill="C6D9F1"/>
            <w:noWrap/>
            <w:vAlign w:val="center"/>
          </w:tcPr>
          <w:p w14:paraId="741D2902" w14:textId="77777777" w:rsidR="00122A84" w:rsidRPr="0051384F" w:rsidRDefault="00122A84" w:rsidP="00122A84">
            <w:pPr>
              <w:spacing w:after="0"/>
              <w:jc w:val="center"/>
              <w:rPr>
                <w:rFonts w:ascii="Times New Roman" w:eastAsia="Calibri" w:hAnsi="Times New Roman" w:cs="Times New Roman"/>
                <w:b/>
                <w:bCs/>
                <w:noProof/>
                <w:color w:val="000000" w:themeColor="text1"/>
                <w:sz w:val="20"/>
                <w:szCs w:val="20"/>
              </w:rPr>
            </w:pPr>
            <w:r>
              <w:rPr>
                <w:rFonts w:ascii="Times New Roman" w:hAnsi="Times New Roman"/>
                <w:b/>
                <w:noProof/>
                <w:sz w:val="20"/>
              </w:rPr>
              <w:t xml:space="preserve">Количествени показатели </w:t>
            </w:r>
            <w:r>
              <w:rPr>
                <w:rFonts w:ascii="Times New Roman" w:hAnsi="Times New Roman"/>
                <w:noProof/>
                <w:sz w:val="20"/>
              </w:rPr>
              <w:br/>
            </w:r>
            <w:r>
              <w:rPr>
                <w:rFonts w:ascii="Times New Roman" w:hAnsi="Times New Roman"/>
                <w:b/>
                <w:noProof/>
                <w:sz w:val="20"/>
              </w:rPr>
              <w:t>(за целите)</w:t>
            </w:r>
          </w:p>
        </w:tc>
        <w:tc>
          <w:tcPr>
            <w:tcW w:w="1701" w:type="dxa"/>
            <w:gridSpan w:val="2"/>
            <w:shd w:val="clear" w:color="auto" w:fill="C6D9F1"/>
            <w:noWrap/>
            <w:vAlign w:val="center"/>
          </w:tcPr>
          <w:p w14:paraId="1DBB3108" w14:textId="63A20A81" w:rsidR="00122A84" w:rsidRPr="0051384F" w:rsidRDefault="00122A84" w:rsidP="00122A84">
            <w:pPr>
              <w:spacing w:after="0"/>
              <w:jc w:val="center"/>
              <w:rPr>
                <w:rFonts w:ascii="Times New Roman" w:eastAsia="Calibri" w:hAnsi="Times New Roman" w:cs="Times New Roman"/>
                <w:b/>
                <w:bCs/>
                <w:noProof/>
                <w:color w:val="000000" w:themeColor="text1"/>
                <w:sz w:val="20"/>
                <w:szCs w:val="20"/>
              </w:rPr>
            </w:pPr>
            <w:r>
              <w:rPr>
                <w:rFonts w:ascii="Times New Roman" w:hAnsi="Times New Roman"/>
                <w:b/>
                <w:noProof/>
                <w:sz w:val="20"/>
              </w:rPr>
              <w:t>Ориентировъчен график за приключване</w:t>
            </w:r>
          </w:p>
        </w:tc>
        <w:tc>
          <w:tcPr>
            <w:tcW w:w="4450" w:type="dxa"/>
            <w:vMerge w:val="restart"/>
            <w:shd w:val="clear" w:color="auto" w:fill="C6D9F1"/>
            <w:noWrap/>
            <w:vAlign w:val="center"/>
          </w:tcPr>
          <w:p w14:paraId="3154CAC3" w14:textId="77777777" w:rsidR="00122A84" w:rsidRPr="0051384F" w:rsidRDefault="00122A84" w:rsidP="00122A84">
            <w:pPr>
              <w:spacing w:after="0"/>
              <w:jc w:val="center"/>
              <w:rPr>
                <w:rFonts w:ascii="Times New Roman" w:eastAsia="Calibri" w:hAnsi="Times New Roman" w:cs="Times New Roman"/>
                <w:b/>
                <w:bCs/>
                <w:noProof/>
                <w:color w:val="000000" w:themeColor="text1"/>
                <w:sz w:val="20"/>
                <w:szCs w:val="20"/>
              </w:rPr>
            </w:pPr>
            <w:r>
              <w:rPr>
                <w:rFonts w:ascii="Times New Roman" w:hAnsi="Times New Roman"/>
                <w:b/>
                <w:noProof/>
                <w:sz w:val="20"/>
              </w:rPr>
              <w:t>Описание на всеки ключов етап и цел</w:t>
            </w:r>
          </w:p>
        </w:tc>
      </w:tr>
      <w:tr w:rsidR="00122A84" w:rsidRPr="0051384F" w14:paraId="7DAAC82C" w14:textId="77777777" w:rsidTr="0DF4F0A1">
        <w:trPr>
          <w:trHeight w:val="309"/>
          <w:tblHeader/>
          <w:jc w:val="center"/>
        </w:trPr>
        <w:tc>
          <w:tcPr>
            <w:tcW w:w="595" w:type="dxa"/>
            <w:vMerge/>
            <w:noWrap/>
            <w:vAlign w:val="center"/>
          </w:tcPr>
          <w:p w14:paraId="3FB3CCB5" w14:textId="77777777" w:rsidR="00122A84" w:rsidRPr="008A0F8A" w:rsidRDefault="00122A84" w:rsidP="00122A84">
            <w:pPr>
              <w:spacing w:after="0"/>
              <w:jc w:val="center"/>
              <w:rPr>
                <w:rFonts w:ascii="Times New Roman" w:eastAsia="Calibri" w:hAnsi="Times New Roman" w:cs="Times New Roman"/>
                <w:b/>
                <w:noProof/>
                <w:color w:val="000000"/>
                <w:sz w:val="20"/>
                <w:szCs w:val="20"/>
                <w:lang w:val="ru-RU"/>
              </w:rPr>
            </w:pPr>
          </w:p>
        </w:tc>
        <w:tc>
          <w:tcPr>
            <w:tcW w:w="1701" w:type="dxa"/>
            <w:vMerge/>
            <w:noWrap/>
            <w:vAlign w:val="center"/>
          </w:tcPr>
          <w:p w14:paraId="6FC10BC6" w14:textId="77777777" w:rsidR="00122A84" w:rsidRPr="008A0F8A" w:rsidRDefault="00122A84" w:rsidP="00122A84">
            <w:pPr>
              <w:spacing w:after="0"/>
              <w:jc w:val="center"/>
              <w:rPr>
                <w:rFonts w:ascii="Times New Roman" w:eastAsia="Calibri" w:hAnsi="Times New Roman" w:cs="Times New Roman"/>
                <w:b/>
                <w:noProof/>
                <w:color w:val="000000"/>
                <w:sz w:val="20"/>
                <w:szCs w:val="20"/>
                <w:lang w:val="ru-RU"/>
              </w:rPr>
            </w:pPr>
          </w:p>
        </w:tc>
        <w:tc>
          <w:tcPr>
            <w:tcW w:w="993" w:type="dxa"/>
            <w:vMerge/>
            <w:noWrap/>
            <w:vAlign w:val="center"/>
          </w:tcPr>
          <w:p w14:paraId="5BEDAAD5" w14:textId="77777777" w:rsidR="00122A84" w:rsidRPr="008A0F8A" w:rsidRDefault="00122A84" w:rsidP="00122A84">
            <w:pPr>
              <w:spacing w:after="0"/>
              <w:jc w:val="center"/>
              <w:rPr>
                <w:rFonts w:ascii="Times New Roman" w:eastAsia="Calibri" w:hAnsi="Times New Roman" w:cs="Times New Roman"/>
                <w:b/>
                <w:noProof/>
                <w:color w:val="000000"/>
                <w:sz w:val="20"/>
                <w:szCs w:val="20"/>
                <w:lang w:val="ru-RU"/>
              </w:rPr>
            </w:pPr>
          </w:p>
        </w:tc>
        <w:tc>
          <w:tcPr>
            <w:tcW w:w="1901" w:type="dxa"/>
            <w:vMerge/>
            <w:noWrap/>
            <w:vAlign w:val="center"/>
          </w:tcPr>
          <w:p w14:paraId="47BF899E" w14:textId="77777777" w:rsidR="00122A84" w:rsidRPr="008A0F8A" w:rsidRDefault="00122A84" w:rsidP="00122A84">
            <w:pPr>
              <w:spacing w:after="0"/>
              <w:jc w:val="center"/>
              <w:rPr>
                <w:rFonts w:ascii="Times New Roman" w:eastAsia="Calibri" w:hAnsi="Times New Roman" w:cs="Times New Roman"/>
                <w:b/>
                <w:noProof/>
                <w:color w:val="000000"/>
                <w:sz w:val="20"/>
                <w:szCs w:val="20"/>
                <w:lang w:val="ru-RU"/>
              </w:rPr>
            </w:pPr>
          </w:p>
        </w:tc>
        <w:tc>
          <w:tcPr>
            <w:tcW w:w="1473" w:type="dxa"/>
            <w:vMerge/>
            <w:noWrap/>
            <w:vAlign w:val="center"/>
          </w:tcPr>
          <w:p w14:paraId="1A0F3CE1" w14:textId="77777777" w:rsidR="00122A84" w:rsidRPr="008A0F8A" w:rsidRDefault="00122A84" w:rsidP="00122A84">
            <w:pPr>
              <w:spacing w:after="0"/>
              <w:jc w:val="center"/>
              <w:rPr>
                <w:rFonts w:ascii="Times New Roman" w:eastAsia="Calibri" w:hAnsi="Times New Roman" w:cs="Times New Roman"/>
                <w:b/>
                <w:noProof/>
                <w:color w:val="000000"/>
                <w:sz w:val="20"/>
                <w:szCs w:val="20"/>
                <w:lang w:val="ru-RU"/>
              </w:rPr>
            </w:pPr>
          </w:p>
        </w:tc>
        <w:tc>
          <w:tcPr>
            <w:tcW w:w="937" w:type="dxa"/>
            <w:shd w:val="clear" w:color="auto" w:fill="C6D9F1"/>
            <w:noWrap/>
            <w:vAlign w:val="center"/>
          </w:tcPr>
          <w:p w14:paraId="559F4C58" w14:textId="77777777" w:rsidR="00122A84" w:rsidRPr="0051384F" w:rsidRDefault="00122A84" w:rsidP="00122A84">
            <w:pPr>
              <w:spacing w:after="0"/>
              <w:jc w:val="center"/>
              <w:rPr>
                <w:rFonts w:ascii="Times New Roman" w:eastAsia="Calibri" w:hAnsi="Times New Roman" w:cs="Times New Roman"/>
                <w:b/>
                <w:bCs/>
                <w:noProof/>
                <w:color w:val="000000" w:themeColor="text1"/>
                <w:sz w:val="20"/>
                <w:szCs w:val="20"/>
              </w:rPr>
            </w:pPr>
            <w:r>
              <w:rPr>
                <w:rFonts w:ascii="Times New Roman" w:hAnsi="Times New Roman"/>
                <w:b/>
                <w:noProof/>
                <w:sz w:val="20"/>
              </w:rPr>
              <w:t>Мерна единица</w:t>
            </w:r>
          </w:p>
        </w:tc>
        <w:tc>
          <w:tcPr>
            <w:tcW w:w="850" w:type="dxa"/>
            <w:shd w:val="clear" w:color="auto" w:fill="C6D9F1"/>
            <w:noWrap/>
            <w:vAlign w:val="center"/>
          </w:tcPr>
          <w:p w14:paraId="5B40A62E" w14:textId="5A79F019" w:rsidR="00122A84" w:rsidRPr="0051384F" w:rsidRDefault="00122A84" w:rsidP="00122A84">
            <w:pPr>
              <w:spacing w:after="0"/>
              <w:jc w:val="center"/>
              <w:rPr>
                <w:rFonts w:ascii="Times New Roman" w:eastAsia="Calibri" w:hAnsi="Times New Roman" w:cs="Times New Roman"/>
                <w:b/>
                <w:bCs/>
                <w:noProof/>
                <w:color w:val="000000" w:themeColor="text1"/>
                <w:sz w:val="20"/>
                <w:szCs w:val="20"/>
              </w:rPr>
            </w:pPr>
            <w:r>
              <w:rPr>
                <w:rFonts w:ascii="Times New Roman" w:hAnsi="Times New Roman"/>
                <w:b/>
                <w:noProof/>
                <w:sz w:val="20"/>
              </w:rPr>
              <w:t>Базова линия</w:t>
            </w:r>
          </w:p>
        </w:tc>
        <w:tc>
          <w:tcPr>
            <w:tcW w:w="709" w:type="dxa"/>
            <w:shd w:val="clear" w:color="auto" w:fill="C6D9F1"/>
            <w:noWrap/>
            <w:vAlign w:val="center"/>
          </w:tcPr>
          <w:p w14:paraId="5A342739" w14:textId="12FCC4E1" w:rsidR="00122A84" w:rsidRPr="0051384F" w:rsidRDefault="00122A84" w:rsidP="00122A84">
            <w:pPr>
              <w:spacing w:after="0"/>
              <w:jc w:val="center"/>
              <w:rPr>
                <w:rFonts w:ascii="Times New Roman" w:eastAsia="Calibri" w:hAnsi="Times New Roman" w:cs="Times New Roman"/>
                <w:b/>
                <w:bCs/>
                <w:noProof/>
                <w:color w:val="000000" w:themeColor="text1"/>
                <w:sz w:val="20"/>
                <w:szCs w:val="20"/>
              </w:rPr>
            </w:pPr>
            <w:r>
              <w:rPr>
                <w:rFonts w:ascii="Times New Roman" w:hAnsi="Times New Roman"/>
                <w:b/>
                <w:noProof/>
                <w:sz w:val="20"/>
              </w:rPr>
              <w:t>Цел</w:t>
            </w:r>
          </w:p>
        </w:tc>
        <w:tc>
          <w:tcPr>
            <w:tcW w:w="850" w:type="dxa"/>
            <w:shd w:val="clear" w:color="auto" w:fill="C6D9F1"/>
            <w:noWrap/>
            <w:vAlign w:val="center"/>
          </w:tcPr>
          <w:p w14:paraId="1DD1A0DB" w14:textId="77777777" w:rsidR="00122A84" w:rsidRPr="0051384F" w:rsidRDefault="00122A84" w:rsidP="00122A84">
            <w:pPr>
              <w:spacing w:after="0"/>
              <w:jc w:val="center"/>
              <w:rPr>
                <w:rFonts w:ascii="Times New Roman" w:eastAsia="Calibri" w:hAnsi="Times New Roman" w:cs="Times New Roman"/>
                <w:b/>
                <w:bCs/>
                <w:noProof/>
                <w:color w:val="000000" w:themeColor="text1"/>
                <w:sz w:val="20"/>
                <w:szCs w:val="20"/>
              </w:rPr>
            </w:pPr>
            <w:r>
              <w:rPr>
                <w:rFonts w:ascii="Times New Roman" w:hAnsi="Times New Roman"/>
                <w:b/>
                <w:noProof/>
                <w:sz w:val="20"/>
              </w:rPr>
              <w:t>Тримесечие</w:t>
            </w:r>
          </w:p>
        </w:tc>
        <w:tc>
          <w:tcPr>
            <w:tcW w:w="851" w:type="dxa"/>
            <w:shd w:val="clear" w:color="auto" w:fill="C6D9F1"/>
            <w:noWrap/>
            <w:vAlign w:val="center"/>
          </w:tcPr>
          <w:p w14:paraId="0E14C1A9" w14:textId="77777777" w:rsidR="00122A84" w:rsidRPr="0051384F" w:rsidRDefault="00122A84" w:rsidP="00122A84">
            <w:pPr>
              <w:spacing w:after="0"/>
              <w:jc w:val="center"/>
              <w:rPr>
                <w:rFonts w:ascii="Times New Roman" w:eastAsia="Calibri" w:hAnsi="Times New Roman" w:cs="Times New Roman"/>
                <w:b/>
                <w:bCs/>
                <w:noProof/>
                <w:color w:val="000000" w:themeColor="text1"/>
                <w:sz w:val="20"/>
                <w:szCs w:val="20"/>
              </w:rPr>
            </w:pPr>
            <w:r>
              <w:rPr>
                <w:rFonts w:ascii="Times New Roman" w:hAnsi="Times New Roman"/>
                <w:b/>
                <w:noProof/>
                <w:sz w:val="20"/>
              </w:rPr>
              <w:t>Година</w:t>
            </w:r>
          </w:p>
        </w:tc>
        <w:tc>
          <w:tcPr>
            <w:tcW w:w="4450" w:type="dxa"/>
            <w:vMerge/>
            <w:noWrap/>
            <w:vAlign w:val="center"/>
          </w:tcPr>
          <w:p w14:paraId="4D562A8A" w14:textId="77777777" w:rsidR="00122A84" w:rsidRPr="0051384F" w:rsidRDefault="00122A84" w:rsidP="00122A84">
            <w:pPr>
              <w:spacing w:after="0"/>
              <w:jc w:val="center"/>
              <w:rPr>
                <w:rFonts w:ascii="Times New Roman" w:eastAsia="Calibri" w:hAnsi="Times New Roman" w:cs="Times New Roman"/>
                <w:b/>
                <w:noProof/>
                <w:color w:val="000000"/>
                <w:sz w:val="20"/>
                <w:szCs w:val="20"/>
              </w:rPr>
            </w:pPr>
          </w:p>
        </w:tc>
      </w:tr>
      <w:tr w:rsidR="00895175" w:rsidRPr="005241FC" w14:paraId="1C262B2F" w14:textId="77777777" w:rsidTr="0DF4F0A1">
        <w:trPr>
          <w:trHeight w:val="309"/>
          <w:jc w:val="center"/>
        </w:trPr>
        <w:tc>
          <w:tcPr>
            <w:tcW w:w="595" w:type="dxa"/>
            <w:tcBorders>
              <w:top w:val="nil"/>
              <w:left w:val="single" w:sz="4" w:space="0" w:color="auto"/>
              <w:bottom w:val="single" w:sz="4" w:space="0" w:color="auto"/>
              <w:right w:val="single" w:sz="4" w:space="0" w:color="auto"/>
            </w:tcBorders>
            <w:shd w:val="clear" w:color="auto" w:fill="C6EFCE"/>
            <w:noWrap/>
          </w:tcPr>
          <w:p w14:paraId="1BCE2A3C" w14:textId="34059FBC" w:rsidR="00895175" w:rsidRPr="0051384F" w:rsidRDefault="00992016" w:rsidP="0066695B">
            <w:pPr>
              <w:spacing w:after="0"/>
              <w:jc w:val="center"/>
              <w:rPr>
                <w:rFonts w:ascii="Times New Roman" w:hAnsi="Times New Roman" w:cs="Times New Roman"/>
                <w:noProof/>
                <w:color w:val="006100"/>
                <w:sz w:val="20"/>
                <w:szCs w:val="20"/>
              </w:rPr>
            </w:pPr>
            <w:r>
              <w:rPr>
                <w:rFonts w:ascii="Times New Roman" w:hAnsi="Times New Roman"/>
                <w:noProof/>
                <w:color w:val="006100"/>
                <w:sz w:val="20"/>
              </w:rPr>
              <w:t>315</w:t>
            </w:r>
          </w:p>
        </w:tc>
        <w:tc>
          <w:tcPr>
            <w:tcW w:w="1701" w:type="dxa"/>
            <w:tcBorders>
              <w:top w:val="nil"/>
              <w:left w:val="nil"/>
              <w:bottom w:val="single" w:sz="4" w:space="0" w:color="auto"/>
              <w:right w:val="single" w:sz="4" w:space="0" w:color="auto"/>
            </w:tcBorders>
            <w:shd w:val="clear" w:color="auto" w:fill="C6EFCE"/>
            <w:noWrap/>
          </w:tcPr>
          <w:p w14:paraId="4F370927" w14:textId="77777777" w:rsidR="00895175" w:rsidRPr="0051384F" w:rsidRDefault="00895175" w:rsidP="003B02A1">
            <w:pPr>
              <w:spacing w:after="0"/>
              <w:rPr>
                <w:rFonts w:ascii="Times New Roman" w:hAnsi="Times New Roman" w:cs="Times New Roman"/>
                <w:noProof/>
                <w:color w:val="006100"/>
                <w:sz w:val="20"/>
                <w:szCs w:val="20"/>
              </w:rPr>
            </w:pPr>
            <w:r>
              <w:rPr>
                <w:rFonts w:ascii="Times New Roman" w:hAnsi="Times New Roman"/>
                <w:noProof/>
                <w:color w:val="006100"/>
                <w:sz w:val="20"/>
              </w:rPr>
              <w:t>C12.R1:</w:t>
            </w:r>
          </w:p>
          <w:p w14:paraId="0D66F057" w14:textId="77777777" w:rsidR="00895175" w:rsidRPr="0051384F" w:rsidRDefault="00895175" w:rsidP="003B02A1">
            <w:pPr>
              <w:spacing w:after="0"/>
              <w:rPr>
                <w:rFonts w:ascii="Times New Roman" w:hAnsi="Times New Roman" w:cs="Times New Roman"/>
                <w:noProof/>
                <w:color w:val="006100"/>
                <w:sz w:val="20"/>
                <w:szCs w:val="20"/>
              </w:rPr>
            </w:pPr>
            <w:r>
              <w:rPr>
                <w:rFonts w:ascii="Times New Roman" w:hAnsi="Times New Roman"/>
                <w:noProof/>
                <w:color w:val="006100"/>
                <w:sz w:val="20"/>
              </w:rPr>
              <w:t>Актуалзиране на стратегическата рамка на сектора на здравеопазването</w:t>
            </w:r>
          </w:p>
        </w:tc>
        <w:tc>
          <w:tcPr>
            <w:tcW w:w="993" w:type="dxa"/>
            <w:tcBorders>
              <w:top w:val="nil"/>
              <w:left w:val="nil"/>
              <w:bottom w:val="single" w:sz="4" w:space="0" w:color="auto"/>
              <w:right w:val="single" w:sz="4" w:space="0" w:color="auto"/>
            </w:tcBorders>
            <w:shd w:val="clear" w:color="auto" w:fill="C6EFCE"/>
            <w:noWrap/>
          </w:tcPr>
          <w:p w14:paraId="411F04E9" w14:textId="77777777" w:rsidR="00895175" w:rsidRPr="0051384F" w:rsidRDefault="00895175" w:rsidP="0066695B">
            <w:pPr>
              <w:spacing w:after="0"/>
              <w:jc w:val="center"/>
              <w:rPr>
                <w:rFonts w:ascii="Times New Roman" w:hAnsi="Times New Roman" w:cs="Times New Roman"/>
                <w:noProof/>
                <w:color w:val="006100"/>
                <w:sz w:val="20"/>
                <w:szCs w:val="20"/>
              </w:rPr>
            </w:pPr>
            <w:r>
              <w:rPr>
                <w:rFonts w:ascii="Times New Roman" w:hAnsi="Times New Roman"/>
                <w:noProof/>
                <w:color w:val="006100"/>
                <w:sz w:val="20"/>
              </w:rPr>
              <w:t>Ключов етап</w:t>
            </w:r>
          </w:p>
        </w:tc>
        <w:tc>
          <w:tcPr>
            <w:tcW w:w="1901" w:type="dxa"/>
            <w:tcBorders>
              <w:top w:val="nil"/>
              <w:left w:val="nil"/>
              <w:bottom w:val="single" w:sz="4" w:space="0" w:color="auto"/>
              <w:right w:val="single" w:sz="4" w:space="0" w:color="auto"/>
            </w:tcBorders>
            <w:shd w:val="clear" w:color="auto" w:fill="C6EFCE"/>
            <w:noWrap/>
          </w:tcPr>
          <w:p w14:paraId="5E0C272C" w14:textId="77777777" w:rsidR="00895175" w:rsidRPr="0051384F" w:rsidRDefault="00895175"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Национална стратегия за психично здраве на гражданите на Република България 2021—2030 г. и план за действие за изпълнение на стратегията</w:t>
            </w:r>
          </w:p>
        </w:tc>
        <w:tc>
          <w:tcPr>
            <w:tcW w:w="1473" w:type="dxa"/>
            <w:tcBorders>
              <w:top w:val="nil"/>
              <w:left w:val="nil"/>
              <w:bottom w:val="single" w:sz="4" w:space="0" w:color="auto"/>
              <w:right w:val="single" w:sz="4" w:space="0" w:color="auto"/>
            </w:tcBorders>
            <w:shd w:val="clear" w:color="auto" w:fill="C6EFCE"/>
            <w:noWrap/>
          </w:tcPr>
          <w:p w14:paraId="1347BC99" w14:textId="77777777" w:rsidR="00895175" w:rsidRPr="0051384F" w:rsidRDefault="00895175" w:rsidP="0066695B">
            <w:pPr>
              <w:spacing w:after="0"/>
              <w:jc w:val="center"/>
              <w:rPr>
                <w:rFonts w:ascii="Times New Roman" w:hAnsi="Times New Roman" w:cs="Times New Roman"/>
                <w:noProof/>
                <w:color w:val="006100"/>
                <w:sz w:val="20"/>
                <w:szCs w:val="20"/>
              </w:rPr>
            </w:pPr>
            <w:r>
              <w:rPr>
                <w:rFonts w:ascii="Times New Roman" w:hAnsi="Times New Roman"/>
                <w:noProof/>
                <w:color w:val="006100"/>
                <w:sz w:val="20"/>
              </w:rPr>
              <w:t xml:space="preserve">Приемане на стратегията и плана за действие от Министерския съвет </w:t>
            </w:r>
          </w:p>
        </w:tc>
        <w:tc>
          <w:tcPr>
            <w:tcW w:w="937" w:type="dxa"/>
            <w:tcBorders>
              <w:top w:val="nil"/>
              <w:left w:val="nil"/>
              <w:bottom w:val="single" w:sz="4" w:space="0" w:color="auto"/>
              <w:right w:val="single" w:sz="4" w:space="0" w:color="auto"/>
            </w:tcBorders>
            <w:shd w:val="clear" w:color="auto" w:fill="C6EFCE"/>
            <w:noWrap/>
          </w:tcPr>
          <w:p w14:paraId="421AE57D" w14:textId="77777777" w:rsidR="00895175" w:rsidRPr="0051384F" w:rsidRDefault="00895175" w:rsidP="0066695B">
            <w:pPr>
              <w:spacing w:after="0"/>
              <w:jc w:val="center"/>
              <w:rPr>
                <w:rFonts w:ascii="Times New Roman" w:hAnsi="Times New Roman" w:cs="Times New Roman"/>
                <w:noProof/>
                <w:color w:val="006100"/>
                <w:sz w:val="20"/>
                <w:szCs w:val="20"/>
              </w:rPr>
            </w:pPr>
            <w:r>
              <w:rPr>
                <w:rFonts w:ascii="Times New Roman" w:hAnsi="Times New Roman"/>
                <w:noProof/>
                <w:color w:val="006100"/>
                <w:sz w:val="20"/>
              </w:rPr>
              <w:t> </w:t>
            </w:r>
          </w:p>
        </w:tc>
        <w:tc>
          <w:tcPr>
            <w:tcW w:w="850" w:type="dxa"/>
            <w:tcBorders>
              <w:top w:val="nil"/>
              <w:left w:val="nil"/>
              <w:bottom w:val="single" w:sz="4" w:space="0" w:color="auto"/>
              <w:right w:val="single" w:sz="4" w:space="0" w:color="auto"/>
            </w:tcBorders>
            <w:shd w:val="clear" w:color="auto" w:fill="C6EFCE"/>
            <w:noWrap/>
          </w:tcPr>
          <w:p w14:paraId="1CE2D72F" w14:textId="77777777" w:rsidR="00895175" w:rsidRPr="0051384F" w:rsidRDefault="00895175" w:rsidP="0066695B">
            <w:pPr>
              <w:spacing w:after="0"/>
              <w:jc w:val="center"/>
              <w:rPr>
                <w:rFonts w:ascii="Times New Roman" w:hAnsi="Times New Roman" w:cs="Times New Roman"/>
                <w:noProof/>
                <w:color w:val="006100"/>
                <w:sz w:val="20"/>
                <w:szCs w:val="20"/>
              </w:rPr>
            </w:pPr>
            <w:r>
              <w:rPr>
                <w:rFonts w:ascii="Times New Roman" w:hAnsi="Times New Roman"/>
                <w:noProof/>
                <w:color w:val="006100"/>
                <w:sz w:val="20"/>
              </w:rPr>
              <w:t> </w:t>
            </w:r>
          </w:p>
        </w:tc>
        <w:tc>
          <w:tcPr>
            <w:tcW w:w="709" w:type="dxa"/>
            <w:tcBorders>
              <w:top w:val="nil"/>
              <w:left w:val="nil"/>
              <w:bottom w:val="single" w:sz="4" w:space="0" w:color="auto"/>
              <w:right w:val="single" w:sz="4" w:space="0" w:color="auto"/>
            </w:tcBorders>
            <w:shd w:val="clear" w:color="auto" w:fill="C6EFCE"/>
            <w:noWrap/>
          </w:tcPr>
          <w:p w14:paraId="4565F9B2" w14:textId="77777777" w:rsidR="00895175" w:rsidRPr="0051384F" w:rsidRDefault="00895175" w:rsidP="0066695B">
            <w:pPr>
              <w:spacing w:after="0"/>
              <w:jc w:val="center"/>
              <w:rPr>
                <w:rFonts w:ascii="Times New Roman" w:hAnsi="Times New Roman" w:cs="Times New Roman"/>
                <w:noProof/>
                <w:color w:val="006100"/>
                <w:sz w:val="20"/>
                <w:szCs w:val="20"/>
              </w:rPr>
            </w:pPr>
            <w:r>
              <w:rPr>
                <w:rFonts w:ascii="Times New Roman" w:hAnsi="Times New Roman"/>
                <w:noProof/>
                <w:color w:val="006100"/>
                <w:sz w:val="20"/>
              </w:rPr>
              <w:t> </w:t>
            </w:r>
          </w:p>
        </w:tc>
        <w:tc>
          <w:tcPr>
            <w:tcW w:w="850" w:type="dxa"/>
            <w:tcBorders>
              <w:top w:val="nil"/>
              <w:left w:val="nil"/>
              <w:bottom w:val="single" w:sz="4" w:space="0" w:color="auto"/>
              <w:right w:val="single" w:sz="4" w:space="0" w:color="auto"/>
            </w:tcBorders>
            <w:shd w:val="clear" w:color="auto" w:fill="C6EFCE"/>
            <w:noWrap/>
          </w:tcPr>
          <w:p w14:paraId="7428F069" w14:textId="77777777" w:rsidR="00895175" w:rsidRPr="0051384F" w:rsidRDefault="00895175" w:rsidP="0066695B">
            <w:pPr>
              <w:spacing w:after="0"/>
              <w:jc w:val="center"/>
              <w:rPr>
                <w:rFonts w:ascii="Times New Roman" w:hAnsi="Times New Roman" w:cs="Times New Roman"/>
                <w:noProof/>
                <w:color w:val="006100"/>
                <w:sz w:val="20"/>
                <w:szCs w:val="20"/>
              </w:rPr>
            </w:pPr>
            <w:r>
              <w:rPr>
                <w:rFonts w:ascii="Times New Roman" w:hAnsi="Times New Roman"/>
                <w:noProof/>
                <w:color w:val="006100"/>
                <w:sz w:val="20"/>
              </w:rPr>
              <w:t>T2</w:t>
            </w:r>
          </w:p>
        </w:tc>
        <w:tc>
          <w:tcPr>
            <w:tcW w:w="851" w:type="dxa"/>
            <w:tcBorders>
              <w:top w:val="nil"/>
              <w:left w:val="nil"/>
              <w:bottom w:val="single" w:sz="4" w:space="0" w:color="auto"/>
              <w:right w:val="single" w:sz="4" w:space="0" w:color="auto"/>
            </w:tcBorders>
            <w:shd w:val="clear" w:color="auto" w:fill="C6EFCE"/>
            <w:noWrap/>
          </w:tcPr>
          <w:p w14:paraId="619BE8AC" w14:textId="77777777" w:rsidR="00895175" w:rsidRPr="0051384F" w:rsidRDefault="00895175" w:rsidP="0066695B">
            <w:pPr>
              <w:spacing w:after="0"/>
              <w:jc w:val="center"/>
              <w:rPr>
                <w:rFonts w:ascii="Times New Roman" w:hAnsi="Times New Roman" w:cs="Times New Roman"/>
                <w:noProof/>
                <w:color w:val="006100"/>
                <w:sz w:val="20"/>
                <w:szCs w:val="20"/>
              </w:rPr>
            </w:pPr>
            <w:r>
              <w:rPr>
                <w:rFonts w:ascii="Times New Roman" w:hAnsi="Times New Roman"/>
                <w:noProof/>
                <w:color w:val="006100"/>
                <w:sz w:val="20"/>
              </w:rPr>
              <w:t>2021</w:t>
            </w:r>
          </w:p>
        </w:tc>
        <w:tc>
          <w:tcPr>
            <w:tcW w:w="4450" w:type="dxa"/>
            <w:tcBorders>
              <w:top w:val="nil"/>
              <w:left w:val="nil"/>
              <w:bottom w:val="single" w:sz="4" w:space="0" w:color="auto"/>
              <w:right w:val="single" w:sz="4" w:space="0" w:color="auto"/>
            </w:tcBorders>
            <w:shd w:val="clear" w:color="auto" w:fill="C6EFCE"/>
            <w:noWrap/>
          </w:tcPr>
          <w:p w14:paraId="353A0A7E" w14:textId="00A0911E" w:rsidR="00895175" w:rsidRPr="0051384F" w:rsidRDefault="00895175" w:rsidP="0066695B">
            <w:pPr>
              <w:spacing w:after="0"/>
              <w:jc w:val="both"/>
              <w:rPr>
                <w:rFonts w:ascii="Times New Roman" w:hAnsi="Times New Roman" w:cs="Times New Roman"/>
                <w:noProof/>
                <w:color w:val="006100"/>
                <w:sz w:val="20"/>
                <w:szCs w:val="20"/>
              </w:rPr>
            </w:pPr>
            <w:r>
              <w:rPr>
                <w:rFonts w:ascii="Times New Roman" w:hAnsi="Times New Roman"/>
                <w:noProof/>
                <w:color w:val="006100"/>
                <w:sz w:val="20"/>
              </w:rPr>
              <w:t>В Националната стратегия за психично здраве на гражданите на Република България 2021—2030 г. се определят стратегическите цели и приоритети за 10-годишен период и се дават препоръки относно:</w:t>
            </w:r>
          </w:p>
          <w:p w14:paraId="0EB14EDB" w14:textId="77777777" w:rsidR="00895175" w:rsidRPr="0051384F" w:rsidRDefault="00895175" w:rsidP="0051384F">
            <w:pPr>
              <w:pStyle w:val="ListParagraph"/>
              <w:numPr>
                <w:ilvl w:val="0"/>
                <w:numId w:val="61"/>
              </w:numPr>
              <w:spacing w:after="0" w:line="240" w:lineRule="auto"/>
              <w:ind w:left="360"/>
              <w:jc w:val="both"/>
              <w:rPr>
                <w:rFonts w:ascii="Times New Roman" w:hAnsi="Times New Roman" w:cs="Times New Roman"/>
                <w:noProof/>
                <w:color w:val="006100"/>
                <w:sz w:val="20"/>
                <w:szCs w:val="20"/>
              </w:rPr>
            </w:pPr>
            <w:r>
              <w:rPr>
                <w:rFonts w:ascii="Times New Roman" w:hAnsi="Times New Roman"/>
                <w:noProof/>
                <w:color w:val="006100"/>
                <w:sz w:val="20"/>
              </w:rPr>
              <w:t>интегрирането на психиатричните грижи в предоставянето на услуги в общността и у дома (деинституционализация) за хора, страдащи от психични заболявания и хранителни разстройства;</w:t>
            </w:r>
          </w:p>
          <w:p w14:paraId="432ADB2F" w14:textId="77777777" w:rsidR="00895175" w:rsidRPr="0051384F" w:rsidRDefault="00895175" w:rsidP="0051384F">
            <w:pPr>
              <w:pStyle w:val="ListParagraph"/>
              <w:numPr>
                <w:ilvl w:val="0"/>
                <w:numId w:val="61"/>
              </w:numPr>
              <w:spacing w:before="120" w:after="0" w:line="240" w:lineRule="auto"/>
              <w:ind w:left="360"/>
              <w:jc w:val="both"/>
              <w:rPr>
                <w:rFonts w:ascii="Times New Roman" w:hAnsi="Times New Roman" w:cs="Times New Roman"/>
                <w:noProof/>
                <w:color w:val="006100"/>
                <w:sz w:val="20"/>
                <w:szCs w:val="20"/>
              </w:rPr>
            </w:pPr>
            <w:r>
              <w:rPr>
                <w:rFonts w:ascii="Times New Roman" w:hAnsi="Times New Roman"/>
                <w:noProof/>
                <w:color w:val="006100"/>
                <w:sz w:val="20"/>
              </w:rPr>
              <w:t>недостига на персонал, работещ в областта на психичното здраве;</w:t>
            </w:r>
          </w:p>
          <w:p w14:paraId="5E2779AE" w14:textId="0353C026" w:rsidR="00895175" w:rsidRPr="0051384F" w:rsidRDefault="00895175" w:rsidP="0051384F">
            <w:pPr>
              <w:pStyle w:val="ListParagraph"/>
              <w:numPr>
                <w:ilvl w:val="0"/>
                <w:numId w:val="61"/>
              </w:numPr>
              <w:spacing w:before="120" w:after="0" w:line="240" w:lineRule="auto"/>
              <w:ind w:left="360"/>
              <w:jc w:val="both"/>
              <w:rPr>
                <w:rFonts w:ascii="Times New Roman" w:hAnsi="Times New Roman" w:cs="Times New Roman"/>
                <w:noProof/>
                <w:color w:val="006100"/>
                <w:sz w:val="20"/>
                <w:szCs w:val="20"/>
              </w:rPr>
            </w:pPr>
            <w:r>
              <w:rPr>
                <w:rFonts w:ascii="Times New Roman" w:hAnsi="Times New Roman"/>
                <w:noProof/>
                <w:color w:val="006100"/>
                <w:sz w:val="20"/>
              </w:rPr>
              <w:t>нуждите от ремонт на заведенията за психиатрична помощ.</w:t>
            </w:r>
          </w:p>
          <w:p w14:paraId="2B73FFB9" w14:textId="77777777" w:rsidR="00895175" w:rsidRPr="0051384F" w:rsidRDefault="00895175" w:rsidP="0066695B">
            <w:pPr>
              <w:spacing w:after="0"/>
              <w:jc w:val="both"/>
              <w:rPr>
                <w:rFonts w:ascii="Times New Roman" w:hAnsi="Times New Roman" w:cs="Times New Roman"/>
                <w:noProof/>
                <w:color w:val="006100"/>
                <w:sz w:val="20"/>
                <w:szCs w:val="20"/>
              </w:rPr>
            </w:pPr>
            <w:r>
              <w:rPr>
                <w:rFonts w:ascii="Times New Roman" w:hAnsi="Times New Roman"/>
                <w:noProof/>
                <w:color w:val="006100"/>
                <w:sz w:val="20"/>
              </w:rPr>
              <w:t>В плана за действие се формулират мерки и действия, включително графика за изпълнението на препоръките от стратегията.</w:t>
            </w:r>
          </w:p>
        </w:tc>
      </w:tr>
      <w:tr w:rsidR="00895175" w:rsidRPr="005241FC" w14:paraId="72F6C85E" w14:textId="77777777" w:rsidTr="0DF4F0A1">
        <w:trPr>
          <w:trHeight w:val="309"/>
          <w:jc w:val="center"/>
        </w:trPr>
        <w:tc>
          <w:tcPr>
            <w:tcW w:w="595" w:type="dxa"/>
            <w:tcBorders>
              <w:top w:val="nil"/>
              <w:left w:val="single" w:sz="4" w:space="0" w:color="auto"/>
              <w:bottom w:val="single" w:sz="4" w:space="0" w:color="auto"/>
              <w:right w:val="single" w:sz="4" w:space="0" w:color="auto"/>
            </w:tcBorders>
            <w:shd w:val="clear" w:color="auto" w:fill="C6EFCE"/>
            <w:noWrap/>
          </w:tcPr>
          <w:p w14:paraId="7F536EC8" w14:textId="799F2678" w:rsidR="00895175" w:rsidRPr="0051384F" w:rsidRDefault="00992016" w:rsidP="0066695B">
            <w:pPr>
              <w:spacing w:after="0"/>
              <w:jc w:val="center"/>
              <w:rPr>
                <w:rFonts w:ascii="Times New Roman" w:eastAsia="Times New Roman" w:hAnsi="Times New Roman" w:cs="Times New Roman"/>
                <w:noProof/>
                <w:sz w:val="20"/>
                <w:szCs w:val="20"/>
              </w:rPr>
            </w:pPr>
            <w:r>
              <w:rPr>
                <w:rFonts w:ascii="Times New Roman" w:hAnsi="Times New Roman"/>
                <w:noProof/>
                <w:color w:val="006100"/>
                <w:sz w:val="20"/>
              </w:rPr>
              <w:t>316</w:t>
            </w:r>
          </w:p>
        </w:tc>
        <w:tc>
          <w:tcPr>
            <w:tcW w:w="1701" w:type="dxa"/>
            <w:tcBorders>
              <w:top w:val="nil"/>
              <w:left w:val="nil"/>
              <w:bottom w:val="single" w:sz="4" w:space="0" w:color="auto"/>
              <w:right w:val="single" w:sz="4" w:space="0" w:color="auto"/>
            </w:tcBorders>
            <w:shd w:val="clear" w:color="auto" w:fill="C6EFCE"/>
            <w:noWrap/>
          </w:tcPr>
          <w:p w14:paraId="3ECDDE26" w14:textId="77777777" w:rsidR="00895175" w:rsidRPr="0051384F" w:rsidRDefault="00895175" w:rsidP="003B02A1">
            <w:pPr>
              <w:spacing w:after="0"/>
              <w:rPr>
                <w:rFonts w:ascii="Times New Roman" w:hAnsi="Times New Roman" w:cs="Times New Roman"/>
                <w:noProof/>
                <w:color w:val="006100"/>
                <w:sz w:val="20"/>
                <w:szCs w:val="20"/>
              </w:rPr>
            </w:pPr>
            <w:r>
              <w:rPr>
                <w:rFonts w:ascii="Times New Roman" w:hAnsi="Times New Roman"/>
                <w:noProof/>
                <w:color w:val="006100"/>
                <w:sz w:val="20"/>
              </w:rPr>
              <w:t>C12.R1:</w:t>
            </w:r>
          </w:p>
          <w:p w14:paraId="7AD03C6E" w14:textId="77777777" w:rsidR="00895175" w:rsidRPr="0051384F" w:rsidRDefault="00895175" w:rsidP="003B02A1">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Актуалзиране на стратегическата рамка на сектора на здравеопазването</w:t>
            </w:r>
          </w:p>
        </w:tc>
        <w:tc>
          <w:tcPr>
            <w:tcW w:w="993" w:type="dxa"/>
            <w:tcBorders>
              <w:top w:val="nil"/>
              <w:left w:val="nil"/>
              <w:bottom w:val="single" w:sz="4" w:space="0" w:color="auto"/>
              <w:right w:val="single" w:sz="4" w:space="0" w:color="auto"/>
            </w:tcBorders>
            <w:shd w:val="clear" w:color="auto" w:fill="C6EFCE"/>
            <w:noWrap/>
          </w:tcPr>
          <w:p w14:paraId="21AB45FE" w14:textId="77777777" w:rsidR="00895175" w:rsidRPr="0051384F" w:rsidRDefault="00895175" w:rsidP="0066695B">
            <w:pPr>
              <w:spacing w:after="0"/>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901" w:type="dxa"/>
            <w:tcBorders>
              <w:top w:val="nil"/>
              <w:left w:val="nil"/>
              <w:bottom w:val="single" w:sz="4" w:space="0" w:color="auto"/>
              <w:right w:val="single" w:sz="4" w:space="0" w:color="auto"/>
            </w:tcBorders>
            <w:shd w:val="clear" w:color="auto" w:fill="C6EFCE"/>
            <w:noWrap/>
          </w:tcPr>
          <w:p w14:paraId="42A8E8D5" w14:textId="77777777" w:rsidR="00895175" w:rsidRPr="0051384F" w:rsidRDefault="00895175"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Национална карта на дългосрочните нужди на сектор „Здравеопазване“</w:t>
            </w:r>
          </w:p>
        </w:tc>
        <w:tc>
          <w:tcPr>
            <w:tcW w:w="1473" w:type="dxa"/>
            <w:tcBorders>
              <w:top w:val="nil"/>
              <w:left w:val="nil"/>
              <w:bottom w:val="single" w:sz="4" w:space="0" w:color="auto"/>
              <w:right w:val="single" w:sz="4" w:space="0" w:color="auto"/>
            </w:tcBorders>
            <w:shd w:val="clear" w:color="auto" w:fill="C6EFCE"/>
            <w:noWrap/>
          </w:tcPr>
          <w:p w14:paraId="64F8F8C3" w14:textId="77777777" w:rsidR="00895175" w:rsidRPr="0051384F" w:rsidRDefault="00895175" w:rsidP="0066695B">
            <w:pPr>
              <w:spacing w:after="0"/>
              <w:jc w:val="center"/>
              <w:rPr>
                <w:rFonts w:ascii="Times New Roman" w:hAnsi="Times New Roman" w:cs="Times New Roman"/>
                <w:noProof/>
                <w:color w:val="006100"/>
                <w:sz w:val="20"/>
                <w:szCs w:val="20"/>
              </w:rPr>
            </w:pPr>
            <w:r>
              <w:rPr>
                <w:rFonts w:ascii="Times New Roman" w:hAnsi="Times New Roman"/>
                <w:noProof/>
                <w:color w:val="006100"/>
                <w:sz w:val="20"/>
              </w:rPr>
              <w:t xml:space="preserve">Приемане от Министерския съвет </w:t>
            </w:r>
          </w:p>
        </w:tc>
        <w:tc>
          <w:tcPr>
            <w:tcW w:w="937" w:type="dxa"/>
            <w:tcBorders>
              <w:top w:val="nil"/>
              <w:left w:val="nil"/>
              <w:bottom w:val="single" w:sz="4" w:space="0" w:color="auto"/>
              <w:right w:val="single" w:sz="4" w:space="0" w:color="auto"/>
            </w:tcBorders>
            <w:shd w:val="clear" w:color="auto" w:fill="C6EFCE"/>
            <w:noWrap/>
          </w:tcPr>
          <w:p w14:paraId="3E6C3252" w14:textId="77777777" w:rsidR="00895175" w:rsidRPr="0051384F" w:rsidRDefault="00895175" w:rsidP="0066695B">
            <w:pPr>
              <w:spacing w:after="0"/>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850" w:type="dxa"/>
            <w:tcBorders>
              <w:top w:val="nil"/>
              <w:left w:val="nil"/>
              <w:bottom w:val="single" w:sz="4" w:space="0" w:color="auto"/>
              <w:right w:val="single" w:sz="4" w:space="0" w:color="auto"/>
            </w:tcBorders>
            <w:shd w:val="clear" w:color="auto" w:fill="C6EFCE"/>
            <w:noWrap/>
          </w:tcPr>
          <w:p w14:paraId="57D359B1" w14:textId="77777777" w:rsidR="00895175" w:rsidRPr="0051384F" w:rsidRDefault="00895175" w:rsidP="0066695B">
            <w:pPr>
              <w:spacing w:after="0"/>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709" w:type="dxa"/>
            <w:tcBorders>
              <w:top w:val="nil"/>
              <w:left w:val="nil"/>
              <w:bottom w:val="single" w:sz="4" w:space="0" w:color="auto"/>
              <w:right w:val="single" w:sz="4" w:space="0" w:color="auto"/>
            </w:tcBorders>
            <w:shd w:val="clear" w:color="auto" w:fill="C6EFCE"/>
            <w:noWrap/>
          </w:tcPr>
          <w:p w14:paraId="6224B656" w14:textId="77777777" w:rsidR="00895175" w:rsidRPr="0051384F" w:rsidRDefault="00895175" w:rsidP="0066695B">
            <w:pPr>
              <w:spacing w:after="0"/>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850" w:type="dxa"/>
            <w:tcBorders>
              <w:top w:val="nil"/>
              <w:left w:val="nil"/>
              <w:bottom w:val="single" w:sz="4" w:space="0" w:color="auto"/>
              <w:right w:val="single" w:sz="4" w:space="0" w:color="auto"/>
            </w:tcBorders>
            <w:shd w:val="clear" w:color="auto" w:fill="C6EFCE"/>
            <w:noWrap/>
          </w:tcPr>
          <w:p w14:paraId="3573F5AF" w14:textId="3153D363" w:rsidR="00895175" w:rsidRPr="0051384F" w:rsidRDefault="00895175" w:rsidP="0066695B">
            <w:pPr>
              <w:spacing w:after="0"/>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T3</w:t>
            </w:r>
          </w:p>
        </w:tc>
        <w:tc>
          <w:tcPr>
            <w:tcW w:w="851" w:type="dxa"/>
            <w:tcBorders>
              <w:top w:val="nil"/>
              <w:left w:val="nil"/>
              <w:bottom w:val="single" w:sz="4" w:space="0" w:color="auto"/>
              <w:right w:val="single" w:sz="4" w:space="0" w:color="auto"/>
            </w:tcBorders>
            <w:shd w:val="clear" w:color="auto" w:fill="C6EFCE"/>
            <w:noWrap/>
          </w:tcPr>
          <w:p w14:paraId="3CA4F864" w14:textId="77777777" w:rsidR="00895175" w:rsidRPr="0051384F" w:rsidRDefault="00895175" w:rsidP="0066695B">
            <w:pPr>
              <w:spacing w:after="0"/>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2022</w:t>
            </w:r>
          </w:p>
        </w:tc>
        <w:tc>
          <w:tcPr>
            <w:tcW w:w="4450" w:type="dxa"/>
            <w:tcBorders>
              <w:top w:val="nil"/>
              <w:left w:val="nil"/>
              <w:bottom w:val="single" w:sz="4" w:space="0" w:color="auto"/>
              <w:right w:val="single" w:sz="4" w:space="0" w:color="auto"/>
            </w:tcBorders>
            <w:shd w:val="clear" w:color="auto" w:fill="C6EFCE"/>
            <w:noWrap/>
          </w:tcPr>
          <w:p w14:paraId="1FD9E88D" w14:textId="77777777" w:rsidR="00895175" w:rsidRPr="0051384F" w:rsidRDefault="00895175" w:rsidP="0066695B">
            <w:pPr>
              <w:spacing w:after="0"/>
              <w:jc w:val="both"/>
              <w:rPr>
                <w:rFonts w:ascii="Times New Roman" w:hAnsi="Times New Roman" w:cs="Times New Roman"/>
                <w:noProof/>
                <w:color w:val="006100"/>
                <w:sz w:val="20"/>
                <w:szCs w:val="20"/>
              </w:rPr>
            </w:pPr>
            <w:r>
              <w:rPr>
                <w:rFonts w:ascii="Times New Roman" w:hAnsi="Times New Roman"/>
                <w:noProof/>
                <w:color w:val="006100"/>
                <w:sz w:val="20"/>
              </w:rPr>
              <w:t xml:space="preserve">Националната карта на дългосрочните нужди на сектор „Здравеопазване“ включва анализ на нуждите на системата на здравеопазването на територията на България. </w:t>
            </w:r>
          </w:p>
          <w:p w14:paraId="05BB22FF" w14:textId="77777777" w:rsidR="00895175" w:rsidRPr="008A0F8A" w:rsidRDefault="00895175" w:rsidP="0066695B">
            <w:pPr>
              <w:spacing w:after="0"/>
              <w:jc w:val="both"/>
              <w:rPr>
                <w:rFonts w:ascii="Times New Roman" w:hAnsi="Times New Roman" w:cs="Times New Roman"/>
                <w:noProof/>
                <w:color w:val="006100"/>
                <w:sz w:val="20"/>
                <w:szCs w:val="20"/>
                <w:lang w:val="ru-RU"/>
              </w:rPr>
            </w:pPr>
          </w:p>
          <w:p w14:paraId="773A45D5" w14:textId="77777777" w:rsidR="00895175" w:rsidRPr="0051384F" w:rsidRDefault="00895175" w:rsidP="0066695B">
            <w:pPr>
              <w:spacing w:after="0"/>
              <w:jc w:val="both"/>
              <w:rPr>
                <w:rFonts w:ascii="Times New Roman" w:hAnsi="Times New Roman" w:cs="Times New Roman"/>
                <w:noProof/>
                <w:color w:val="006100"/>
                <w:sz w:val="20"/>
                <w:szCs w:val="20"/>
              </w:rPr>
            </w:pPr>
            <w:r>
              <w:rPr>
                <w:rFonts w:ascii="Times New Roman" w:hAnsi="Times New Roman"/>
                <w:noProof/>
                <w:color w:val="006100"/>
                <w:sz w:val="20"/>
              </w:rPr>
              <w:t xml:space="preserve">Анализът обхваща: </w:t>
            </w:r>
          </w:p>
          <w:p w14:paraId="1195FB3C" w14:textId="77777777" w:rsidR="00895175" w:rsidRPr="0051384F" w:rsidRDefault="00895175" w:rsidP="0051384F">
            <w:pPr>
              <w:pStyle w:val="ListParagraph"/>
              <w:numPr>
                <w:ilvl w:val="0"/>
                <w:numId w:val="61"/>
              </w:numPr>
              <w:spacing w:after="0"/>
              <w:ind w:left="360"/>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наличието на болнични и амбулаторни грижи на цялата територия на страната; </w:t>
            </w:r>
          </w:p>
          <w:p w14:paraId="41D3F434" w14:textId="77777777" w:rsidR="00895175" w:rsidRPr="0051384F" w:rsidRDefault="00895175" w:rsidP="0051384F">
            <w:pPr>
              <w:pStyle w:val="ListParagraph"/>
              <w:numPr>
                <w:ilvl w:val="0"/>
                <w:numId w:val="61"/>
              </w:numPr>
              <w:spacing w:after="0"/>
              <w:ind w:left="360"/>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необходимостта от нови здравни заведения, включително амбулатории;</w:t>
            </w:r>
          </w:p>
          <w:p w14:paraId="7B4C4CB3" w14:textId="77777777" w:rsidR="00895175" w:rsidRPr="0051384F" w:rsidRDefault="00895175" w:rsidP="0051384F">
            <w:pPr>
              <w:pStyle w:val="ListParagraph"/>
              <w:numPr>
                <w:ilvl w:val="0"/>
                <w:numId w:val="61"/>
              </w:numPr>
              <w:spacing w:after="0"/>
              <w:ind w:left="360"/>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недостига на медицински специалисти;</w:t>
            </w:r>
          </w:p>
          <w:p w14:paraId="392758C0" w14:textId="77777777" w:rsidR="00895175" w:rsidRPr="0051384F" w:rsidRDefault="00895175" w:rsidP="0051384F">
            <w:pPr>
              <w:pStyle w:val="ListParagraph"/>
              <w:numPr>
                <w:ilvl w:val="0"/>
                <w:numId w:val="61"/>
              </w:numPr>
              <w:spacing w:after="0"/>
              <w:ind w:left="360"/>
              <w:jc w:val="both"/>
              <w:rPr>
                <w:rFonts w:ascii="Times New Roman" w:hAnsi="Times New Roman" w:cs="Times New Roman"/>
                <w:noProof/>
                <w:color w:val="006100"/>
                <w:sz w:val="20"/>
                <w:szCs w:val="20"/>
              </w:rPr>
            </w:pPr>
            <w:r>
              <w:rPr>
                <w:rFonts w:ascii="Times New Roman" w:hAnsi="Times New Roman"/>
                <w:noProof/>
                <w:color w:val="006100"/>
                <w:sz w:val="20"/>
              </w:rPr>
              <w:t>нуждите от ремонт и оборудване на здравните заведения, включително амбулаториите;</w:t>
            </w:r>
          </w:p>
          <w:p w14:paraId="3584A2FB" w14:textId="5F5E5E38" w:rsidR="00895175" w:rsidRPr="0051384F" w:rsidRDefault="477B0533" w:rsidP="0051384F">
            <w:pPr>
              <w:pStyle w:val="ListParagraph"/>
              <w:numPr>
                <w:ilvl w:val="0"/>
                <w:numId w:val="61"/>
              </w:numPr>
              <w:spacing w:after="0"/>
              <w:ind w:left="360"/>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съответната информация за българските общини, включително демографски характеристики на населението; здравноосигурителното покритие, както и заболеваемостта и смъртността.</w:t>
            </w:r>
          </w:p>
          <w:p w14:paraId="4551ECD0" w14:textId="77777777" w:rsidR="00895175" w:rsidRPr="0051384F" w:rsidRDefault="00895175" w:rsidP="0066695B">
            <w:pPr>
              <w:spacing w:after="0"/>
              <w:jc w:val="both"/>
              <w:rPr>
                <w:rFonts w:ascii="Times New Roman" w:hAnsi="Times New Roman" w:cs="Times New Roman"/>
                <w:noProof/>
                <w:sz w:val="20"/>
                <w:szCs w:val="20"/>
              </w:rPr>
            </w:pPr>
            <w:r>
              <w:rPr>
                <w:rFonts w:ascii="Times New Roman" w:hAnsi="Times New Roman"/>
                <w:noProof/>
                <w:color w:val="006100"/>
                <w:sz w:val="20"/>
              </w:rPr>
              <w:t>Въз основа на този анализ картата ще предостави също така препоръки за това как да се насърчи балансираното разпределение на здравните услуги в България.</w:t>
            </w:r>
          </w:p>
        </w:tc>
      </w:tr>
      <w:tr w:rsidR="00895175" w:rsidRPr="005241FC" w14:paraId="5544FEC9" w14:textId="77777777" w:rsidTr="0DF4F0A1">
        <w:trPr>
          <w:trHeight w:val="309"/>
          <w:jc w:val="center"/>
        </w:trPr>
        <w:tc>
          <w:tcPr>
            <w:tcW w:w="595" w:type="dxa"/>
            <w:tcBorders>
              <w:top w:val="nil"/>
              <w:left w:val="single" w:sz="4" w:space="0" w:color="auto"/>
              <w:bottom w:val="single" w:sz="4" w:space="0" w:color="auto"/>
              <w:right w:val="single" w:sz="4" w:space="0" w:color="auto"/>
            </w:tcBorders>
            <w:shd w:val="clear" w:color="auto" w:fill="C6EFCE"/>
            <w:noWrap/>
          </w:tcPr>
          <w:p w14:paraId="0071B211" w14:textId="359F5FB3" w:rsidR="00895175" w:rsidRPr="0051384F" w:rsidRDefault="00992016" w:rsidP="0066695B">
            <w:pPr>
              <w:spacing w:after="0"/>
              <w:jc w:val="center"/>
              <w:rPr>
                <w:rFonts w:ascii="Times New Roman" w:eastAsia="Times New Roman" w:hAnsi="Times New Roman" w:cs="Times New Roman"/>
                <w:noProof/>
                <w:sz w:val="20"/>
                <w:szCs w:val="20"/>
              </w:rPr>
            </w:pPr>
            <w:r>
              <w:rPr>
                <w:rFonts w:ascii="Times New Roman" w:hAnsi="Times New Roman"/>
                <w:noProof/>
                <w:color w:val="006100"/>
                <w:sz w:val="20"/>
              </w:rPr>
              <w:t>317</w:t>
            </w:r>
          </w:p>
        </w:tc>
        <w:tc>
          <w:tcPr>
            <w:tcW w:w="1701" w:type="dxa"/>
            <w:tcBorders>
              <w:top w:val="nil"/>
              <w:left w:val="nil"/>
              <w:bottom w:val="single" w:sz="4" w:space="0" w:color="auto"/>
              <w:right w:val="single" w:sz="4" w:space="0" w:color="auto"/>
            </w:tcBorders>
            <w:shd w:val="clear" w:color="auto" w:fill="C6EFCE"/>
            <w:noWrap/>
          </w:tcPr>
          <w:p w14:paraId="24C8E9A7" w14:textId="77777777" w:rsidR="00895175" w:rsidRPr="0051384F" w:rsidRDefault="00895175" w:rsidP="003B02A1">
            <w:pPr>
              <w:spacing w:after="0"/>
              <w:rPr>
                <w:rFonts w:ascii="Times New Roman" w:hAnsi="Times New Roman" w:cs="Times New Roman"/>
                <w:noProof/>
                <w:color w:val="006100"/>
                <w:sz w:val="20"/>
                <w:szCs w:val="20"/>
              </w:rPr>
            </w:pPr>
            <w:r>
              <w:rPr>
                <w:rFonts w:ascii="Times New Roman" w:hAnsi="Times New Roman"/>
                <w:noProof/>
                <w:color w:val="006100"/>
                <w:sz w:val="20"/>
              </w:rPr>
              <w:t>C12.R1:</w:t>
            </w:r>
          </w:p>
          <w:p w14:paraId="4AB87D57" w14:textId="77777777" w:rsidR="00895175" w:rsidRPr="0051384F" w:rsidRDefault="00895175" w:rsidP="003B02A1">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Актуалзиране на стратегическата рамка на сектора на здравеопазването</w:t>
            </w:r>
          </w:p>
        </w:tc>
        <w:tc>
          <w:tcPr>
            <w:tcW w:w="993" w:type="dxa"/>
            <w:tcBorders>
              <w:top w:val="nil"/>
              <w:left w:val="nil"/>
              <w:bottom w:val="single" w:sz="4" w:space="0" w:color="auto"/>
              <w:right w:val="single" w:sz="4" w:space="0" w:color="auto"/>
            </w:tcBorders>
            <w:shd w:val="clear" w:color="auto" w:fill="C6EFCE"/>
            <w:noWrap/>
          </w:tcPr>
          <w:p w14:paraId="22AD5780" w14:textId="77777777" w:rsidR="00895175" w:rsidRPr="0051384F" w:rsidRDefault="00895175" w:rsidP="0066695B">
            <w:pPr>
              <w:spacing w:after="0"/>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901" w:type="dxa"/>
            <w:tcBorders>
              <w:top w:val="nil"/>
              <w:left w:val="nil"/>
              <w:bottom w:val="single" w:sz="4" w:space="0" w:color="auto"/>
              <w:right w:val="single" w:sz="4" w:space="0" w:color="auto"/>
            </w:tcBorders>
            <w:shd w:val="clear" w:color="auto" w:fill="C6EFCE"/>
            <w:noWrap/>
          </w:tcPr>
          <w:p w14:paraId="6F02800C" w14:textId="77777777" w:rsidR="00895175" w:rsidRPr="0051384F" w:rsidRDefault="00895175" w:rsidP="0066695B">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Национална здравна стратегия 2021—2030 г. и план за действие за изпълнение на стратегията</w:t>
            </w:r>
          </w:p>
        </w:tc>
        <w:tc>
          <w:tcPr>
            <w:tcW w:w="1473" w:type="dxa"/>
            <w:tcBorders>
              <w:top w:val="nil"/>
              <w:left w:val="nil"/>
              <w:bottom w:val="single" w:sz="4" w:space="0" w:color="auto"/>
              <w:right w:val="single" w:sz="4" w:space="0" w:color="auto"/>
            </w:tcBorders>
            <w:shd w:val="clear" w:color="auto" w:fill="C6EFCE"/>
            <w:noWrap/>
          </w:tcPr>
          <w:p w14:paraId="4DF72F30" w14:textId="77777777" w:rsidR="00895175" w:rsidRPr="0051384F" w:rsidRDefault="00895175" w:rsidP="0066695B">
            <w:pPr>
              <w:spacing w:after="0"/>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Приемане на стратегията и плана за действие от Министерския съвет </w:t>
            </w:r>
          </w:p>
        </w:tc>
        <w:tc>
          <w:tcPr>
            <w:tcW w:w="937" w:type="dxa"/>
            <w:tcBorders>
              <w:top w:val="nil"/>
              <w:left w:val="nil"/>
              <w:bottom w:val="single" w:sz="4" w:space="0" w:color="auto"/>
              <w:right w:val="single" w:sz="4" w:space="0" w:color="auto"/>
            </w:tcBorders>
            <w:shd w:val="clear" w:color="auto" w:fill="C6EFCE"/>
            <w:noWrap/>
          </w:tcPr>
          <w:p w14:paraId="1EDA34C2" w14:textId="77777777" w:rsidR="00895175" w:rsidRPr="0051384F" w:rsidRDefault="00895175" w:rsidP="0066695B">
            <w:pPr>
              <w:spacing w:after="0"/>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850" w:type="dxa"/>
            <w:tcBorders>
              <w:top w:val="nil"/>
              <w:left w:val="nil"/>
              <w:bottom w:val="single" w:sz="4" w:space="0" w:color="auto"/>
              <w:right w:val="single" w:sz="4" w:space="0" w:color="auto"/>
            </w:tcBorders>
            <w:shd w:val="clear" w:color="auto" w:fill="C6EFCE"/>
            <w:noWrap/>
          </w:tcPr>
          <w:p w14:paraId="3426B4AB" w14:textId="77777777" w:rsidR="00895175" w:rsidRPr="0051384F" w:rsidRDefault="00895175" w:rsidP="0066695B">
            <w:pPr>
              <w:spacing w:after="0"/>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709" w:type="dxa"/>
            <w:tcBorders>
              <w:top w:val="nil"/>
              <w:left w:val="nil"/>
              <w:bottom w:val="single" w:sz="4" w:space="0" w:color="auto"/>
              <w:right w:val="single" w:sz="4" w:space="0" w:color="auto"/>
            </w:tcBorders>
            <w:shd w:val="clear" w:color="auto" w:fill="C6EFCE"/>
            <w:noWrap/>
          </w:tcPr>
          <w:p w14:paraId="4BEDD4D2" w14:textId="77777777" w:rsidR="00895175" w:rsidRPr="0051384F" w:rsidRDefault="00895175" w:rsidP="0066695B">
            <w:pPr>
              <w:spacing w:after="0"/>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850" w:type="dxa"/>
            <w:tcBorders>
              <w:top w:val="nil"/>
              <w:left w:val="nil"/>
              <w:bottom w:val="single" w:sz="4" w:space="0" w:color="auto"/>
              <w:right w:val="single" w:sz="4" w:space="0" w:color="auto"/>
            </w:tcBorders>
            <w:shd w:val="clear" w:color="auto" w:fill="C6EFCE"/>
            <w:noWrap/>
          </w:tcPr>
          <w:p w14:paraId="7E0A47D0" w14:textId="77777777" w:rsidR="00895175" w:rsidRPr="0051384F" w:rsidRDefault="00895175" w:rsidP="0066695B">
            <w:pPr>
              <w:spacing w:after="0"/>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T3</w:t>
            </w:r>
          </w:p>
        </w:tc>
        <w:tc>
          <w:tcPr>
            <w:tcW w:w="851" w:type="dxa"/>
            <w:tcBorders>
              <w:top w:val="nil"/>
              <w:left w:val="nil"/>
              <w:bottom w:val="single" w:sz="4" w:space="0" w:color="auto"/>
              <w:right w:val="single" w:sz="4" w:space="0" w:color="auto"/>
            </w:tcBorders>
            <w:shd w:val="clear" w:color="auto" w:fill="C6EFCE"/>
            <w:noWrap/>
          </w:tcPr>
          <w:p w14:paraId="6B71FA5C" w14:textId="77777777" w:rsidR="00895175" w:rsidRPr="0051384F" w:rsidRDefault="00895175" w:rsidP="0066695B">
            <w:pPr>
              <w:spacing w:after="0"/>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2022</w:t>
            </w:r>
          </w:p>
        </w:tc>
        <w:tc>
          <w:tcPr>
            <w:tcW w:w="4450" w:type="dxa"/>
            <w:tcBorders>
              <w:top w:val="nil"/>
              <w:left w:val="nil"/>
              <w:bottom w:val="single" w:sz="4" w:space="0" w:color="auto"/>
              <w:right w:val="single" w:sz="4" w:space="0" w:color="auto"/>
            </w:tcBorders>
            <w:shd w:val="clear" w:color="auto" w:fill="C6EFCE"/>
            <w:noWrap/>
          </w:tcPr>
          <w:p w14:paraId="0E9E88BF" w14:textId="77777777" w:rsidR="00895175" w:rsidRPr="0051384F" w:rsidRDefault="00895175" w:rsidP="0066695B">
            <w:pPr>
              <w:spacing w:after="0"/>
              <w:jc w:val="both"/>
              <w:rPr>
                <w:rFonts w:ascii="Times New Roman" w:hAnsi="Times New Roman" w:cs="Times New Roman"/>
                <w:noProof/>
                <w:color w:val="006100"/>
                <w:sz w:val="20"/>
                <w:szCs w:val="20"/>
              </w:rPr>
            </w:pPr>
            <w:r>
              <w:rPr>
                <w:rFonts w:ascii="Times New Roman" w:hAnsi="Times New Roman"/>
                <w:noProof/>
                <w:color w:val="006100"/>
                <w:sz w:val="20"/>
              </w:rPr>
              <w:t xml:space="preserve">В Националната здравна стратегия 2021—2030 г. се определят стратегическите цели и приоритети за период от 10 години и се дават препоръки за справяне със съществуващите структурни предизвикателства в здравната система. </w:t>
            </w:r>
          </w:p>
          <w:p w14:paraId="72F0BB76" w14:textId="77777777" w:rsidR="00895175" w:rsidRPr="008A0F8A" w:rsidRDefault="00895175" w:rsidP="0066695B">
            <w:pPr>
              <w:spacing w:after="0"/>
              <w:jc w:val="both"/>
              <w:rPr>
                <w:rFonts w:ascii="Times New Roman" w:hAnsi="Times New Roman" w:cs="Times New Roman"/>
                <w:noProof/>
                <w:color w:val="006100"/>
                <w:sz w:val="20"/>
                <w:szCs w:val="20"/>
                <w:lang w:val="ru-RU"/>
              </w:rPr>
            </w:pPr>
          </w:p>
          <w:p w14:paraId="185480ED" w14:textId="77777777" w:rsidR="00895175" w:rsidRPr="0051384F" w:rsidRDefault="00895175" w:rsidP="0066695B">
            <w:pPr>
              <w:spacing w:after="0"/>
              <w:jc w:val="both"/>
              <w:rPr>
                <w:rFonts w:ascii="Times New Roman" w:hAnsi="Times New Roman" w:cs="Times New Roman"/>
                <w:noProof/>
                <w:color w:val="006100"/>
                <w:sz w:val="20"/>
                <w:szCs w:val="20"/>
              </w:rPr>
            </w:pPr>
            <w:r>
              <w:rPr>
                <w:rFonts w:ascii="Times New Roman" w:hAnsi="Times New Roman"/>
                <w:noProof/>
                <w:color w:val="006100"/>
                <w:sz w:val="20"/>
              </w:rPr>
              <w:t>Препоръките се отнасят до:</w:t>
            </w:r>
          </w:p>
          <w:p w14:paraId="7CE2BCAA" w14:textId="77777777" w:rsidR="00895175" w:rsidRPr="0051384F" w:rsidRDefault="00895175" w:rsidP="0051384F">
            <w:pPr>
              <w:pStyle w:val="ListParagraph"/>
              <w:numPr>
                <w:ilvl w:val="0"/>
                <w:numId w:val="62"/>
              </w:numPr>
              <w:spacing w:after="0"/>
              <w:ind w:left="360"/>
              <w:jc w:val="both"/>
              <w:rPr>
                <w:rFonts w:ascii="Times New Roman" w:hAnsi="Times New Roman" w:cs="Times New Roman"/>
                <w:noProof/>
                <w:color w:val="006100"/>
                <w:sz w:val="20"/>
                <w:szCs w:val="20"/>
              </w:rPr>
            </w:pPr>
            <w:r>
              <w:rPr>
                <w:rFonts w:ascii="Times New Roman" w:hAnsi="Times New Roman"/>
                <w:noProof/>
                <w:color w:val="006100"/>
                <w:sz w:val="20"/>
              </w:rPr>
              <w:t xml:space="preserve">регионалните дисбаланси при предоставянето на здравни услуги; </w:t>
            </w:r>
          </w:p>
          <w:p w14:paraId="216CCB48" w14:textId="77777777" w:rsidR="00895175" w:rsidRPr="0051384F" w:rsidRDefault="00895175" w:rsidP="0051384F">
            <w:pPr>
              <w:pStyle w:val="ListParagraph"/>
              <w:numPr>
                <w:ilvl w:val="0"/>
                <w:numId w:val="62"/>
              </w:numPr>
              <w:spacing w:after="0"/>
              <w:ind w:left="360"/>
              <w:jc w:val="both"/>
              <w:rPr>
                <w:rFonts w:ascii="Times New Roman" w:hAnsi="Times New Roman" w:cs="Times New Roman"/>
                <w:noProof/>
                <w:color w:val="006100"/>
                <w:sz w:val="20"/>
                <w:szCs w:val="20"/>
              </w:rPr>
            </w:pPr>
            <w:r>
              <w:rPr>
                <w:rFonts w:ascii="Times New Roman" w:hAnsi="Times New Roman"/>
                <w:noProof/>
                <w:color w:val="006100"/>
                <w:sz w:val="20"/>
              </w:rPr>
              <w:t>разпределението на услугите между болничната и извънболничната помощ, свързани с профилактиката, рехабилитационните дейности, както и дългосрочните грижи;</w:t>
            </w:r>
          </w:p>
          <w:p w14:paraId="65BF5701" w14:textId="77777777" w:rsidR="00895175" w:rsidRPr="0051384F" w:rsidRDefault="00895175" w:rsidP="0051384F">
            <w:pPr>
              <w:pStyle w:val="ListParagraph"/>
              <w:numPr>
                <w:ilvl w:val="0"/>
                <w:numId w:val="62"/>
              </w:numPr>
              <w:spacing w:after="0"/>
              <w:ind w:left="360"/>
              <w:jc w:val="both"/>
              <w:rPr>
                <w:rFonts w:ascii="Times New Roman" w:hAnsi="Times New Roman" w:cs="Times New Roman"/>
                <w:noProof/>
                <w:color w:val="006100"/>
                <w:sz w:val="20"/>
                <w:szCs w:val="20"/>
              </w:rPr>
            </w:pPr>
            <w:r>
              <w:rPr>
                <w:rFonts w:ascii="Times New Roman" w:hAnsi="Times New Roman"/>
                <w:noProof/>
                <w:color w:val="006100"/>
                <w:sz w:val="20"/>
              </w:rPr>
              <w:t>разработването на показатели за изпълнение, за да се направи оценка на предоставянето на услуги и на неговото управление;</w:t>
            </w:r>
          </w:p>
          <w:p w14:paraId="7879B6FF" w14:textId="78D51882" w:rsidR="00895175" w:rsidRPr="0051384F" w:rsidRDefault="00895175" w:rsidP="0051384F">
            <w:pPr>
              <w:pStyle w:val="ListParagraph"/>
              <w:numPr>
                <w:ilvl w:val="0"/>
                <w:numId w:val="62"/>
              </w:numPr>
              <w:spacing w:after="0"/>
              <w:ind w:left="360"/>
              <w:jc w:val="both"/>
              <w:rPr>
                <w:rFonts w:ascii="Times New Roman" w:hAnsi="Times New Roman" w:cs="Times New Roman"/>
                <w:noProof/>
                <w:color w:val="006100"/>
                <w:sz w:val="20"/>
                <w:szCs w:val="20"/>
              </w:rPr>
            </w:pPr>
            <w:r>
              <w:rPr>
                <w:rFonts w:ascii="Times New Roman" w:hAnsi="Times New Roman"/>
                <w:noProof/>
                <w:color w:val="006100"/>
                <w:sz w:val="20"/>
              </w:rPr>
              <w:t>недостигът и разпределението на здравните специалисти въз основа на анализа в Националната карта (ключов етап 316).</w:t>
            </w:r>
          </w:p>
          <w:p w14:paraId="706E5B94" w14:textId="77777777" w:rsidR="00895175" w:rsidRPr="008A0F8A" w:rsidRDefault="00895175" w:rsidP="0066695B">
            <w:pPr>
              <w:spacing w:after="0"/>
              <w:jc w:val="both"/>
              <w:rPr>
                <w:rFonts w:ascii="Times New Roman" w:hAnsi="Times New Roman" w:cs="Times New Roman"/>
                <w:noProof/>
                <w:color w:val="006100"/>
                <w:sz w:val="20"/>
                <w:szCs w:val="20"/>
                <w:lang w:val="ru-RU"/>
              </w:rPr>
            </w:pPr>
          </w:p>
          <w:p w14:paraId="54BC4236" w14:textId="77777777" w:rsidR="00895175" w:rsidRPr="0051384F" w:rsidRDefault="00895175" w:rsidP="0066695B">
            <w:pPr>
              <w:spacing w:after="0"/>
              <w:jc w:val="both"/>
              <w:rPr>
                <w:rFonts w:ascii="Times New Roman" w:hAnsi="Times New Roman" w:cs="Times New Roman"/>
                <w:noProof/>
                <w:color w:val="006100"/>
                <w:sz w:val="20"/>
                <w:szCs w:val="20"/>
              </w:rPr>
            </w:pPr>
            <w:r>
              <w:rPr>
                <w:rFonts w:ascii="Times New Roman" w:hAnsi="Times New Roman"/>
                <w:noProof/>
                <w:color w:val="006100"/>
                <w:sz w:val="20"/>
              </w:rPr>
              <w:t>В плана за действие се формулират мерки и действия, включително графика за изпълнението на препоръките от стратегията.</w:t>
            </w:r>
          </w:p>
        </w:tc>
      </w:tr>
      <w:tr w:rsidR="00895175" w:rsidRPr="005241FC" w14:paraId="4A5BBDA3" w14:textId="77777777" w:rsidTr="0DF4F0A1">
        <w:trPr>
          <w:trHeight w:val="309"/>
          <w:jc w:val="center"/>
        </w:trPr>
        <w:tc>
          <w:tcPr>
            <w:tcW w:w="595" w:type="dxa"/>
            <w:tcBorders>
              <w:top w:val="nil"/>
              <w:left w:val="single" w:sz="4" w:space="0" w:color="auto"/>
              <w:bottom w:val="single" w:sz="4" w:space="0" w:color="auto"/>
              <w:right w:val="single" w:sz="4" w:space="0" w:color="auto"/>
            </w:tcBorders>
            <w:shd w:val="clear" w:color="auto" w:fill="C6EFCE"/>
            <w:noWrap/>
          </w:tcPr>
          <w:p w14:paraId="52EF57CF" w14:textId="447495D7" w:rsidR="00895175" w:rsidRPr="0051384F" w:rsidRDefault="00992016" w:rsidP="0066695B">
            <w:pPr>
              <w:spacing w:after="0"/>
              <w:jc w:val="center"/>
              <w:rPr>
                <w:rFonts w:ascii="Times New Roman" w:eastAsia="Times New Roman" w:hAnsi="Times New Roman" w:cs="Times New Roman"/>
                <w:noProof/>
                <w:sz w:val="20"/>
                <w:szCs w:val="20"/>
              </w:rPr>
            </w:pPr>
            <w:r>
              <w:rPr>
                <w:rFonts w:ascii="Times New Roman" w:hAnsi="Times New Roman"/>
                <w:noProof/>
                <w:color w:val="006100"/>
                <w:sz w:val="20"/>
              </w:rPr>
              <w:t>318</w:t>
            </w:r>
          </w:p>
        </w:tc>
        <w:tc>
          <w:tcPr>
            <w:tcW w:w="1701" w:type="dxa"/>
            <w:tcBorders>
              <w:top w:val="nil"/>
              <w:left w:val="nil"/>
              <w:bottom w:val="single" w:sz="4" w:space="0" w:color="auto"/>
              <w:right w:val="single" w:sz="4" w:space="0" w:color="auto"/>
            </w:tcBorders>
            <w:shd w:val="clear" w:color="auto" w:fill="C6EFCE"/>
            <w:noWrap/>
          </w:tcPr>
          <w:p w14:paraId="43088487" w14:textId="77777777" w:rsidR="00895175" w:rsidRPr="0051384F" w:rsidRDefault="00895175" w:rsidP="003B02A1">
            <w:pPr>
              <w:spacing w:after="0"/>
              <w:rPr>
                <w:rFonts w:ascii="Times New Roman" w:hAnsi="Times New Roman" w:cs="Times New Roman"/>
                <w:noProof/>
                <w:color w:val="006100"/>
                <w:sz w:val="20"/>
                <w:szCs w:val="20"/>
              </w:rPr>
            </w:pPr>
            <w:r>
              <w:rPr>
                <w:rFonts w:ascii="Times New Roman" w:hAnsi="Times New Roman"/>
                <w:noProof/>
                <w:color w:val="006100"/>
                <w:sz w:val="20"/>
              </w:rPr>
              <w:t>C12.R1:</w:t>
            </w:r>
          </w:p>
          <w:p w14:paraId="38D11133" w14:textId="77777777" w:rsidR="00895175" w:rsidRPr="0051384F" w:rsidRDefault="00895175" w:rsidP="003B02A1">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Актуалзиране на стратегическата рамка на сектора на здравеопазването</w:t>
            </w:r>
          </w:p>
        </w:tc>
        <w:tc>
          <w:tcPr>
            <w:tcW w:w="993" w:type="dxa"/>
            <w:tcBorders>
              <w:top w:val="nil"/>
              <w:left w:val="nil"/>
              <w:bottom w:val="single" w:sz="4" w:space="0" w:color="auto"/>
              <w:right w:val="single" w:sz="4" w:space="0" w:color="auto"/>
            </w:tcBorders>
            <w:shd w:val="clear" w:color="auto" w:fill="C6EFCE"/>
            <w:noWrap/>
          </w:tcPr>
          <w:p w14:paraId="478DA96B" w14:textId="77777777" w:rsidR="00895175" w:rsidRPr="0051384F" w:rsidRDefault="00895175" w:rsidP="0066695B">
            <w:pPr>
              <w:spacing w:after="0"/>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901" w:type="dxa"/>
            <w:tcBorders>
              <w:top w:val="nil"/>
              <w:left w:val="nil"/>
              <w:bottom w:val="single" w:sz="4" w:space="0" w:color="auto"/>
              <w:right w:val="single" w:sz="4" w:space="0" w:color="auto"/>
            </w:tcBorders>
            <w:shd w:val="clear" w:color="auto" w:fill="C6EFCE"/>
            <w:noWrap/>
          </w:tcPr>
          <w:p w14:paraId="20A94A2F" w14:textId="2AEBE1EC" w:rsidR="00895175" w:rsidRPr="0051384F" w:rsidRDefault="00895175" w:rsidP="0066695B">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Национална стратегия за детско и юношеско здраве и педиатрична грижа в Република България 2021—2030 г. и план за действие за изпълнение на стратегията</w:t>
            </w:r>
          </w:p>
        </w:tc>
        <w:tc>
          <w:tcPr>
            <w:tcW w:w="1473" w:type="dxa"/>
            <w:tcBorders>
              <w:top w:val="nil"/>
              <w:left w:val="nil"/>
              <w:bottom w:val="single" w:sz="4" w:space="0" w:color="auto"/>
              <w:right w:val="single" w:sz="4" w:space="0" w:color="auto"/>
            </w:tcBorders>
            <w:shd w:val="clear" w:color="auto" w:fill="C6EFCE"/>
            <w:noWrap/>
          </w:tcPr>
          <w:p w14:paraId="198FBE86" w14:textId="77777777" w:rsidR="00895175" w:rsidRPr="0051384F" w:rsidRDefault="00895175" w:rsidP="0066695B">
            <w:pPr>
              <w:spacing w:after="0"/>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Приемане на стратегията и плана за действие от Министерския съвет </w:t>
            </w:r>
          </w:p>
        </w:tc>
        <w:tc>
          <w:tcPr>
            <w:tcW w:w="937" w:type="dxa"/>
            <w:tcBorders>
              <w:top w:val="nil"/>
              <w:left w:val="nil"/>
              <w:bottom w:val="single" w:sz="4" w:space="0" w:color="auto"/>
              <w:right w:val="single" w:sz="4" w:space="0" w:color="auto"/>
            </w:tcBorders>
            <w:shd w:val="clear" w:color="auto" w:fill="C6EFCE"/>
            <w:noWrap/>
          </w:tcPr>
          <w:p w14:paraId="3A8CDF2A" w14:textId="77777777" w:rsidR="00895175" w:rsidRPr="0051384F" w:rsidRDefault="00895175" w:rsidP="0066695B">
            <w:pPr>
              <w:spacing w:after="0"/>
              <w:jc w:val="right"/>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850" w:type="dxa"/>
            <w:tcBorders>
              <w:top w:val="nil"/>
              <w:left w:val="nil"/>
              <w:bottom w:val="single" w:sz="4" w:space="0" w:color="auto"/>
              <w:right w:val="single" w:sz="4" w:space="0" w:color="auto"/>
            </w:tcBorders>
            <w:shd w:val="clear" w:color="auto" w:fill="C6EFCE"/>
            <w:noWrap/>
          </w:tcPr>
          <w:p w14:paraId="495A28D9" w14:textId="77777777" w:rsidR="00895175" w:rsidRPr="0051384F" w:rsidRDefault="00895175" w:rsidP="0066695B">
            <w:pPr>
              <w:spacing w:after="0"/>
              <w:jc w:val="right"/>
              <w:rPr>
                <w:rFonts w:ascii="Times New Roman" w:eastAsia="Calibri" w:hAnsi="Times New Roman" w:cs="Times New Roman"/>
                <w:noProof/>
                <w:color w:val="006100"/>
                <w:sz w:val="20"/>
                <w:szCs w:val="20"/>
              </w:rPr>
            </w:pPr>
            <w:r>
              <w:rPr>
                <w:rFonts w:ascii="Times New Roman" w:hAnsi="Times New Roman"/>
                <w:noProof/>
                <w:color w:val="006100"/>
                <w:sz w:val="20"/>
              </w:rPr>
              <w:t> </w:t>
            </w:r>
          </w:p>
        </w:tc>
        <w:tc>
          <w:tcPr>
            <w:tcW w:w="709" w:type="dxa"/>
            <w:tcBorders>
              <w:top w:val="nil"/>
              <w:left w:val="nil"/>
              <w:bottom w:val="single" w:sz="4" w:space="0" w:color="auto"/>
              <w:right w:val="single" w:sz="4" w:space="0" w:color="auto"/>
            </w:tcBorders>
            <w:shd w:val="clear" w:color="auto" w:fill="C6EFCE"/>
            <w:noWrap/>
          </w:tcPr>
          <w:p w14:paraId="22DDD776" w14:textId="77777777" w:rsidR="00895175" w:rsidRPr="0051384F" w:rsidRDefault="00895175" w:rsidP="0066695B">
            <w:pPr>
              <w:spacing w:after="0"/>
              <w:jc w:val="right"/>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850" w:type="dxa"/>
            <w:tcBorders>
              <w:top w:val="nil"/>
              <w:left w:val="nil"/>
              <w:bottom w:val="single" w:sz="4" w:space="0" w:color="auto"/>
              <w:right w:val="single" w:sz="4" w:space="0" w:color="auto"/>
            </w:tcBorders>
            <w:shd w:val="clear" w:color="auto" w:fill="C6EFCE"/>
            <w:noWrap/>
          </w:tcPr>
          <w:p w14:paraId="339FA069" w14:textId="77E13D66" w:rsidR="00895175" w:rsidRPr="0051384F" w:rsidRDefault="00895175" w:rsidP="00D432BE">
            <w:pPr>
              <w:spacing w:after="0"/>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T4</w:t>
            </w:r>
          </w:p>
        </w:tc>
        <w:tc>
          <w:tcPr>
            <w:tcW w:w="851" w:type="dxa"/>
            <w:tcBorders>
              <w:top w:val="nil"/>
              <w:left w:val="nil"/>
              <w:bottom w:val="single" w:sz="4" w:space="0" w:color="auto"/>
              <w:right w:val="single" w:sz="4" w:space="0" w:color="auto"/>
            </w:tcBorders>
            <w:shd w:val="clear" w:color="auto" w:fill="C6EFCE"/>
            <w:noWrap/>
          </w:tcPr>
          <w:p w14:paraId="0DD9AE1F" w14:textId="77777777" w:rsidR="00895175" w:rsidRPr="0051384F" w:rsidRDefault="00895175" w:rsidP="0066695B">
            <w:pPr>
              <w:spacing w:after="0"/>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2022</w:t>
            </w:r>
          </w:p>
        </w:tc>
        <w:tc>
          <w:tcPr>
            <w:tcW w:w="4450" w:type="dxa"/>
            <w:tcBorders>
              <w:top w:val="nil"/>
              <w:left w:val="nil"/>
              <w:bottom w:val="single" w:sz="4" w:space="0" w:color="auto"/>
              <w:right w:val="single" w:sz="4" w:space="0" w:color="auto"/>
            </w:tcBorders>
            <w:shd w:val="clear" w:color="auto" w:fill="C6EFCE"/>
            <w:noWrap/>
          </w:tcPr>
          <w:p w14:paraId="72F983CC" w14:textId="16FD7A5A" w:rsidR="00895175" w:rsidRPr="0051384F" w:rsidRDefault="00895175" w:rsidP="0066695B">
            <w:pPr>
              <w:spacing w:after="0" w:line="240" w:lineRule="auto"/>
              <w:jc w:val="both"/>
              <w:rPr>
                <w:rFonts w:ascii="Times New Roman" w:hAnsi="Times New Roman" w:cs="Times New Roman"/>
                <w:noProof/>
                <w:color w:val="006100"/>
                <w:sz w:val="20"/>
                <w:szCs w:val="20"/>
              </w:rPr>
            </w:pPr>
            <w:r>
              <w:rPr>
                <w:rFonts w:ascii="Times New Roman" w:hAnsi="Times New Roman"/>
                <w:noProof/>
                <w:color w:val="006100"/>
                <w:sz w:val="20"/>
              </w:rPr>
              <w:t>В Националната стратегия за детско и юношеско здраве и педиатрична грижа в Република България 2021—2030 г. се определят стратегическите цели и приоритети за 10-годишен период и се дават препоръки относно:</w:t>
            </w:r>
          </w:p>
          <w:p w14:paraId="69420D36" w14:textId="154B91C2" w:rsidR="00895175" w:rsidRPr="0051384F" w:rsidRDefault="00895175" w:rsidP="0051384F">
            <w:pPr>
              <w:pStyle w:val="ListParagraph"/>
              <w:numPr>
                <w:ilvl w:val="0"/>
                <w:numId w:val="63"/>
              </w:numPr>
              <w:spacing w:after="0" w:line="240" w:lineRule="auto"/>
              <w:ind w:left="360"/>
              <w:jc w:val="both"/>
              <w:rPr>
                <w:rFonts w:ascii="Times New Roman" w:hAnsi="Times New Roman" w:cs="Times New Roman"/>
                <w:noProof/>
                <w:color w:val="006100"/>
                <w:sz w:val="20"/>
                <w:szCs w:val="20"/>
              </w:rPr>
            </w:pPr>
            <w:r>
              <w:rPr>
                <w:rFonts w:ascii="Times New Roman" w:hAnsi="Times New Roman"/>
                <w:noProof/>
                <w:color w:val="006100"/>
                <w:sz w:val="20"/>
              </w:rPr>
              <w:t>достъпността на диагностиката и лечението, насочени към деца и юноши, включително на специализираното педиатрично медицинско оборудване в здравните заведения;</w:t>
            </w:r>
          </w:p>
          <w:p w14:paraId="2601C43C" w14:textId="77777777" w:rsidR="00895175" w:rsidRPr="0051384F" w:rsidRDefault="00895175" w:rsidP="0051384F">
            <w:pPr>
              <w:pStyle w:val="ListParagraph"/>
              <w:numPr>
                <w:ilvl w:val="0"/>
                <w:numId w:val="63"/>
              </w:numPr>
              <w:spacing w:before="120" w:after="0" w:line="240" w:lineRule="auto"/>
              <w:ind w:left="360"/>
              <w:jc w:val="both"/>
              <w:rPr>
                <w:rFonts w:ascii="Times New Roman" w:hAnsi="Times New Roman" w:cs="Times New Roman"/>
                <w:noProof/>
                <w:color w:val="006100"/>
                <w:sz w:val="20"/>
                <w:szCs w:val="20"/>
              </w:rPr>
            </w:pPr>
            <w:r>
              <w:rPr>
                <w:rFonts w:ascii="Times New Roman" w:hAnsi="Times New Roman"/>
                <w:noProof/>
                <w:color w:val="006100"/>
                <w:sz w:val="20"/>
              </w:rPr>
              <w:t>инициативи за повишаване на осведомеността и за профилактика, включително за родителите и във връзка с бременността;</w:t>
            </w:r>
          </w:p>
          <w:p w14:paraId="2CD1EFB0" w14:textId="77777777" w:rsidR="00895175" w:rsidRPr="0051384F" w:rsidRDefault="00895175" w:rsidP="0051384F">
            <w:pPr>
              <w:pStyle w:val="ListParagraph"/>
              <w:numPr>
                <w:ilvl w:val="0"/>
                <w:numId w:val="63"/>
              </w:numPr>
              <w:spacing w:before="120" w:after="0" w:line="240" w:lineRule="auto"/>
              <w:ind w:left="360"/>
              <w:jc w:val="both"/>
              <w:rPr>
                <w:rFonts w:ascii="Times New Roman" w:hAnsi="Times New Roman" w:cs="Times New Roman"/>
                <w:noProof/>
                <w:color w:val="006100"/>
                <w:sz w:val="20"/>
                <w:szCs w:val="20"/>
              </w:rPr>
            </w:pPr>
            <w:r>
              <w:rPr>
                <w:rFonts w:ascii="Times New Roman" w:hAnsi="Times New Roman"/>
                <w:noProof/>
                <w:color w:val="006100"/>
                <w:sz w:val="20"/>
              </w:rPr>
              <w:t>регионални патронажни грижи и предоставяне на здравно-консултативни услуги.</w:t>
            </w:r>
          </w:p>
          <w:p w14:paraId="0CE50E21" w14:textId="77777777" w:rsidR="00895175" w:rsidRPr="0051384F" w:rsidRDefault="00895175" w:rsidP="0066695B">
            <w:pPr>
              <w:spacing w:before="120" w:after="0" w:line="240" w:lineRule="auto"/>
              <w:jc w:val="both"/>
              <w:rPr>
                <w:rFonts w:ascii="Times New Roman" w:hAnsi="Times New Roman" w:cs="Times New Roman"/>
                <w:noProof/>
                <w:color w:val="006100"/>
                <w:sz w:val="20"/>
                <w:szCs w:val="20"/>
              </w:rPr>
            </w:pPr>
            <w:r>
              <w:rPr>
                <w:rFonts w:ascii="Times New Roman" w:hAnsi="Times New Roman"/>
                <w:noProof/>
                <w:color w:val="006100"/>
                <w:sz w:val="20"/>
              </w:rPr>
              <w:t>В плана за действие се формулират мерки и действия, включително графика за изпълнението на препоръките от стратегията.</w:t>
            </w:r>
          </w:p>
        </w:tc>
      </w:tr>
      <w:tr w:rsidR="00895175" w:rsidRPr="005241FC" w14:paraId="3D9FDD65" w14:textId="77777777" w:rsidTr="0DF4F0A1">
        <w:trPr>
          <w:trHeight w:val="309"/>
          <w:jc w:val="center"/>
        </w:trPr>
        <w:tc>
          <w:tcPr>
            <w:tcW w:w="595" w:type="dxa"/>
            <w:tcBorders>
              <w:top w:val="nil"/>
              <w:left w:val="single" w:sz="4" w:space="0" w:color="auto"/>
              <w:bottom w:val="single" w:sz="4" w:space="0" w:color="auto"/>
              <w:right w:val="single" w:sz="4" w:space="0" w:color="auto"/>
            </w:tcBorders>
            <w:shd w:val="clear" w:color="auto" w:fill="C6EFCE"/>
            <w:noWrap/>
          </w:tcPr>
          <w:p w14:paraId="3C86F227" w14:textId="2CBEB9AD" w:rsidR="00895175" w:rsidRPr="0051384F" w:rsidRDefault="00992016" w:rsidP="0066695B">
            <w:pPr>
              <w:spacing w:after="0"/>
              <w:jc w:val="center"/>
              <w:rPr>
                <w:rFonts w:ascii="Times New Roman" w:eastAsia="Times New Roman" w:hAnsi="Times New Roman" w:cs="Times New Roman"/>
                <w:noProof/>
                <w:sz w:val="20"/>
                <w:szCs w:val="20"/>
              </w:rPr>
            </w:pPr>
            <w:r>
              <w:rPr>
                <w:rFonts w:ascii="Times New Roman" w:hAnsi="Times New Roman"/>
                <w:noProof/>
                <w:color w:val="006100"/>
                <w:sz w:val="20"/>
              </w:rPr>
              <w:t>319</w:t>
            </w:r>
          </w:p>
        </w:tc>
        <w:tc>
          <w:tcPr>
            <w:tcW w:w="1701" w:type="dxa"/>
            <w:tcBorders>
              <w:top w:val="nil"/>
              <w:left w:val="nil"/>
              <w:bottom w:val="single" w:sz="4" w:space="0" w:color="auto"/>
              <w:right w:val="single" w:sz="4" w:space="0" w:color="auto"/>
            </w:tcBorders>
            <w:shd w:val="clear" w:color="auto" w:fill="C6EFCE"/>
            <w:noWrap/>
          </w:tcPr>
          <w:p w14:paraId="20049724" w14:textId="77777777" w:rsidR="00895175" w:rsidRPr="0051384F" w:rsidRDefault="00895175" w:rsidP="003B02A1">
            <w:pPr>
              <w:spacing w:after="0"/>
              <w:rPr>
                <w:rFonts w:ascii="Times New Roman" w:hAnsi="Times New Roman" w:cs="Times New Roman"/>
                <w:noProof/>
                <w:color w:val="006100"/>
                <w:sz w:val="20"/>
                <w:szCs w:val="20"/>
              </w:rPr>
            </w:pPr>
            <w:r>
              <w:rPr>
                <w:rFonts w:ascii="Times New Roman" w:hAnsi="Times New Roman"/>
                <w:noProof/>
                <w:color w:val="006100"/>
                <w:sz w:val="20"/>
              </w:rPr>
              <w:t>C12.R1:</w:t>
            </w:r>
          </w:p>
          <w:p w14:paraId="6B26F2CD" w14:textId="77777777" w:rsidR="00895175" w:rsidRPr="0051384F" w:rsidRDefault="00895175" w:rsidP="003B02A1">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Актуалзиране на стратегическата рамка на сектора на здравеопазването</w:t>
            </w:r>
          </w:p>
        </w:tc>
        <w:tc>
          <w:tcPr>
            <w:tcW w:w="993" w:type="dxa"/>
            <w:tcBorders>
              <w:top w:val="nil"/>
              <w:left w:val="nil"/>
              <w:bottom w:val="single" w:sz="4" w:space="0" w:color="auto"/>
              <w:right w:val="single" w:sz="4" w:space="0" w:color="auto"/>
            </w:tcBorders>
            <w:shd w:val="clear" w:color="auto" w:fill="C6EFCE"/>
            <w:noWrap/>
          </w:tcPr>
          <w:p w14:paraId="503DA18D" w14:textId="77777777" w:rsidR="00895175" w:rsidRPr="0051384F" w:rsidRDefault="00895175" w:rsidP="0066695B">
            <w:pPr>
              <w:spacing w:after="0"/>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901" w:type="dxa"/>
            <w:tcBorders>
              <w:top w:val="nil"/>
              <w:left w:val="nil"/>
              <w:bottom w:val="single" w:sz="4" w:space="0" w:color="auto"/>
              <w:right w:val="single" w:sz="4" w:space="0" w:color="auto"/>
            </w:tcBorders>
            <w:shd w:val="clear" w:color="auto" w:fill="C6EFCE"/>
            <w:noWrap/>
          </w:tcPr>
          <w:p w14:paraId="676B7A75" w14:textId="77777777" w:rsidR="00895175" w:rsidRPr="0051384F" w:rsidRDefault="00895175" w:rsidP="0066695B">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Национален план за борба с рака в Република България 2021—2027 г.</w:t>
            </w:r>
          </w:p>
        </w:tc>
        <w:tc>
          <w:tcPr>
            <w:tcW w:w="1473" w:type="dxa"/>
            <w:tcBorders>
              <w:top w:val="nil"/>
              <w:left w:val="nil"/>
              <w:bottom w:val="single" w:sz="4" w:space="0" w:color="auto"/>
              <w:right w:val="single" w:sz="4" w:space="0" w:color="auto"/>
            </w:tcBorders>
            <w:shd w:val="clear" w:color="auto" w:fill="C6EFCE"/>
            <w:noWrap/>
          </w:tcPr>
          <w:p w14:paraId="2145CB59" w14:textId="77777777" w:rsidR="00895175" w:rsidRPr="0051384F" w:rsidRDefault="00895175" w:rsidP="0066695B">
            <w:pPr>
              <w:spacing w:after="0"/>
              <w:jc w:val="center"/>
              <w:rPr>
                <w:rFonts w:ascii="Times New Roman" w:hAnsi="Times New Roman" w:cs="Times New Roman"/>
                <w:noProof/>
                <w:color w:val="006100"/>
                <w:sz w:val="20"/>
                <w:szCs w:val="20"/>
              </w:rPr>
            </w:pPr>
            <w:r>
              <w:rPr>
                <w:rFonts w:ascii="Times New Roman" w:hAnsi="Times New Roman"/>
                <w:noProof/>
                <w:color w:val="006100"/>
                <w:sz w:val="20"/>
              </w:rPr>
              <w:t xml:space="preserve">Приемане от Министерския съвет </w:t>
            </w:r>
          </w:p>
        </w:tc>
        <w:tc>
          <w:tcPr>
            <w:tcW w:w="937" w:type="dxa"/>
            <w:tcBorders>
              <w:top w:val="nil"/>
              <w:left w:val="nil"/>
              <w:bottom w:val="single" w:sz="4" w:space="0" w:color="auto"/>
              <w:right w:val="single" w:sz="4" w:space="0" w:color="auto"/>
            </w:tcBorders>
            <w:shd w:val="clear" w:color="auto" w:fill="C6EFCE"/>
            <w:noWrap/>
          </w:tcPr>
          <w:p w14:paraId="0D96DDF1" w14:textId="77777777" w:rsidR="00895175" w:rsidRPr="0051384F" w:rsidRDefault="00895175" w:rsidP="0066695B">
            <w:pPr>
              <w:spacing w:after="0"/>
              <w:jc w:val="right"/>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850" w:type="dxa"/>
            <w:tcBorders>
              <w:top w:val="nil"/>
              <w:left w:val="nil"/>
              <w:bottom w:val="single" w:sz="4" w:space="0" w:color="auto"/>
              <w:right w:val="single" w:sz="4" w:space="0" w:color="auto"/>
            </w:tcBorders>
            <w:shd w:val="clear" w:color="auto" w:fill="C6EFCE"/>
            <w:noWrap/>
          </w:tcPr>
          <w:p w14:paraId="6FCD1A66" w14:textId="77777777" w:rsidR="00895175" w:rsidRPr="0051384F" w:rsidRDefault="00895175" w:rsidP="0066695B">
            <w:pPr>
              <w:spacing w:after="0"/>
              <w:jc w:val="right"/>
              <w:rPr>
                <w:rFonts w:ascii="Times New Roman" w:eastAsia="Calibri" w:hAnsi="Times New Roman" w:cs="Times New Roman"/>
                <w:noProof/>
                <w:color w:val="006100"/>
                <w:sz w:val="20"/>
                <w:szCs w:val="20"/>
              </w:rPr>
            </w:pPr>
            <w:r>
              <w:rPr>
                <w:rFonts w:ascii="Times New Roman" w:hAnsi="Times New Roman"/>
                <w:noProof/>
                <w:color w:val="006100"/>
                <w:sz w:val="20"/>
              </w:rPr>
              <w:t> </w:t>
            </w:r>
          </w:p>
        </w:tc>
        <w:tc>
          <w:tcPr>
            <w:tcW w:w="709" w:type="dxa"/>
            <w:tcBorders>
              <w:top w:val="nil"/>
              <w:left w:val="nil"/>
              <w:bottom w:val="single" w:sz="4" w:space="0" w:color="auto"/>
              <w:right w:val="single" w:sz="4" w:space="0" w:color="auto"/>
            </w:tcBorders>
            <w:shd w:val="clear" w:color="auto" w:fill="C6EFCE"/>
            <w:noWrap/>
          </w:tcPr>
          <w:p w14:paraId="2A7AAF92" w14:textId="77777777" w:rsidR="00895175" w:rsidRPr="0051384F" w:rsidRDefault="00895175" w:rsidP="0066695B">
            <w:pPr>
              <w:spacing w:after="0"/>
              <w:jc w:val="right"/>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850" w:type="dxa"/>
            <w:tcBorders>
              <w:top w:val="nil"/>
              <w:left w:val="nil"/>
              <w:bottom w:val="single" w:sz="4" w:space="0" w:color="auto"/>
              <w:right w:val="single" w:sz="4" w:space="0" w:color="auto"/>
            </w:tcBorders>
            <w:shd w:val="clear" w:color="auto" w:fill="C6EFCE"/>
            <w:noWrap/>
          </w:tcPr>
          <w:p w14:paraId="3FAE38E6" w14:textId="0F2388C2" w:rsidR="00895175" w:rsidRPr="0051384F" w:rsidRDefault="00895175" w:rsidP="0066695B">
            <w:pPr>
              <w:spacing w:after="0"/>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T4</w:t>
            </w:r>
          </w:p>
        </w:tc>
        <w:tc>
          <w:tcPr>
            <w:tcW w:w="851" w:type="dxa"/>
            <w:tcBorders>
              <w:top w:val="nil"/>
              <w:left w:val="nil"/>
              <w:bottom w:val="single" w:sz="4" w:space="0" w:color="auto"/>
              <w:right w:val="single" w:sz="4" w:space="0" w:color="auto"/>
            </w:tcBorders>
            <w:shd w:val="clear" w:color="auto" w:fill="C6EFCE"/>
            <w:noWrap/>
          </w:tcPr>
          <w:p w14:paraId="19C9A6A0" w14:textId="77777777" w:rsidR="00895175" w:rsidRPr="0051384F" w:rsidRDefault="00895175" w:rsidP="0066695B">
            <w:pPr>
              <w:spacing w:after="0"/>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2022</w:t>
            </w:r>
          </w:p>
        </w:tc>
        <w:tc>
          <w:tcPr>
            <w:tcW w:w="4450" w:type="dxa"/>
            <w:tcBorders>
              <w:top w:val="nil"/>
              <w:left w:val="nil"/>
              <w:bottom w:val="single" w:sz="4" w:space="0" w:color="auto"/>
              <w:right w:val="single" w:sz="4" w:space="0" w:color="auto"/>
            </w:tcBorders>
            <w:shd w:val="clear" w:color="auto" w:fill="C6EFCE"/>
            <w:noWrap/>
          </w:tcPr>
          <w:p w14:paraId="6809FE25" w14:textId="77777777" w:rsidR="00895175" w:rsidRPr="0051384F" w:rsidRDefault="00895175" w:rsidP="0066695B">
            <w:pPr>
              <w:spacing w:after="0"/>
              <w:jc w:val="both"/>
              <w:rPr>
                <w:rFonts w:ascii="Times New Roman" w:hAnsi="Times New Roman" w:cs="Times New Roman"/>
                <w:noProof/>
                <w:color w:val="006100"/>
                <w:sz w:val="20"/>
                <w:szCs w:val="20"/>
              </w:rPr>
            </w:pPr>
            <w:r>
              <w:rPr>
                <w:rFonts w:ascii="Times New Roman" w:hAnsi="Times New Roman"/>
                <w:noProof/>
                <w:color w:val="006100"/>
                <w:sz w:val="20"/>
              </w:rPr>
              <w:t xml:space="preserve">В Националния план за борба с рака в Република България 2021—2027 г. се очертават мерки за подобряване на: </w:t>
            </w:r>
          </w:p>
          <w:p w14:paraId="6267D038" w14:textId="77777777" w:rsidR="00895175" w:rsidRPr="0051384F" w:rsidRDefault="00895175" w:rsidP="0051384F">
            <w:pPr>
              <w:pStyle w:val="ListParagraph"/>
              <w:numPr>
                <w:ilvl w:val="0"/>
                <w:numId w:val="61"/>
              </w:numPr>
              <w:spacing w:after="0"/>
              <w:ind w:left="360"/>
              <w:jc w:val="both"/>
              <w:rPr>
                <w:rFonts w:ascii="Times New Roman" w:hAnsi="Times New Roman" w:cs="Times New Roman"/>
                <w:noProof/>
                <w:color w:val="006100"/>
                <w:sz w:val="20"/>
                <w:szCs w:val="20"/>
              </w:rPr>
            </w:pPr>
            <w:r>
              <w:rPr>
                <w:rFonts w:ascii="Times New Roman" w:hAnsi="Times New Roman"/>
                <w:noProof/>
                <w:color w:val="006100"/>
                <w:sz w:val="20"/>
              </w:rPr>
              <w:t xml:space="preserve">ранното откриване на рак чрез скринингови дейности; </w:t>
            </w:r>
          </w:p>
          <w:p w14:paraId="43ABDB12" w14:textId="77777777" w:rsidR="00895175" w:rsidRPr="0051384F" w:rsidRDefault="00895175" w:rsidP="0051384F">
            <w:pPr>
              <w:pStyle w:val="ListParagraph"/>
              <w:numPr>
                <w:ilvl w:val="0"/>
                <w:numId w:val="61"/>
              </w:numPr>
              <w:spacing w:after="0"/>
              <w:ind w:left="360"/>
              <w:jc w:val="both"/>
              <w:rPr>
                <w:rFonts w:ascii="Times New Roman" w:hAnsi="Times New Roman" w:cs="Times New Roman"/>
                <w:noProof/>
                <w:color w:val="006100"/>
                <w:sz w:val="20"/>
                <w:szCs w:val="20"/>
              </w:rPr>
            </w:pPr>
            <w:r>
              <w:rPr>
                <w:rFonts w:ascii="Times New Roman" w:hAnsi="Times New Roman"/>
                <w:noProof/>
                <w:color w:val="006100"/>
                <w:sz w:val="20"/>
              </w:rPr>
              <w:t xml:space="preserve">наличието и точността на диагностиката на рак; </w:t>
            </w:r>
          </w:p>
          <w:p w14:paraId="33001C81" w14:textId="77777777" w:rsidR="00895175" w:rsidRPr="0051384F" w:rsidRDefault="00895175" w:rsidP="0051384F">
            <w:pPr>
              <w:pStyle w:val="ListParagraph"/>
              <w:numPr>
                <w:ilvl w:val="0"/>
                <w:numId w:val="61"/>
              </w:numPr>
              <w:spacing w:after="0"/>
              <w:ind w:left="360"/>
              <w:jc w:val="both"/>
              <w:rPr>
                <w:rFonts w:ascii="Times New Roman" w:hAnsi="Times New Roman" w:cs="Times New Roman"/>
                <w:noProof/>
                <w:color w:val="006100"/>
                <w:sz w:val="20"/>
                <w:szCs w:val="20"/>
              </w:rPr>
            </w:pPr>
            <w:r>
              <w:rPr>
                <w:rFonts w:ascii="Times New Roman" w:hAnsi="Times New Roman"/>
                <w:noProof/>
                <w:color w:val="006100"/>
                <w:sz w:val="20"/>
              </w:rPr>
              <w:t>достъпа и ефективност на леченията;</w:t>
            </w:r>
          </w:p>
          <w:p w14:paraId="265247F9" w14:textId="77777777" w:rsidR="00895175" w:rsidRPr="0051384F" w:rsidRDefault="00895175" w:rsidP="0051384F">
            <w:pPr>
              <w:pStyle w:val="ListParagraph"/>
              <w:numPr>
                <w:ilvl w:val="0"/>
                <w:numId w:val="61"/>
              </w:numPr>
              <w:spacing w:after="0"/>
              <w:ind w:left="360"/>
              <w:jc w:val="both"/>
              <w:rPr>
                <w:rFonts w:ascii="Times New Roman" w:hAnsi="Times New Roman" w:cs="Times New Roman"/>
                <w:noProof/>
                <w:color w:val="006100"/>
                <w:sz w:val="20"/>
                <w:szCs w:val="20"/>
              </w:rPr>
            </w:pPr>
            <w:r>
              <w:rPr>
                <w:rFonts w:ascii="Times New Roman" w:hAnsi="Times New Roman"/>
                <w:noProof/>
                <w:color w:val="006100"/>
                <w:sz w:val="20"/>
              </w:rPr>
              <w:t>благосъстоянието на раковите пациенти и на преживелите рак лица.</w:t>
            </w:r>
          </w:p>
        </w:tc>
      </w:tr>
      <w:tr w:rsidR="00895175" w:rsidRPr="005241FC" w14:paraId="60E6CE04" w14:textId="77777777" w:rsidTr="0DF4F0A1">
        <w:trPr>
          <w:trHeight w:val="309"/>
          <w:jc w:val="center"/>
        </w:trPr>
        <w:tc>
          <w:tcPr>
            <w:tcW w:w="595" w:type="dxa"/>
            <w:tcBorders>
              <w:top w:val="nil"/>
              <w:left w:val="single" w:sz="4" w:space="0" w:color="auto"/>
              <w:bottom w:val="single" w:sz="4" w:space="0" w:color="auto"/>
              <w:right w:val="single" w:sz="4" w:space="0" w:color="auto"/>
            </w:tcBorders>
            <w:shd w:val="clear" w:color="auto" w:fill="C6EFCE"/>
            <w:noWrap/>
          </w:tcPr>
          <w:p w14:paraId="38FD3F89" w14:textId="750B73B5" w:rsidR="00895175" w:rsidRPr="0051384F" w:rsidRDefault="00992016" w:rsidP="0066695B">
            <w:pPr>
              <w:spacing w:after="0"/>
              <w:jc w:val="center"/>
              <w:rPr>
                <w:rFonts w:ascii="Times New Roman" w:eastAsia="Times New Roman" w:hAnsi="Times New Roman" w:cs="Times New Roman"/>
                <w:noProof/>
                <w:sz w:val="20"/>
                <w:szCs w:val="20"/>
              </w:rPr>
            </w:pPr>
            <w:r>
              <w:rPr>
                <w:rFonts w:ascii="Times New Roman" w:hAnsi="Times New Roman"/>
                <w:noProof/>
                <w:color w:val="006100"/>
                <w:sz w:val="20"/>
              </w:rPr>
              <w:t>320</w:t>
            </w:r>
          </w:p>
        </w:tc>
        <w:tc>
          <w:tcPr>
            <w:tcW w:w="1701" w:type="dxa"/>
            <w:tcBorders>
              <w:top w:val="nil"/>
              <w:left w:val="nil"/>
              <w:bottom w:val="single" w:sz="4" w:space="0" w:color="auto"/>
              <w:right w:val="single" w:sz="4" w:space="0" w:color="auto"/>
            </w:tcBorders>
            <w:shd w:val="clear" w:color="auto" w:fill="C6EFCE"/>
            <w:noWrap/>
          </w:tcPr>
          <w:p w14:paraId="667B4E6C" w14:textId="77777777" w:rsidR="00895175" w:rsidRPr="0051384F" w:rsidRDefault="00895175" w:rsidP="003B02A1">
            <w:pPr>
              <w:spacing w:after="0"/>
              <w:rPr>
                <w:rFonts w:ascii="Times New Roman" w:hAnsi="Times New Roman" w:cs="Times New Roman"/>
                <w:noProof/>
                <w:color w:val="006100"/>
                <w:sz w:val="20"/>
                <w:szCs w:val="20"/>
              </w:rPr>
            </w:pPr>
            <w:r>
              <w:rPr>
                <w:rFonts w:ascii="Times New Roman" w:hAnsi="Times New Roman"/>
                <w:noProof/>
                <w:color w:val="006100"/>
                <w:sz w:val="20"/>
              </w:rPr>
              <w:t>C12.R1:</w:t>
            </w:r>
          </w:p>
          <w:p w14:paraId="237C7567" w14:textId="77777777" w:rsidR="00895175" w:rsidRPr="0051384F" w:rsidRDefault="00895175" w:rsidP="003B02A1">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Актуалзиране на стратегическата рамка на сектора на здравеопазването</w:t>
            </w:r>
          </w:p>
        </w:tc>
        <w:tc>
          <w:tcPr>
            <w:tcW w:w="993" w:type="dxa"/>
            <w:tcBorders>
              <w:top w:val="nil"/>
              <w:left w:val="nil"/>
              <w:bottom w:val="single" w:sz="4" w:space="0" w:color="auto"/>
              <w:right w:val="single" w:sz="4" w:space="0" w:color="auto"/>
            </w:tcBorders>
            <w:shd w:val="clear" w:color="auto" w:fill="C6EFCE"/>
            <w:noWrap/>
          </w:tcPr>
          <w:p w14:paraId="78B0C708" w14:textId="77777777" w:rsidR="00895175" w:rsidRPr="0051384F" w:rsidRDefault="00895175" w:rsidP="0066695B">
            <w:pPr>
              <w:spacing w:after="0"/>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901" w:type="dxa"/>
            <w:tcBorders>
              <w:top w:val="nil"/>
              <w:left w:val="nil"/>
              <w:bottom w:val="single" w:sz="4" w:space="0" w:color="auto"/>
              <w:right w:val="single" w:sz="4" w:space="0" w:color="auto"/>
            </w:tcBorders>
            <w:shd w:val="clear" w:color="auto" w:fill="C6EFCE"/>
            <w:noWrap/>
          </w:tcPr>
          <w:p w14:paraId="30D07D36" w14:textId="77777777" w:rsidR="00895175" w:rsidRPr="0051384F" w:rsidRDefault="00895175" w:rsidP="0066695B">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Национална стратегия за гериатрична грижа и остаряване в добро здраве в Република България 2021—2030 г. и план за действие за изпълнение на стратегията</w:t>
            </w:r>
          </w:p>
        </w:tc>
        <w:tc>
          <w:tcPr>
            <w:tcW w:w="1473" w:type="dxa"/>
            <w:tcBorders>
              <w:top w:val="nil"/>
              <w:left w:val="nil"/>
              <w:bottom w:val="single" w:sz="4" w:space="0" w:color="auto"/>
              <w:right w:val="single" w:sz="4" w:space="0" w:color="auto"/>
            </w:tcBorders>
            <w:shd w:val="clear" w:color="auto" w:fill="C6EFCE"/>
            <w:noWrap/>
          </w:tcPr>
          <w:p w14:paraId="49604B78" w14:textId="0F000944" w:rsidR="00895175" w:rsidRPr="0051384F" w:rsidRDefault="00895175" w:rsidP="0066695B">
            <w:pPr>
              <w:spacing w:after="0"/>
              <w:jc w:val="center"/>
              <w:rPr>
                <w:rFonts w:ascii="Times New Roman" w:hAnsi="Times New Roman" w:cs="Times New Roman"/>
                <w:noProof/>
                <w:color w:val="006100"/>
                <w:sz w:val="20"/>
                <w:szCs w:val="20"/>
              </w:rPr>
            </w:pPr>
            <w:r>
              <w:rPr>
                <w:rFonts w:ascii="Times New Roman" w:hAnsi="Times New Roman"/>
                <w:noProof/>
                <w:color w:val="006100"/>
                <w:sz w:val="20"/>
              </w:rPr>
              <w:t xml:space="preserve">Приемане на стратегията и плана за действие от Министерския съвет </w:t>
            </w:r>
          </w:p>
        </w:tc>
        <w:tc>
          <w:tcPr>
            <w:tcW w:w="937" w:type="dxa"/>
            <w:tcBorders>
              <w:top w:val="nil"/>
              <w:left w:val="nil"/>
              <w:bottom w:val="single" w:sz="4" w:space="0" w:color="auto"/>
              <w:right w:val="single" w:sz="4" w:space="0" w:color="auto"/>
            </w:tcBorders>
            <w:shd w:val="clear" w:color="auto" w:fill="C6EFCE"/>
            <w:noWrap/>
          </w:tcPr>
          <w:p w14:paraId="0E3C260B" w14:textId="77777777" w:rsidR="00895175" w:rsidRPr="0051384F" w:rsidRDefault="00895175" w:rsidP="0066695B">
            <w:pPr>
              <w:spacing w:after="0"/>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850" w:type="dxa"/>
            <w:tcBorders>
              <w:top w:val="nil"/>
              <w:left w:val="nil"/>
              <w:bottom w:val="single" w:sz="4" w:space="0" w:color="auto"/>
              <w:right w:val="single" w:sz="4" w:space="0" w:color="auto"/>
            </w:tcBorders>
            <w:shd w:val="clear" w:color="auto" w:fill="C6EFCE"/>
            <w:noWrap/>
          </w:tcPr>
          <w:p w14:paraId="348C399B" w14:textId="77777777" w:rsidR="00895175" w:rsidRPr="0051384F" w:rsidRDefault="00895175" w:rsidP="0066695B">
            <w:pPr>
              <w:spacing w:after="0"/>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709" w:type="dxa"/>
            <w:tcBorders>
              <w:top w:val="nil"/>
              <w:left w:val="nil"/>
              <w:bottom w:val="single" w:sz="4" w:space="0" w:color="auto"/>
              <w:right w:val="single" w:sz="4" w:space="0" w:color="auto"/>
            </w:tcBorders>
            <w:shd w:val="clear" w:color="auto" w:fill="C6EFCE"/>
            <w:noWrap/>
          </w:tcPr>
          <w:p w14:paraId="028ABF56" w14:textId="77777777" w:rsidR="00895175" w:rsidRPr="0051384F" w:rsidRDefault="00895175" w:rsidP="0066695B">
            <w:pPr>
              <w:spacing w:after="0"/>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850" w:type="dxa"/>
            <w:tcBorders>
              <w:top w:val="nil"/>
              <w:left w:val="nil"/>
              <w:bottom w:val="single" w:sz="4" w:space="0" w:color="auto"/>
              <w:right w:val="single" w:sz="4" w:space="0" w:color="auto"/>
            </w:tcBorders>
            <w:shd w:val="clear" w:color="auto" w:fill="C6EFCE"/>
            <w:noWrap/>
          </w:tcPr>
          <w:p w14:paraId="1FDAF96C" w14:textId="1F91DBAC" w:rsidR="00895175" w:rsidRPr="0051384F" w:rsidRDefault="00FE468F" w:rsidP="0066695B">
            <w:pPr>
              <w:spacing w:after="0"/>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T1</w:t>
            </w:r>
          </w:p>
        </w:tc>
        <w:tc>
          <w:tcPr>
            <w:tcW w:w="851" w:type="dxa"/>
            <w:tcBorders>
              <w:top w:val="nil"/>
              <w:left w:val="nil"/>
              <w:bottom w:val="single" w:sz="4" w:space="0" w:color="auto"/>
              <w:right w:val="single" w:sz="4" w:space="0" w:color="auto"/>
            </w:tcBorders>
            <w:shd w:val="clear" w:color="auto" w:fill="C6EFCE"/>
            <w:noWrap/>
          </w:tcPr>
          <w:p w14:paraId="2E9F5A09" w14:textId="39A50909" w:rsidR="00895175" w:rsidRPr="0051384F" w:rsidRDefault="00FE468F" w:rsidP="0066695B">
            <w:pPr>
              <w:spacing w:after="0"/>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2023</w:t>
            </w:r>
          </w:p>
        </w:tc>
        <w:tc>
          <w:tcPr>
            <w:tcW w:w="4450" w:type="dxa"/>
            <w:tcBorders>
              <w:top w:val="nil"/>
              <w:left w:val="nil"/>
              <w:bottom w:val="single" w:sz="4" w:space="0" w:color="auto"/>
              <w:right w:val="single" w:sz="4" w:space="0" w:color="auto"/>
            </w:tcBorders>
            <w:shd w:val="clear" w:color="auto" w:fill="C6EFCE"/>
            <w:noWrap/>
          </w:tcPr>
          <w:p w14:paraId="324DE5C9" w14:textId="77777777" w:rsidR="00895175" w:rsidRPr="0051384F" w:rsidRDefault="00895175" w:rsidP="0066695B">
            <w:pPr>
              <w:spacing w:after="0" w:line="240" w:lineRule="auto"/>
              <w:jc w:val="both"/>
              <w:rPr>
                <w:rFonts w:ascii="Times New Roman" w:hAnsi="Times New Roman" w:cs="Times New Roman"/>
                <w:noProof/>
                <w:color w:val="006100"/>
                <w:sz w:val="20"/>
                <w:szCs w:val="20"/>
              </w:rPr>
            </w:pPr>
            <w:r>
              <w:rPr>
                <w:rFonts w:ascii="Times New Roman" w:hAnsi="Times New Roman"/>
                <w:noProof/>
                <w:color w:val="006100"/>
                <w:sz w:val="20"/>
              </w:rPr>
              <w:t>В Националната стратегия за гериатрична грижа и остаряване в добро здраве в Република България 2021—2030 г. се определят стратегическите цели и приоритети за 10-годишен период и се дават препоръки относно:</w:t>
            </w:r>
          </w:p>
          <w:p w14:paraId="717513AD" w14:textId="3EFF2235" w:rsidR="00895175" w:rsidRPr="0051384F" w:rsidRDefault="00895175" w:rsidP="0051384F">
            <w:pPr>
              <w:pStyle w:val="ListParagraph"/>
              <w:numPr>
                <w:ilvl w:val="0"/>
                <w:numId w:val="11"/>
              </w:numPr>
              <w:spacing w:after="0" w:line="240" w:lineRule="auto"/>
              <w:ind w:left="360"/>
              <w:jc w:val="both"/>
              <w:rPr>
                <w:rFonts w:ascii="Times New Roman" w:hAnsi="Times New Roman" w:cs="Times New Roman"/>
                <w:noProof/>
                <w:color w:val="006100"/>
                <w:sz w:val="20"/>
                <w:szCs w:val="20"/>
              </w:rPr>
            </w:pPr>
            <w:r>
              <w:rPr>
                <w:rFonts w:ascii="Times New Roman" w:hAnsi="Times New Roman"/>
                <w:noProof/>
                <w:color w:val="006100"/>
                <w:sz w:val="20"/>
              </w:rPr>
              <w:t xml:space="preserve">достъпа до здравни и социални услуги за стари хора; </w:t>
            </w:r>
          </w:p>
          <w:p w14:paraId="3380D4E0" w14:textId="5CD03222" w:rsidR="00895175" w:rsidRPr="0051384F" w:rsidRDefault="00895175" w:rsidP="0051384F">
            <w:pPr>
              <w:pStyle w:val="ListParagraph"/>
              <w:numPr>
                <w:ilvl w:val="0"/>
                <w:numId w:val="11"/>
              </w:numPr>
              <w:spacing w:before="120" w:after="0" w:line="240" w:lineRule="auto"/>
              <w:ind w:left="360"/>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социалното приобщаване и интеграция на старите хора;</w:t>
            </w:r>
          </w:p>
          <w:p w14:paraId="7073671E" w14:textId="3A201BE4" w:rsidR="00895175" w:rsidRPr="0051384F" w:rsidRDefault="00895175" w:rsidP="0051384F">
            <w:pPr>
              <w:pStyle w:val="ListParagraph"/>
              <w:numPr>
                <w:ilvl w:val="0"/>
                <w:numId w:val="11"/>
              </w:numPr>
              <w:spacing w:before="120" w:after="0" w:line="240" w:lineRule="auto"/>
              <w:ind w:left="360"/>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дейностите за насърчаване на остаряването в добро здраве и независимия живот на старите хора, включително предлагането целева помощ и консултации.</w:t>
            </w:r>
          </w:p>
          <w:p w14:paraId="1647F09F" w14:textId="77777777" w:rsidR="00895175" w:rsidRPr="0051384F" w:rsidRDefault="00895175" w:rsidP="0066695B">
            <w:pPr>
              <w:spacing w:before="120"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В плана за действие се формулират мерки и действия, включително графика за изпълнението на препоръките от стратегията.</w:t>
            </w:r>
          </w:p>
        </w:tc>
      </w:tr>
      <w:tr w:rsidR="00895175" w:rsidRPr="005241FC" w14:paraId="003494FF" w14:textId="77777777" w:rsidTr="0DF4F0A1">
        <w:trPr>
          <w:trHeight w:val="309"/>
          <w:jc w:val="center"/>
        </w:trPr>
        <w:tc>
          <w:tcPr>
            <w:tcW w:w="595" w:type="dxa"/>
            <w:tcBorders>
              <w:top w:val="nil"/>
              <w:left w:val="single" w:sz="4" w:space="0" w:color="auto"/>
              <w:bottom w:val="single" w:sz="4" w:space="0" w:color="auto"/>
              <w:right w:val="single" w:sz="4" w:space="0" w:color="auto"/>
            </w:tcBorders>
            <w:shd w:val="clear" w:color="auto" w:fill="C6EFCE"/>
            <w:noWrap/>
          </w:tcPr>
          <w:p w14:paraId="117A4985" w14:textId="1E4B8B6E" w:rsidR="00895175" w:rsidRPr="0051384F" w:rsidRDefault="00401D06" w:rsidP="00992016">
            <w:pPr>
              <w:spacing w:after="0"/>
              <w:jc w:val="center"/>
              <w:rPr>
                <w:rFonts w:ascii="Times New Roman" w:eastAsia="Times New Roman" w:hAnsi="Times New Roman" w:cs="Times New Roman"/>
                <w:noProof/>
                <w:sz w:val="20"/>
                <w:szCs w:val="20"/>
              </w:rPr>
            </w:pPr>
            <w:r>
              <w:rPr>
                <w:rFonts w:ascii="Times New Roman" w:hAnsi="Times New Roman"/>
                <w:noProof/>
                <w:color w:val="006100"/>
                <w:sz w:val="20"/>
              </w:rPr>
              <w:t>321</w:t>
            </w:r>
          </w:p>
        </w:tc>
        <w:tc>
          <w:tcPr>
            <w:tcW w:w="1701" w:type="dxa"/>
            <w:tcBorders>
              <w:top w:val="nil"/>
              <w:left w:val="nil"/>
              <w:bottom w:val="single" w:sz="4" w:space="0" w:color="auto"/>
              <w:right w:val="single" w:sz="4" w:space="0" w:color="auto"/>
            </w:tcBorders>
            <w:shd w:val="clear" w:color="auto" w:fill="C6EFCE"/>
            <w:noWrap/>
          </w:tcPr>
          <w:p w14:paraId="1B633388" w14:textId="77777777" w:rsidR="00895175" w:rsidRPr="0051384F" w:rsidRDefault="00895175" w:rsidP="003B02A1">
            <w:pPr>
              <w:spacing w:after="0"/>
              <w:rPr>
                <w:rFonts w:ascii="Times New Roman" w:hAnsi="Times New Roman" w:cs="Times New Roman"/>
                <w:noProof/>
                <w:color w:val="006100"/>
                <w:sz w:val="20"/>
                <w:szCs w:val="20"/>
              </w:rPr>
            </w:pPr>
            <w:r>
              <w:rPr>
                <w:rFonts w:ascii="Times New Roman" w:hAnsi="Times New Roman"/>
                <w:noProof/>
                <w:color w:val="006100"/>
                <w:sz w:val="20"/>
              </w:rPr>
              <w:t>C12.R2:</w:t>
            </w:r>
          </w:p>
          <w:p w14:paraId="47BCB56F" w14:textId="77777777" w:rsidR="00895175" w:rsidRPr="0051384F" w:rsidRDefault="00895175" w:rsidP="003B02A1">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Развитие на електронното здравеопазване и на Националната здравно информационна система</w:t>
            </w:r>
          </w:p>
        </w:tc>
        <w:tc>
          <w:tcPr>
            <w:tcW w:w="993" w:type="dxa"/>
            <w:tcBorders>
              <w:top w:val="nil"/>
              <w:left w:val="nil"/>
              <w:bottom w:val="single" w:sz="4" w:space="0" w:color="auto"/>
              <w:right w:val="single" w:sz="4" w:space="0" w:color="auto"/>
            </w:tcBorders>
            <w:shd w:val="clear" w:color="auto" w:fill="C6EFCE"/>
            <w:noWrap/>
          </w:tcPr>
          <w:p w14:paraId="2D8932AD" w14:textId="77777777" w:rsidR="00895175" w:rsidRPr="0051384F" w:rsidRDefault="00895175" w:rsidP="0066695B">
            <w:pPr>
              <w:spacing w:after="0"/>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901" w:type="dxa"/>
            <w:tcBorders>
              <w:top w:val="nil"/>
              <w:left w:val="nil"/>
              <w:bottom w:val="single" w:sz="4" w:space="0" w:color="auto"/>
              <w:right w:val="single" w:sz="4" w:space="0" w:color="auto"/>
            </w:tcBorders>
            <w:shd w:val="clear" w:color="auto" w:fill="C6EFCE"/>
            <w:noWrap/>
          </w:tcPr>
          <w:p w14:paraId="0369D80A" w14:textId="77777777" w:rsidR="00895175" w:rsidRPr="0051384F" w:rsidRDefault="00895175" w:rsidP="0066695B">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Влизане в сила на измененията на регулаторната рамка за електронно здравеопазване</w:t>
            </w:r>
          </w:p>
        </w:tc>
        <w:tc>
          <w:tcPr>
            <w:tcW w:w="1473" w:type="dxa"/>
            <w:tcBorders>
              <w:top w:val="nil"/>
              <w:left w:val="nil"/>
              <w:bottom w:val="single" w:sz="4" w:space="0" w:color="auto"/>
              <w:right w:val="single" w:sz="4" w:space="0" w:color="auto"/>
            </w:tcBorders>
            <w:shd w:val="clear" w:color="auto" w:fill="C6EFCE"/>
            <w:noWrap/>
          </w:tcPr>
          <w:p w14:paraId="0E91AC29" w14:textId="77777777" w:rsidR="00895175" w:rsidRPr="0051384F" w:rsidRDefault="00895175" w:rsidP="0066695B">
            <w:pPr>
              <w:spacing w:after="0"/>
              <w:jc w:val="center"/>
              <w:rPr>
                <w:rFonts w:ascii="Times New Roman" w:hAnsi="Times New Roman" w:cs="Times New Roman"/>
                <w:noProof/>
                <w:color w:val="006100"/>
                <w:sz w:val="20"/>
                <w:szCs w:val="20"/>
              </w:rPr>
            </w:pPr>
            <w:r>
              <w:rPr>
                <w:rFonts w:ascii="Times New Roman" w:hAnsi="Times New Roman"/>
                <w:noProof/>
                <w:color w:val="006100"/>
                <w:sz w:val="20"/>
              </w:rPr>
              <w:t xml:space="preserve">Разпоредба в закона, указваща влизането в сила на измененията на регулаторната рамка за електронно здравеопазване </w:t>
            </w:r>
          </w:p>
        </w:tc>
        <w:tc>
          <w:tcPr>
            <w:tcW w:w="937" w:type="dxa"/>
            <w:tcBorders>
              <w:top w:val="nil"/>
              <w:left w:val="nil"/>
              <w:bottom w:val="single" w:sz="4" w:space="0" w:color="auto"/>
              <w:right w:val="single" w:sz="4" w:space="0" w:color="auto"/>
            </w:tcBorders>
            <w:shd w:val="clear" w:color="auto" w:fill="C6EFCE"/>
            <w:noWrap/>
          </w:tcPr>
          <w:p w14:paraId="05866109" w14:textId="77777777" w:rsidR="00895175" w:rsidRPr="0051384F" w:rsidRDefault="00895175" w:rsidP="0066695B">
            <w:pPr>
              <w:spacing w:after="0"/>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850" w:type="dxa"/>
            <w:tcBorders>
              <w:top w:val="nil"/>
              <w:left w:val="nil"/>
              <w:bottom w:val="single" w:sz="4" w:space="0" w:color="auto"/>
              <w:right w:val="single" w:sz="4" w:space="0" w:color="auto"/>
            </w:tcBorders>
            <w:shd w:val="clear" w:color="auto" w:fill="C6EFCE"/>
            <w:noWrap/>
          </w:tcPr>
          <w:p w14:paraId="0F455C55" w14:textId="77777777" w:rsidR="00895175" w:rsidRPr="0051384F" w:rsidRDefault="00895175" w:rsidP="0066695B">
            <w:pPr>
              <w:spacing w:after="0"/>
              <w:jc w:val="center"/>
              <w:rPr>
                <w:rFonts w:ascii="Times New Roman" w:eastAsia="Calibri" w:hAnsi="Times New Roman" w:cs="Times New Roman"/>
                <w:noProof/>
                <w:color w:val="006100"/>
                <w:sz w:val="20"/>
                <w:szCs w:val="20"/>
              </w:rPr>
            </w:pPr>
            <w:r>
              <w:rPr>
                <w:rFonts w:ascii="Times New Roman" w:hAnsi="Times New Roman"/>
                <w:noProof/>
                <w:color w:val="006100"/>
                <w:sz w:val="20"/>
              </w:rPr>
              <w:t> </w:t>
            </w:r>
          </w:p>
        </w:tc>
        <w:tc>
          <w:tcPr>
            <w:tcW w:w="709" w:type="dxa"/>
            <w:tcBorders>
              <w:top w:val="nil"/>
              <w:left w:val="nil"/>
              <w:bottom w:val="single" w:sz="4" w:space="0" w:color="auto"/>
              <w:right w:val="single" w:sz="4" w:space="0" w:color="auto"/>
            </w:tcBorders>
            <w:shd w:val="clear" w:color="auto" w:fill="C6EFCE"/>
            <w:noWrap/>
          </w:tcPr>
          <w:p w14:paraId="72F3D5FC" w14:textId="77777777" w:rsidR="00895175" w:rsidRPr="0051384F" w:rsidRDefault="00895175" w:rsidP="0066695B">
            <w:pPr>
              <w:spacing w:after="0"/>
              <w:jc w:val="center"/>
              <w:rPr>
                <w:rFonts w:ascii="Times New Roman" w:eastAsia="Calibri" w:hAnsi="Times New Roman" w:cs="Times New Roman"/>
                <w:noProof/>
                <w:color w:val="006100"/>
                <w:sz w:val="20"/>
                <w:szCs w:val="20"/>
              </w:rPr>
            </w:pPr>
            <w:r>
              <w:rPr>
                <w:rFonts w:ascii="Times New Roman" w:hAnsi="Times New Roman"/>
                <w:noProof/>
                <w:color w:val="006100"/>
                <w:sz w:val="20"/>
              </w:rPr>
              <w:t> </w:t>
            </w:r>
          </w:p>
        </w:tc>
        <w:tc>
          <w:tcPr>
            <w:tcW w:w="850" w:type="dxa"/>
            <w:tcBorders>
              <w:top w:val="nil"/>
              <w:left w:val="nil"/>
              <w:bottom w:val="single" w:sz="4" w:space="0" w:color="auto"/>
              <w:right w:val="single" w:sz="4" w:space="0" w:color="auto"/>
            </w:tcBorders>
            <w:shd w:val="clear" w:color="auto" w:fill="C6EFCE"/>
            <w:noWrap/>
          </w:tcPr>
          <w:p w14:paraId="0F650BBA" w14:textId="77777777" w:rsidR="00895175" w:rsidRPr="0051384F" w:rsidRDefault="00895175" w:rsidP="0066695B">
            <w:pPr>
              <w:spacing w:after="0"/>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T4</w:t>
            </w:r>
          </w:p>
        </w:tc>
        <w:tc>
          <w:tcPr>
            <w:tcW w:w="851" w:type="dxa"/>
            <w:tcBorders>
              <w:top w:val="nil"/>
              <w:left w:val="nil"/>
              <w:bottom w:val="single" w:sz="4" w:space="0" w:color="auto"/>
              <w:right w:val="single" w:sz="4" w:space="0" w:color="auto"/>
            </w:tcBorders>
            <w:shd w:val="clear" w:color="auto" w:fill="C6EFCE"/>
            <w:noWrap/>
          </w:tcPr>
          <w:p w14:paraId="327F96B1" w14:textId="77777777" w:rsidR="00895175" w:rsidRPr="0051384F" w:rsidRDefault="00895175" w:rsidP="0066695B">
            <w:pPr>
              <w:spacing w:after="0"/>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2022</w:t>
            </w:r>
          </w:p>
        </w:tc>
        <w:tc>
          <w:tcPr>
            <w:tcW w:w="4450" w:type="dxa"/>
            <w:tcBorders>
              <w:top w:val="nil"/>
              <w:left w:val="nil"/>
              <w:bottom w:val="single" w:sz="4" w:space="0" w:color="auto"/>
              <w:right w:val="single" w:sz="4" w:space="0" w:color="auto"/>
            </w:tcBorders>
            <w:shd w:val="clear" w:color="auto" w:fill="C6EFCE"/>
            <w:noWrap/>
          </w:tcPr>
          <w:p w14:paraId="63C4E003" w14:textId="77777777" w:rsidR="00895175" w:rsidRPr="0051384F" w:rsidRDefault="00895175" w:rsidP="0066695B">
            <w:pPr>
              <w:spacing w:after="0" w:line="240" w:lineRule="auto"/>
              <w:jc w:val="both"/>
              <w:rPr>
                <w:rFonts w:ascii="Times New Roman" w:hAnsi="Times New Roman" w:cs="Times New Roman"/>
                <w:noProof/>
                <w:color w:val="006100"/>
                <w:sz w:val="20"/>
                <w:szCs w:val="20"/>
              </w:rPr>
            </w:pPr>
            <w:r>
              <w:rPr>
                <w:rFonts w:ascii="Times New Roman" w:hAnsi="Times New Roman"/>
                <w:noProof/>
                <w:color w:val="006100"/>
                <w:sz w:val="20"/>
              </w:rPr>
              <w:t>С измененията на регулаторната рамка за електронно здравеопазване се развива допълнително достъпът до услуги за електронно здравеопазване чрез въвеждане на правното основание за:</w:t>
            </w:r>
          </w:p>
          <w:p w14:paraId="12D2B985" w14:textId="77777777" w:rsidR="00895175" w:rsidRPr="0051384F" w:rsidRDefault="00895175" w:rsidP="0051384F">
            <w:pPr>
              <w:pStyle w:val="ListParagraph"/>
              <w:numPr>
                <w:ilvl w:val="0"/>
                <w:numId w:val="11"/>
              </w:numPr>
              <w:spacing w:after="0" w:line="240" w:lineRule="auto"/>
              <w:ind w:left="360"/>
              <w:jc w:val="both"/>
              <w:rPr>
                <w:rFonts w:ascii="Times New Roman" w:hAnsi="Times New Roman" w:cs="Times New Roman"/>
                <w:noProof/>
                <w:color w:val="006100"/>
                <w:sz w:val="20"/>
                <w:szCs w:val="20"/>
              </w:rPr>
            </w:pPr>
            <w:r>
              <w:rPr>
                <w:rFonts w:ascii="Times New Roman" w:hAnsi="Times New Roman"/>
                <w:noProof/>
                <w:color w:val="006100"/>
                <w:sz w:val="20"/>
              </w:rPr>
              <w:t>издаване на рецепти онлайн и отпускане на лекарствени продукти;</w:t>
            </w:r>
          </w:p>
          <w:p w14:paraId="3923E268" w14:textId="77777777" w:rsidR="00895175" w:rsidRPr="0051384F" w:rsidRDefault="00895175" w:rsidP="0051384F">
            <w:pPr>
              <w:pStyle w:val="ListParagraph"/>
              <w:numPr>
                <w:ilvl w:val="0"/>
                <w:numId w:val="11"/>
              </w:numPr>
              <w:spacing w:after="0" w:line="240" w:lineRule="auto"/>
              <w:ind w:left="360"/>
              <w:jc w:val="both"/>
              <w:rPr>
                <w:rFonts w:ascii="Times New Roman" w:hAnsi="Times New Roman" w:cs="Times New Roman"/>
                <w:noProof/>
                <w:color w:val="006100"/>
                <w:sz w:val="20"/>
                <w:szCs w:val="20"/>
              </w:rPr>
            </w:pPr>
            <w:r>
              <w:rPr>
                <w:rFonts w:ascii="Times New Roman" w:hAnsi="Times New Roman"/>
                <w:noProof/>
                <w:color w:val="006100"/>
                <w:sz w:val="20"/>
              </w:rPr>
              <w:t xml:space="preserve">телемедицина, включително теледиагностика и телемониторинг; </w:t>
            </w:r>
          </w:p>
          <w:p w14:paraId="30B18760" w14:textId="77777777" w:rsidR="00895175" w:rsidRPr="0051384F" w:rsidRDefault="00895175" w:rsidP="0051384F">
            <w:pPr>
              <w:pStyle w:val="ListParagraph"/>
              <w:numPr>
                <w:ilvl w:val="0"/>
                <w:numId w:val="11"/>
              </w:numPr>
              <w:spacing w:before="120" w:after="0" w:line="240" w:lineRule="auto"/>
              <w:ind w:left="360"/>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регистрирането на медицинска информация посредством електронни здравни досиета и тяхното поддържане. </w:t>
            </w:r>
          </w:p>
          <w:p w14:paraId="25A32E51" w14:textId="77777777" w:rsidR="00895175" w:rsidRPr="0051384F" w:rsidRDefault="00895175" w:rsidP="0066695B">
            <w:pPr>
              <w:spacing w:before="120" w:after="0" w:line="240" w:lineRule="auto"/>
              <w:jc w:val="both"/>
              <w:rPr>
                <w:rFonts w:ascii="Times New Roman" w:eastAsia="Times New Roman" w:hAnsi="Times New Roman" w:cs="Times New Roman"/>
                <w:noProof/>
                <w:color w:val="006100"/>
                <w:sz w:val="20"/>
                <w:szCs w:val="20"/>
              </w:rPr>
            </w:pPr>
            <w:r>
              <w:rPr>
                <w:rFonts w:ascii="Times New Roman" w:hAnsi="Times New Roman"/>
                <w:noProof/>
                <w:color w:val="006100"/>
                <w:sz w:val="20"/>
              </w:rPr>
              <w:t>Измененията също така включват организацията на работните процеси на Националната здравно информационна система (НЗИС).</w:t>
            </w:r>
          </w:p>
        </w:tc>
      </w:tr>
      <w:tr w:rsidR="00895175" w:rsidRPr="005241FC" w14:paraId="5E547384" w14:textId="77777777" w:rsidTr="0DF4F0A1">
        <w:trPr>
          <w:trHeight w:val="309"/>
          <w:jc w:val="center"/>
        </w:trPr>
        <w:tc>
          <w:tcPr>
            <w:tcW w:w="595" w:type="dxa"/>
            <w:tcBorders>
              <w:top w:val="nil"/>
              <w:left w:val="single" w:sz="4" w:space="0" w:color="auto"/>
              <w:bottom w:val="single" w:sz="4" w:space="0" w:color="auto"/>
              <w:right w:val="single" w:sz="4" w:space="0" w:color="auto"/>
            </w:tcBorders>
            <w:shd w:val="clear" w:color="auto" w:fill="C6EFCE"/>
            <w:noWrap/>
          </w:tcPr>
          <w:p w14:paraId="7C44BD9F" w14:textId="5BB2330A" w:rsidR="00895175" w:rsidRPr="0051384F" w:rsidRDefault="00992016" w:rsidP="0066695B">
            <w:pPr>
              <w:spacing w:after="0"/>
              <w:jc w:val="center"/>
              <w:rPr>
                <w:rFonts w:ascii="Times New Roman" w:eastAsia="Times New Roman" w:hAnsi="Times New Roman" w:cs="Times New Roman"/>
                <w:noProof/>
                <w:sz w:val="20"/>
                <w:szCs w:val="20"/>
              </w:rPr>
            </w:pPr>
            <w:r>
              <w:rPr>
                <w:rFonts w:ascii="Times New Roman" w:hAnsi="Times New Roman"/>
                <w:noProof/>
                <w:color w:val="006100"/>
                <w:sz w:val="20"/>
              </w:rPr>
              <w:t>322</w:t>
            </w:r>
          </w:p>
        </w:tc>
        <w:tc>
          <w:tcPr>
            <w:tcW w:w="1701" w:type="dxa"/>
            <w:tcBorders>
              <w:top w:val="nil"/>
              <w:left w:val="nil"/>
              <w:bottom w:val="single" w:sz="4" w:space="0" w:color="auto"/>
              <w:right w:val="single" w:sz="4" w:space="0" w:color="auto"/>
            </w:tcBorders>
            <w:shd w:val="clear" w:color="auto" w:fill="C6EFCE"/>
            <w:noWrap/>
          </w:tcPr>
          <w:p w14:paraId="742B656F" w14:textId="77777777" w:rsidR="00895175" w:rsidRPr="0051384F" w:rsidRDefault="00895175" w:rsidP="003B02A1">
            <w:pPr>
              <w:spacing w:after="0"/>
              <w:rPr>
                <w:rFonts w:ascii="Times New Roman" w:hAnsi="Times New Roman" w:cs="Times New Roman"/>
                <w:noProof/>
                <w:color w:val="006100"/>
                <w:sz w:val="20"/>
                <w:szCs w:val="20"/>
              </w:rPr>
            </w:pPr>
            <w:r>
              <w:rPr>
                <w:rFonts w:ascii="Times New Roman" w:hAnsi="Times New Roman"/>
                <w:noProof/>
                <w:color w:val="006100"/>
                <w:sz w:val="20"/>
              </w:rPr>
              <w:t>C12.R2:</w:t>
            </w:r>
          </w:p>
          <w:p w14:paraId="3FDF5879" w14:textId="77777777" w:rsidR="00895175" w:rsidRPr="0051384F" w:rsidRDefault="00895175" w:rsidP="003B02A1">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Развитие на електронното здравеопазване и на Националната здравно информационна система</w:t>
            </w:r>
          </w:p>
        </w:tc>
        <w:tc>
          <w:tcPr>
            <w:tcW w:w="993" w:type="dxa"/>
            <w:tcBorders>
              <w:top w:val="nil"/>
              <w:left w:val="nil"/>
              <w:bottom w:val="single" w:sz="4" w:space="0" w:color="auto"/>
              <w:right w:val="single" w:sz="4" w:space="0" w:color="auto"/>
            </w:tcBorders>
            <w:shd w:val="clear" w:color="auto" w:fill="C6EFCE"/>
            <w:noWrap/>
          </w:tcPr>
          <w:p w14:paraId="7651EB40" w14:textId="77777777" w:rsidR="00895175" w:rsidRPr="0051384F" w:rsidRDefault="00895175" w:rsidP="0066695B">
            <w:pPr>
              <w:spacing w:after="0"/>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901" w:type="dxa"/>
            <w:tcBorders>
              <w:top w:val="nil"/>
              <w:left w:val="nil"/>
              <w:bottom w:val="single" w:sz="4" w:space="0" w:color="auto"/>
              <w:right w:val="single" w:sz="4" w:space="0" w:color="auto"/>
            </w:tcBorders>
            <w:shd w:val="clear" w:color="auto" w:fill="C6EFCE"/>
            <w:noWrap/>
          </w:tcPr>
          <w:p w14:paraId="3FBAF986" w14:textId="77777777" w:rsidR="00895175" w:rsidRPr="0051384F" w:rsidRDefault="00895175" w:rsidP="00B8559B">
            <w:pPr>
              <w:spacing w:after="0"/>
              <w:rPr>
                <w:rFonts w:ascii="Times New Roman" w:hAnsi="Times New Roman" w:cs="Times New Roman"/>
                <w:noProof/>
                <w:color w:val="006100"/>
                <w:sz w:val="20"/>
                <w:szCs w:val="20"/>
              </w:rPr>
            </w:pPr>
            <w:r>
              <w:rPr>
                <w:rFonts w:ascii="Times New Roman" w:hAnsi="Times New Roman"/>
                <w:noProof/>
                <w:color w:val="006100"/>
                <w:sz w:val="20"/>
              </w:rPr>
              <w:t>Актуализиране на Националната здравно информационна система (НЗИС)</w:t>
            </w:r>
          </w:p>
        </w:tc>
        <w:tc>
          <w:tcPr>
            <w:tcW w:w="1473" w:type="dxa"/>
            <w:tcBorders>
              <w:top w:val="nil"/>
              <w:left w:val="nil"/>
              <w:bottom w:val="single" w:sz="4" w:space="0" w:color="auto"/>
              <w:right w:val="single" w:sz="4" w:space="0" w:color="auto"/>
            </w:tcBorders>
            <w:shd w:val="clear" w:color="auto" w:fill="C6EFCE"/>
            <w:noWrap/>
          </w:tcPr>
          <w:p w14:paraId="03036C84" w14:textId="77777777" w:rsidR="00895175" w:rsidRPr="0051384F" w:rsidRDefault="00895175" w:rsidP="00DF56F8">
            <w:pPr>
              <w:spacing w:after="0"/>
              <w:rPr>
                <w:rFonts w:ascii="Times New Roman" w:hAnsi="Times New Roman" w:cs="Times New Roman"/>
                <w:noProof/>
                <w:color w:val="006100"/>
                <w:sz w:val="20"/>
                <w:szCs w:val="20"/>
              </w:rPr>
            </w:pPr>
            <w:r>
              <w:rPr>
                <w:rFonts w:ascii="Times New Roman" w:hAnsi="Times New Roman"/>
                <w:noProof/>
                <w:color w:val="006100"/>
                <w:sz w:val="20"/>
              </w:rPr>
              <w:t>Публикуване на актуализираните и новите модули на уебсайта на НЗИС</w:t>
            </w:r>
          </w:p>
        </w:tc>
        <w:tc>
          <w:tcPr>
            <w:tcW w:w="937" w:type="dxa"/>
            <w:tcBorders>
              <w:top w:val="nil"/>
              <w:left w:val="nil"/>
              <w:bottom w:val="single" w:sz="4" w:space="0" w:color="auto"/>
              <w:right w:val="single" w:sz="4" w:space="0" w:color="auto"/>
            </w:tcBorders>
            <w:shd w:val="clear" w:color="auto" w:fill="C6EFCE"/>
            <w:noWrap/>
          </w:tcPr>
          <w:p w14:paraId="3566A778" w14:textId="77777777" w:rsidR="00895175" w:rsidRPr="008A0F8A" w:rsidRDefault="00895175" w:rsidP="00DF56F8">
            <w:pPr>
              <w:spacing w:after="0"/>
              <w:rPr>
                <w:rFonts w:ascii="Times New Roman" w:eastAsia="Times New Roman" w:hAnsi="Times New Roman" w:cs="Times New Roman"/>
                <w:noProof/>
                <w:color w:val="006100"/>
                <w:sz w:val="20"/>
                <w:szCs w:val="20"/>
                <w:lang w:val="ru-RU" w:eastAsia="en-GB"/>
              </w:rPr>
            </w:pPr>
          </w:p>
        </w:tc>
        <w:tc>
          <w:tcPr>
            <w:tcW w:w="850" w:type="dxa"/>
            <w:tcBorders>
              <w:top w:val="nil"/>
              <w:left w:val="nil"/>
              <w:bottom w:val="single" w:sz="4" w:space="0" w:color="auto"/>
              <w:right w:val="single" w:sz="4" w:space="0" w:color="auto"/>
            </w:tcBorders>
            <w:shd w:val="clear" w:color="auto" w:fill="C6EFCE"/>
            <w:noWrap/>
          </w:tcPr>
          <w:p w14:paraId="3E33842F" w14:textId="77777777" w:rsidR="00895175" w:rsidRPr="008A0F8A" w:rsidRDefault="00895175" w:rsidP="00DF56F8">
            <w:pPr>
              <w:spacing w:after="0"/>
              <w:rPr>
                <w:rFonts w:ascii="Times New Roman" w:eastAsia="Times New Roman" w:hAnsi="Times New Roman" w:cs="Times New Roman"/>
                <w:noProof/>
                <w:color w:val="006100"/>
                <w:sz w:val="20"/>
                <w:szCs w:val="20"/>
                <w:lang w:val="ru-RU" w:eastAsia="en-GB"/>
              </w:rPr>
            </w:pPr>
          </w:p>
        </w:tc>
        <w:tc>
          <w:tcPr>
            <w:tcW w:w="709" w:type="dxa"/>
            <w:tcBorders>
              <w:top w:val="nil"/>
              <w:left w:val="nil"/>
              <w:bottom w:val="single" w:sz="4" w:space="0" w:color="auto"/>
              <w:right w:val="single" w:sz="4" w:space="0" w:color="auto"/>
            </w:tcBorders>
            <w:shd w:val="clear" w:color="auto" w:fill="C6EFCE"/>
            <w:noWrap/>
          </w:tcPr>
          <w:p w14:paraId="5962C488" w14:textId="77777777" w:rsidR="00895175" w:rsidRPr="008A0F8A" w:rsidRDefault="00895175" w:rsidP="00DF56F8">
            <w:pPr>
              <w:spacing w:after="0"/>
              <w:rPr>
                <w:rFonts w:ascii="Times New Roman" w:eastAsia="Times New Roman" w:hAnsi="Times New Roman" w:cs="Times New Roman"/>
                <w:noProof/>
                <w:color w:val="006100"/>
                <w:sz w:val="20"/>
                <w:szCs w:val="20"/>
                <w:lang w:val="ru-RU" w:eastAsia="en-GB"/>
              </w:rPr>
            </w:pPr>
          </w:p>
        </w:tc>
        <w:tc>
          <w:tcPr>
            <w:tcW w:w="850" w:type="dxa"/>
            <w:tcBorders>
              <w:top w:val="nil"/>
              <w:left w:val="nil"/>
              <w:bottom w:val="single" w:sz="4" w:space="0" w:color="auto"/>
              <w:right w:val="single" w:sz="4" w:space="0" w:color="auto"/>
            </w:tcBorders>
            <w:shd w:val="clear" w:color="auto" w:fill="C6EFCE"/>
            <w:noWrap/>
          </w:tcPr>
          <w:p w14:paraId="3D1A7DDB" w14:textId="77777777" w:rsidR="00895175" w:rsidRPr="0051384F" w:rsidRDefault="00895175" w:rsidP="00DF56F8">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T2</w:t>
            </w:r>
          </w:p>
        </w:tc>
        <w:tc>
          <w:tcPr>
            <w:tcW w:w="851" w:type="dxa"/>
            <w:tcBorders>
              <w:top w:val="nil"/>
              <w:left w:val="nil"/>
              <w:bottom w:val="single" w:sz="4" w:space="0" w:color="auto"/>
              <w:right w:val="single" w:sz="4" w:space="0" w:color="auto"/>
            </w:tcBorders>
            <w:shd w:val="clear" w:color="auto" w:fill="C6EFCE"/>
            <w:noWrap/>
          </w:tcPr>
          <w:p w14:paraId="3C5B1C57" w14:textId="77777777" w:rsidR="00895175" w:rsidRPr="0051384F" w:rsidRDefault="00895175" w:rsidP="00DF56F8">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2023</w:t>
            </w:r>
          </w:p>
        </w:tc>
        <w:tc>
          <w:tcPr>
            <w:tcW w:w="4450" w:type="dxa"/>
            <w:tcBorders>
              <w:top w:val="nil"/>
              <w:left w:val="nil"/>
              <w:bottom w:val="single" w:sz="4" w:space="0" w:color="auto"/>
              <w:right w:val="single" w:sz="4" w:space="0" w:color="auto"/>
            </w:tcBorders>
            <w:shd w:val="clear" w:color="auto" w:fill="C6EFCE"/>
            <w:noWrap/>
          </w:tcPr>
          <w:p w14:paraId="0E5B1105" w14:textId="77777777" w:rsidR="00895175" w:rsidRPr="0051384F" w:rsidRDefault="00895175" w:rsidP="00DF56F8">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Актуализирането на Националната здравно информационна система (НЗИС) ще разшири функциите на системата чрез интегриране в НЗИС на редица административни услуги и оперативни регистри, както и допълнителни модули, обхващащи:</w:t>
            </w:r>
          </w:p>
          <w:p w14:paraId="56A8B75E" w14:textId="77777777" w:rsidR="00895175" w:rsidRPr="0051384F" w:rsidRDefault="00895175" w:rsidP="0051384F">
            <w:pPr>
              <w:pStyle w:val="ListParagraph"/>
              <w:numPr>
                <w:ilvl w:val="0"/>
                <w:numId w:val="11"/>
              </w:numPr>
              <w:spacing w:after="0" w:line="240" w:lineRule="auto"/>
              <w:ind w:left="360"/>
              <w:rPr>
                <w:rFonts w:ascii="Times New Roman" w:hAnsi="Times New Roman" w:cs="Times New Roman"/>
                <w:noProof/>
                <w:color w:val="006100"/>
                <w:sz w:val="20"/>
                <w:szCs w:val="20"/>
              </w:rPr>
            </w:pPr>
            <w:r>
              <w:rPr>
                <w:rFonts w:ascii="Times New Roman" w:hAnsi="Times New Roman"/>
                <w:noProof/>
                <w:color w:val="006100"/>
                <w:sz w:val="20"/>
              </w:rPr>
              <w:t>електронни медицински досиета на гражданите;</w:t>
            </w:r>
          </w:p>
          <w:p w14:paraId="218F8716" w14:textId="77777777" w:rsidR="00895175" w:rsidRPr="0051384F" w:rsidRDefault="00895175" w:rsidP="0051384F">
            <w:pPr>
              <w:pStyle w:val="ListParagraph"/>
              <w:numPr>
                <w:ilvl w:val="0"/>
                <w:numId w:val="11"/>
              </w:numPr>
              <w:spacing w:after="0" w:line="240" w:lineRule="auto"/>
              <w:ind w:left="360"/>
              <w:rPr>
                <w:rFonts w:ascii="Times New Roman" w:hAnsi="Times New Roman" w:cs="Times New Roman"/>
                <w:noProof/>
                <w:color w:val="006100"/>
                <w:sz w:val="20"/>
                <w:szCs w:val="20"/>
              </w:rPr>
            </w:pPr>
            <w:r>
              <w:rPr>
                <w:rFonts w:ascii="Times New Roman" w:hAnsi="Times New Roman"/>
                <w:noProof/>
                <w:color w:val="006100"/>
                <w:sz w:val="20"/>
              </w:rPr>
              <w:t>модули за електронни рецепти и електронни направления;</w:t>
            </w:r>
          </w:p>
          <w:p w14:paraId="1A3E2D16" w14:textId="77777777" w:rsidR="00895175" w:rsidRPr="0051384F" w:rsidRDefault="00895175" w:rsidP="0051384F">
            <w:pPr>
              <w:pStyle w:val="ListParagraph"/>
              <w:numPr>
                <w:ilvl w:val="0"/>
                <w:numId w:val="11"/>
              </w:numPr>
              <w:spacing w:after="0" w:line="240" w:lineRule="auto"/>
              <w:ind w:left="360"/>
              <w:rPr>
                <w:rFonts w:ascii="Times New Roman" w:hAnsi="Times New Roman" w:cs="Times New Roman"/>
                <w:noProof/>
                <w:color w:val="006100"/>
                <w:sz w:val="20"/>
                <w:szCs w:val="20"/>
              </w:rPr>
            </w:pPr>
            <w:r>
              <w:rPr>
                <w:rFonts w:ascii="Times New Roman" w:hAnsi="Times New Roman"/>
                <w:noProof/>
                <w:color w:val="006100"/>
                <w:sz w:val="20"/>
              </w:rPr>
              <w:t>система за събиране на данни от болниците;</w:t>
            </w:r>
          </w:p>
        </w:tc>
      </w:tr>
      <w:tr w:rsidR="00895175" w:rsidRPr="0051384F" w14:paraId="1D24E769" w14:textId="77777777" w:rsidTr="0DF4F0A1">
        <w:trPr>
          <w:trHeight w:val="309"/>
          <w:jc w:val="center"/>
        </w:trPr>
        <w:tc>
          <w:tcPr>
            <w:tcW w:w="595" w:type="dxa"/>
            <w:tcBorders>
              <w:top w:val="nil"/>
              <w:left w:val="single" w:sz="4" w:space="0" w:color="auto"/>
              <w:bottom w:val="single" w:sz="4" w:space="0" w:color="auto"/>
              <w:right w:val="single" w:sz="4" w:space="0" w:color="auto"/>
            </w:tcBorders>
            <w:shd w:val="clear" w:color="auto" w:fill="C6EFCE"/>
            <w:noWrap/>
          </w:tcPr>
          <w:p w14:paraId="68E07694" w14:textId="28DBF451" w:rsidR="00895175" w:rsidRPr="0051384F" w:rsidRDefault="00992016" w:rsidP="0066695B">
            <w:pPr>
              <w:spacing w:after="0"/>
              <w:jc w:val="center"/>
              <w:rPr>
                <w:rFonts w:ascii="Times New Roman" w:hAnsi="Times New Roman" w:cs="Times New Roman"/>
                <w:noProof/>
                <w:color w:val="006100"/>
                <w:sz w:val="20"/>
                <w:szCs w:val="20"/>
              </w:rPr>
            </w:pPr>
            <w:r>
              <w:rPr>
                <w:rFonts w:ascii="Times New Roman" w:hAnsi="Times New Roman"/>
                <w:noProof/>
                <w:color w:val="006100"/>
                <w:sz w:val="20"/>
              </w:rPr>
              <w:t>323</w:t>
            </w:r>
          </w:p>
        </w:tc>
        <w:tc>
          <w:tcPr>
            <w:tcW w:w="1701" w:type="dxa"/>
            <w:tcBorders>
              <w:top w:val="nil"/>
              <w:left w:val="nil"/>
              <w:bottom w:val="single" w:sz="4" w:space="0" w:color="auto"/>
              <w:right w:val="single" w:sz="4" w:space="0" w:color="auto"/>
            </w:tcBorders>
            <w:shd w:val="clear" w:color="auto" w:fill="C6EFCE"/>
            <w:noWrap/>
          </w:tcPr>
          <w:p w14:paraId="0631EDA0" w14:textId="77777777" w:rsidR="00895175" w:rsidRPr="0051384F" w:rsidRDefault="00895175" w:rsidP="003B02A1">
            <w:pPr>
              <w:spacing w:after="0"/>
              <w:rPr>
                <w:rFonts w:ascii="Times New Roman" w:hAnsi="Times New Roman" w:cs="Times New Roman"/>
                <w:noProof/>
                <w:color w:val="006100"/>
                <w:sz w:val="20"/>
                <w:szCs w:val="20"/>
              </w:rPr>
            </w:pPr>
            <w:r>
              <w:rPr>
                <w:rFonts w:ascii="Times New Roman" w:hAnsi="Times New Roman"/>
                <w:noProof/>
                <w:color w:val="006100"/>
                <w:sz w:val="20"/>
              </w:rPr>
              <w:t>C12.R3:</w:t>
            </w:r>
          </w:p>
          <w:p w14:paraId="4475CF25" w14:textId="77777777" w:rsidR="00895175" w:rsidRPr="0051384F" w:rsidRDefault="00895175" w:rsidP="003B02A1">
            <w:pPr>
              <w:spacing w:after="0"/>
              <w:rPr>
                <w:rFonts w:ascii="Times New Roman" w:hAnsi="Times New Roman" w:cs="Times New Roman"/>
                <w:noProof/>
                <w:color w:val="006100"/>
                <w:sz w:val="20"/>
                <w:szCs w:val="20"/>
              </w:rPr>
            </w:pPr>
            <w:r>
              <w:rPr>
                <w:rFonts w:ascii="Times New Roman" w:hAnsi="Times New Roman"/>
                <w:noProof/>
                <w:color w:val="006100"/>
                <w:sz w:val="20"/>
              </w:rPr>
              <w:t>Повишаване на привлекателността на здравните професии и насърчаване на по-балансираното разпределение на здравните специалисти на територията на страната</w:t>
            </w:r>
          </w:p>
        </w:tc>
        <w:tc>
          <w:tcPr>
            <w:tcW w:w="993" w:type="dxa"/>
            <w:tcBorders>
              <w:top w:val="nil"/>
              <w:left w:val="nil"/>
              <w:bottom w:val="single" w:sz="4" w:space="0" w:color="auto"/>
              <w:right w:val="single" w:sz="4" w:space="0" w:color="auto"/>
            </w:tcBorders>
            <w:shd w:val="clear" w:color="auto" w:fill="C6EFCE"/>
            <w:noWrap/>
          </w:tcPr>
          <w:p w14:paraId="769884DF" w14:textId="77777777" w:rsidR="00895175" w:rsidRPr="0051384F" w:rsidRDefault="00895175" w:rsidP="0066695B">
            <w:pPr>
              <w:spacing w:after="0"/>
              <w:jc w:val="center"/>
              <w:rPr>
                <w:rFonts w:ascii="Times New Roman" w:hAnsi="Times New Roman" w:cs="Times New Roman"/>
                <w:noProof/>
                <w:color w:val="006100"/>
                <w:sz w:val="20"/>
                <w:szCs w:val="20"/>
              </w:rPr>
            </w:pPr>
            <w:r>
              <w:rPr>
                <w:rFonts w:ascii="Times New Roman" w:hAnsi="Times New Roman"/>
                <w:noProof/>
                <w:color w:val="006100"/>
                <w:sz w:val="20"/>
              </w:rPr>
              <w:t>Ключов етап</w:t>
            </w:r>
          </w:p>
        </w:tc>
        <w:tc>
          <w:tcPr>
            <w:tcW w:w="1901" w:type="dxa"/>
            <w:tcBorders>
              <w:top w:val="nil"/>
              <w:left w:val="nil"/>
              <w:bottom w:val="single" w:sz="4" w:space="0" w:color="auto"/>
              <w:right w:val="single" w:sz="4" w:space="0" w:color="auto"/>
            </w:tcBorders>
            <w:shd w:val="clear" w:color="auto" w:fill="C6EFCE"/>
            <w:noWrap/>
          </w:tcPr>
          <w:p w14:paraId="542E5553" w14:textId="77777777" w:rsidR="00895175" w:rsidRPr="0051384F" w:rsidRDefault="00895175" w:rsidP="00B8559B">
            <w:pPr>
              <w:spacing w:after="0"/>
              <w:rPr>
                <w:rFonts w:ascii="Times New Roman" w:hAnsi="Times New Roman" w:cs="Times New Roman"/>
                <w:noProof/>
                <w:color w:val="006100"/>
                <w:sz w:val="20"/>
                <w:szCs w:val="20"/>
              </w:rPr>
            </w:pPr>
            <w:r>
              <w:rPr>
                <w:rFonts w:ascii="Times New Roman" w:hAnsi="Times New Roman"/>
                <w:noProof/>
                <w:color w:val="006100"/>
                <w:sz w:val="20"/>
              </w:rPr>
              <w:t>Влизане в сила на постановление за създаване на национален фонд за насърчаване на по-балансирано разпределение на здравните специалисти на територията на страната</w:t>
            </w:r>
          </w:p>
        </w:tc>
        <w:tc>
          <w:tcPr>
            <w:tcW w:w="1473" w:type="dxa"/>
            <w:tcBorders>
              <w:top w:val="nil"/>
              <w:left w:val="nil"/>
              <w:bottom w:val="single" w:sz="4" w:space="0" w:color="auto"/>
              <w:right w:val="single" w:sz="4" w:space="0" w:color="auto"/>
            </w:tcBorders>
            <w:shd w:val="clear" w:color="auto" w:fill="C6EFCE"/>
            <w:noWrap/>
          </w:tcPr>
          <w:p w14:paraId="108C23CD" w14:textId="77777777" w:rsidR="00895175" w:rsidRPr="0051384F" w:rsidRDefault="00895175" w:rsidP="00DF56F8">
            <w:pPr>
              <w:spacing w:after="0"/>
              <w:rPr>
                <w:rFonts w:ascii="Times New Roman" w:hAnsi="Times New Roman" w:cs="Times New Roman"/>
                <w:noProof/>
                <w:color w:val="006100"/>
                <w:sz w:val="20"/>
                <w:szCs w:val="20"/>
              </w:rPr>
            </w:pPr>
            <w:r>
              <w:rPr>
                <w:rFonts w:ascii="Times New Roman" w:hAnsi="Times New Roman"/>
                <w:noProof/>
                <w:color w:val="006100"/>
                <w:sz w:val="20"/>
              </w:rPr>
              <w:t>Разпоредба в постановлението, указваща влизането в сила на постановлението за националния фонд</w:t>
            </w:r>
          </w:p>
        </w:tc>
        <w:tc>
          <w:tcPr>
            <w:tcW w:w="937" w:type="dxa"/>
            <w:tcBorders>
              <w:top w:val="nil"/>
              <w:left w:val="nil"/>
              <w:bottom w:val="single" w:sz="4" w:space="0" w:color="auto"/>
              <w:right w:val="single" w:sz="4" w:space="0" w:color="auto"/>
            </w:tcBorders>
            <w:shd w:val="clear" w:color="auto" w:fill="C6EFCE"/>
            <w:noWrap/>
          </w:tcPr>
          <w:p w14:paraId="6B46305C" w14:textId="77777777" w:rsidR="00895175" w:rsidRPr="008A0F8A" w:rsidRDefault="00895175" w:rsidP="00DF56F8">
            <w:pPr>
              <w:spacing w:after="0"/>
              <w:rPr>
                <w:rFonts w:ascii="Times New Roman" w:eastAsia="Times New Roman" w:hAnsi="Times New Roman" w:cs="Times New Roman"/>
                <w:noProof/>
                <w:color w:val="006100"/>
                <w:sz w:val="20"/>
                <w:szCs w:val="20"/>
                <w:lang w:val="ru-RU" w:eastAsia="en-GB"/>
              </w:rPr>
            </w:pPr>
          </w:p>
        </w:tc>
        <w:tc>
          <w:tcPr>
            <w:tcW w:w="850" w:type="dxa"/>
            <w:tcBorders>
              <w:top w:val="nil"/>
              <w:left w:val="nil"/>
              <w:bottom w:val="single" w:sz="4" w:space="0" w:color="auto"/>
              <w:right w:val="single" w:sz="4" w:space="0" w:color="auto"/>
            </w:tcBorders>
            <w:shd w:val="clear" w:color="auto" w:fill="C6EFCE"/>
            <w:noWrap/>
          </w:tcPr>
          <w:p w14:paraId="7EBA1ECC" w14:textId="77777777" w:rsidR="00895175" w:rsidRPr="008A0F8A" w:rsidRDefault="00895175" w:rsidP="00DF56F8">
            <w:pPr>
              <w:spacing w:after="0"/>
              <w:rPr>
                <w:rFonts w:ascii="Times New Roman" w:eastAsia="Times New Roman" w:hAnsi="Times New Roman" w:cs="Times New Roman"/>
                <w:noProof/>
                <w:color w:val="006100"/>
                <w:sz w:val="20"/>
                <w:szCs w:val="20"/>
                <w:lang w:val="ru-RU" w:eastAsia="en-GB"/>
              </w:rPr>
            </w:pPr>
          </w:p>
        </w:tc>
        <w:tc>
          <w:tcPr>
            <w:tcW w:w="709" w:type="dxa"/>
            <w:tcBorders>
              <w:top w:val="nil"/>
              <w:left w:val="nil"/>
              <w:bottom w:val="single" w:sz="4" w:space="0" w:color="auto"/>
              <w:right w:val="single" w:sz="4" w:space="0" w:color="auto"/>
            </w:tcBorders>
            <w:shd w:val="clear" w:color="auto" w:fill="C6EFCE"/>
            <w:noWrap/>
          </w:tcPr>
          <w:p w14:paraId="453C6F2C" w14:textId="77777777" w:rsidR="00895175" w:rsidRPr="008A0F8A" w:rsidRDefault="00895175" w:rsidP="00DF56F8">
            <w:pPr>
              <w:spacing w:after="0"/>
              <w:rPr>
                <w:rFonts w:ascii="Times New Roman" w:eastAsia="Times New Roman" w:hAnsi="Times New Roman" w:cs="Times New Roman"/>
                <w:noProof/>
                <w:color w:val="006100"/>
                <w:sz w:val="20"/>
                <w:szCs w:val="20"/>
                <w:lang w:val="ru-RU" w:eastAsia="en-GB"/>
              </w:rPr>
            </w:pPr>
          </w:p>
        </w:tc>
        <w:tc>
          <w:tcPr>
            <w:tcW w:w="850" w:type="dxa"/>
            <w:tcBorders>
              <w:top w:val="nil"/>
              <w:left w:val="nil"/>
              <w:bottom w:val="single" w:sz="4" w:space="0" w:color="auto"/>
              <w:right w:val="single" w:sz="4" w:space="0" w:color="auto"/>
            </w:tcBorders>
            <w:shd w:val="clear" w:color="auto" w:fill="C6EFCE"/>
            <w:noWrap/>
          </w:tcPr>
          <w:p w14:paraId="3A81B696" w14:textId="614246AD" w:rsidR="00895175" w:rsidRPr="0051384F" w:rsidRDefault="00895175" w:rsidP="00DF56F8">
            <w:pPr>
              <w:spacing w:after="0"/>
              <w:rPr>
                <w:rFonts w:ascii="Times New Roman" w:hAnsi="Times New Roman" w:cs="Times New Roman"/>
                <w:noProof/>
                <w:color w:val="006100"/>
                <w:sz w:val="20"/>
                <w:szCs w:val="20"/>
              </w:rPr>
            </w:pPr>
            <w:r>
              <w:rPr>
                <w:rFonts w:ascii="Times New Roman" w:hAnsi="Times New Roman"/>
                <w:noProof/>
                <w:color w:val="006100"/>
                <w:sz w:val="20"/>
              </w:rPr>
              <w:t>T1</w:t>
            </w:r>
          </w:p>
        </w:tc>
        <w:tc>
          <w:tcPr>
            <w:tcW w:w="851" w:type="dxa"/>
            <w:tcBorders>
              <w:top w:val="nil"/>
              <w:left w:val="nil"/>
              <w:bottom w:val="single" w:sz="4" w:space="0" w:color="auto"/>
              <w:right w:val="single" w:sz="4" w:space="0" w:color="auto"/>
            </w:tcBorders>
            <w:shd w:val="clear" w:color="auto" w:fill="C6EFCE"/>
            <w:noWrap/>
          </w:tcPr>
          <w:p w14:paraId="1D467CE6" w14:textId="469E50A3" w:rsidR="00895175" w:rsidRPr="0051384F" w:rsidRDefault="00895175" w:rsidP="00DF56F8">
            <w:pPr>
              <w:spacing w:after="0"/>
              <w:rPr>
                <w:rFonts w:ascii="Times New Roman" w:hAnsi="Times New Roman" w:cs="Times New Roman"/>
                <w:noProof/>
                <w:color w:val="006100"/>
                <w:sz w:val="20"/>
                <w:szCs w:val="20"/>
              </w:rPr>
            </w:pPr>
            <w:r>
              <w:rPr>
                <w:rFonts w:ascii="Times New Roman" w:hAnsi="Times New Roman"/>
                <w:noProof/>
                <w:color w:val="006100"/>
                <w:sz w:val="20"/>
              </w:rPr>
              <w:t>2023</w:t>
            </w:r>
          </w:p>
        </w:tc>
        <w:tc>
          <w:tcPr>
            <w:tcW w:w="4450" w:type="dxa"/>
            <w:tcBorders>
              <w:top w:val="nil"/>
              <w:left w:val="nil"/>
              <w:bottom w:val="single" w:sz="4" w:space="0" w:color="auto"/>
              <w:right w:val="single" w:sz="4" w:space="0" w:color="auto"/>
            </w:tcBorders>
            <w:shd w:val="clear" w:color="auto" w:fill="C6EFCE"/>
            <w:noWrap/>
          </w:tcPr>
          <w:p w14:paraId="34324651" w14:textId="77777777" w:rsidR="00895175" w:rsidRPr="0051384F" w:rsidRDefault="00895175" w:rsidP="00DF56F8">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 xml:space="preserve">С постановлението официално се създава национален фонд за насърчаване на по-балансирано разпределение на здравните специалисти на територията на страната. </w:t>
            </w:r>
          </w:p>
          <w:p w14:paraId="07C06533" w14:textId="77777777" w:rsidR="00895175" w:rsidRPr="008A0F8A" w:rsidRDefault="00895175" w:rsidP="00DF56F8">
            <w:pPr>
              <w:spacing w:after="0" w:line="240" w:lineRule="auto"/>
              <w:rPr>
                <w:rFonts w:ascii="Times New Roman" w:hAnsi="Times New Roman" w:cs="Times New Roman"/>
                <w:noProof/>
                <w:color w:val="006100"/>
                <w:sz w:val="20"/>
                <w:szCs w:val="20"/>
                <w:lang w:val="ru-RU"/>
              </w:rPr>
            </w:pPr>
          </w:p>
          <w:p w14:paraId="7AF70BD9" w14:textId="77777777" w:rsidR="00895175" w:rsidRPr="0051384F" w:rsidRDefault="00895175" w:rsidP="00DF56F8">
            <w:pPr>
              <w:spacing w:after="0" w:line="240" w:lineRule="auto"/>
              <w:rPr>
                <w:rFonts w:ascii="Times New Roman" w:hAnsi="Times New Roman" w:cs="Times New Roman"/>
                <w:noProof/>
                <w:color w:val="006100"/>
                <w:sz w:val="20"/>
                <w:szCs w:val="20"/>
              </w:rPr>
            </w:pPr>
            <w:r>
              <w:rPr>
                <w:rFonts w:ascii="Times New Roman" w:hAnsi="Times New Roman"/>
                <w:noProof/>
                <w:color w:val="006100"/>
                <w:sz w:val="20"/>
              </w:rPr>
              <w:t>В постановлението се:</w:t>
            </w:r>
          </w:p>
          <w:p w14:paraId="728E781E" w14:textId="7CDAD5FD" w:rsidR="00895175" w:rsidRPr="0051384F" w:rsidRDefault="00895175" w:rsidP="0051384F">
            <w:pPr>
              <w:pStyle w:val="ListParagraph"/>
              <w:numPr>
                <w:ilvl w:val="0"/>
                <w:numId w:val="11"/>
              </w:numPr>
              <w:spacing w:after="0"/>
              <w:ind w:left="360"/>
              <w:rPr>
                <w:rFonts w:ascii="Times New Roman" w:hAnsi="Times New Roman" w:cs="Times New Roman"/>
                <w:noProof/>
                <w:color w:val="006100"/>
                <w:sz w:val="20"/>
                <w:szCs w:val="20"/>
              </w:rPr>
            </w:pPr>
            <w:r>
              <w:rPr>
                <w:rFonts w:ascii="Times New Roman" w:hAnsi="Times New Roman"/>
                <w:noProof/>
                <w:color w:val="006100"/>
                <w:sz w:val="20"/>
              </w:rPr>
              <w:t xml:space="preserve">посочва, че чрез фонда се осигурява допълнителен месечен доход за медицинските сестри и медицинските специалисти, работещи в отдалечени селища. </w:t>
            </w:r>
          </w:p>
          <w:p w14:paraId="5EA31381" w14:textId="77777777" w:rsidR="00895175" w:rsidRPr="0051384F" w:rsidRDefault="00895175" w:rsidP="0051384F">
            <w:pPr>
              <w:pStyle w:val="ListParagraph"/>
              <w:numPr>
                <w:ilvl w:val="0"/>
                <w:numId w:val="11"/>
              </w:numPr>
              <w:spacing w:after="0"/>
              <w:ind w:left="360"/>
              <w:rPr>
                <w:rFonts w:ascii="Times New Roman" w:hAnsi="Times New Roman" w:cs="Times New Roman"/>
                <w:noProof/>
                <w:color w:val="006100"/>
                <w:sz w:val="20"/>
                <w:szCs w:val="20"/>
              </w:rPr>
            </w:pPr>
            <w:r>
              <w:rPr>
                <w:rFonts w:ascii="Times New Roman" w:hAnsi="Times New Roman"/>
                <w:noProof/>
                <w:color w:val="006100"/>
                <w:sz w:val="20"/>
              </w:rPr>
              <w:t>определя методиката за изчисляване на допълнителния месечен доход за медицинските сестри и медицинските специалисти, работещи в отдалечени райони, който се изплаща от националния бюджет. Методиката се основава на редица фактори, включително средния или медианния доход на медицинските сестри и медицинските специалисти в страната, местоположението на работното място на медицинските специалисти и професионалната квалификация на медицинските специалисти;</w:t>
            </w:r>
          </w:p>
          <w:p w14:paraId="31301867" w14:textId="77777777" w:rsidR="00895175" w:rsidRPr="0051384F" w:rsidRDefault="00895175" w:rsidP="0051384F">
            <w:pPr>
              <w:pStyle w:val="ListParagraph"/>
              <w:numPr>
                <w:ilvl w:val="0"/>
                <w:numId w:val="11"/>
              </w:numPr>
              <w:spacing w:after="0"/>
              <w:ind w:left="360"/>
              <w:rPr>
                <w:rFonts w:ascii="Times New Roman" w:hAnsi="Times New Roman" w:cs="Times New Roman"/>
                <w:noProof/>
                <w:color w:val="006100"/>
                <w:sz w:val="20"/>
                <w:szCs w:val="20"/>
              </w:rPr>
            </w:pPr>
            <w:r>
              <w:rPr>
                <w:rFonts w:ascii="Times New Roman" w:hAnsi="Times New Roman"/>
                <w:noProof/>
                <w:color w:val="006100"/>
                <w:sz w:val="20"/>
              </w:rPr>
              <w:t>посочва месеца и годината, през които медицинските сестри и медицинските специалисти, работещи в отдалечени райони, започват да имат право на допълнителна компенсация от фонда. Това трябва да бъде не по-късно от 1.4.2023 г.</w:t>
            </w:r>
          </w:p>
        </w:tc>
      </w:tr>
      <w:tr w:rsidR="00895175" w:rsidRPr="005241FC" w14:paraId="5C6FF107" w14:textId="77777777" w:rsidTr="0DF4F0A1">
        <w:trPr>
          <w:trHeight w:val="309"/>
          <w:jc w:val="center"/>
        </w:trPr>
        <w:tc>
          <w:tcPr>
            <w:tcW w:w="595" w:type="dxa"/>
            <w:tcBorders>
              <w:top w:val="nil"/>
              <w:left w:val="single" w:sz="4" w:space="0" w:color="auto"/>
              <w:bottom w:val="single" w:sz="4" w:space="0" w:color="auto"/>
              <w:right w:val="single" w:sz="4" w:space="0" w:color="auto"/>
            </w:tcBorders>
            <w:shd w:val="clear" w:color="auto" w:fill="C6EFCE"/>
            <w:noWrap/>
          </w:tcPr>
          <w:p w14:paraId="2BCE5F44" w14:textId="05249CB4" w:rsidR="00895175" w:rsidRPr="0051384F" w:rsidRDefault="00992016" w:rsidP="0066695B">
            <w:pPr>
              <w:spacing w:after="0"/>
              <w:jc w:val="center"/>
              <w:rPr>
                <w:rFonts w:ascii="Times New Roman" w:eastAsia="Times New Roman" w:hAnsi="Times New Roman" w:cs="Times New Roman"/>
                <w:noProof/>
                <w:sz w:val="20"/>
                <w:szCs w:val="20"/>
              </w:rPr>
            </w:pPr>
            <w:r>
              <w:rPr>
                <w:rFonts w:ascii="Times New Roman" w:hAnsi="Times New Roman"/>
                <w:noProof/>
                <w:color w:val="006100"/>
                <w:sz w:val="20"/>
              </w:rPr>
              <w:t>324</w:t>
            </w:r>
          </w:p>
        </w:tc>
        <w:tc>
          <w:tcPr>
            <w:tcW w:w="1701" w:type="dxa"/>
            <w:tcBorders>
              <w:top w:val="nil"/>
              <w:left w:val="nil"/>
              <w:bottom w:val="single" w:sz="4" w:space="0" w:color="auto"/>
              <w:right w:val="single" w:sz="4" w:space="0" w:color="auto"/>
            </w:tcBorders>
            <w:shd w:val="clear" w:color="auto" w:fill="C6EFCE"/>
            <w:noWrap/>
          </w:tcPr>
          <w:p w14:paraId="27298F6B" w14:textId="77777777" w:rsidR="00895175" w:rsidRPr="0051384F" w:rsidRDefault="00895175" w:rsidP="003B02A1">
            <w:pPr>
              <w:spacing w:after="0"/>
              <w:rPr>
                <w:rFonts w:ascii="Times New Roman" w:hAnsi="Times New Roman" w:cs="Times New Roman"/>
                <w:noProof/>
                <w:color w:val="006100"/>
                <w:sz w:val="20"/>
                <w:szCs w:val="20"/>
              </w:rPr>
            </w:pPr>
            <w:r>
              <w:rPr>
                <w:rFonts w:ascii="Times New Roman" w:hAnsi="Times New Roman"/>
                <w:noProof/>
                <w:color w:val="006100"/>
                <w:sz w:val="20"/>
              </w:rPr>
              <w:t>C12.R3:</w:t>
            </w:r>
          </w:p>
          <w:p w14:paraId="006FBBF0" w14:textId="77777777" w:rsidR="00895175" w:rsidRPr="0051384F" w:rsidRDefault="00895175" w:rsidP="003B02A1">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Повишаване на привлекателността на здравните професии и насърчаване на по-балансираното разпределение на здравните специалисти на територията на страната</w:t>
            </w:r>
          </w:p>
        </w:tc>
        <w:tc>
          <w:tcPr>
            <w:tcW w:w="993" w:type="dxa"/>
            <w:tcBorders>
              <w:top w:val="nil"/>
              <w:left w:val="nil"/>
              <w:bottom w:val="single" w:sz="4" w:space="0" w:color="auto"/>
              <w:right w:val="single" w:sz="4" w:space="0" w:color="auto"/>
            </w:tcBorders>
            <w:shd w:val="clear" w:color="auto" w:fill="C6EFCE"/>
            <w:noWrap/>
          </w:tcPr>
          <w:p w14:paraId="5989A547" w14:textId="77777777" w:rsidR="00895175" w:rsidRPr="0051384F" w:rsidRDefault="00895175" w:rsidP="0066695B">
            <w:pPr>
              <w:spacing w:after="0"/>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901" w:type="dxa"/>
            <w:tcBorders>
              <w:top w:val="nil"/>
              <w:left w:val="nil"/>
              <w:bottom w:val="single" w:sz="4" w:space="0" w:color="auto"/>
              <w:right w:val="single" w:sz="4" w:space="0" w:color="auto"/>
            </w:tcBorders>
            <w:shd w:val="clear" w:color="auto" w:fill="C6EFCE"/>
            <w:noWrap/>
          </w:tcPr>
          <w:p w14:paraId="10966C63" w14:textId="77777777" w:rsidR="00895175" w:rsidRPr="0051384F" w:rsidRDefault="00895175" w:rsidP="0066695B">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Влизане в сила на измененията на законите и подзаконовите нормативни актове с цел справяне с недостига и насърчаване на по-балансирано разпределение на здравните специалисти на територията на страната </w:t>
            </w:r>
          </w:p>
        </w:tc>
        <w:tc>
          <w:tcPr>
            <w:tcW w:w="1473" w:type="dxa"/>
            <w:tcBorders>
              <w:top w:val="nil"/>
              <w:left w:val="nil"/>
              <w:bottom w:val="single" w:sz="4" w:space="0" w:color="auto"/>
              <w:right w:val="single" w:sz="4" w:space="0" w:color="auto"/>
            </w:tcBorders>
            <w:shd w:val="clear" w:color="auto" w:fill="C6EFCE"/>
            <w:noWrap/>
          </w:tcPr>
          <w:p w14:paraId="75C8DDDD" w14:textId="77777777" w:rsidR="00895175" w:rsidRPr="0051384F" w:rsidRDefault="00895175" w:rsidP="0066695B">
            <w:pPr>
              <w:spacing w:after="0"/>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Разпоредби в законите, указващи влизането в сила на измененията на законите и вторичното законодателство </w:t>
            </w:r>
          </w:p>
        </w:tc>
        <w:tc>
          <w:tcPr>
            <w:tcW w:w="937" w:type="dxa"/>
            <w:tcBorders>
              <w:top w:val="nil"/>
              <w:left w:val="nil"/>
              <w:bottom w:val="single" w:sz="4" w:space="0" w:color="auto"/>
              <w:right w:val="single" w:sz="4" w:space="0" w:color="auto"/>
            </w:tcBorders>
            <w:shd w:val="clear" w:color="auto" w:fill="C6EFCE"/>
            <w:noWrap/>
          </w:tcPr>
          <w:p w14:paraId="35F46790" w14:textId="77777777" w:rsidR="00895175" w:rsidRPr="0051384F" w:rsidRDefault="00895175" w:rsidP="0066695B">
            <w:pPr>
              <w:spacing w:after="0"/>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850" w:type="dxa"/>
            <w:tcBorders>
              <w:top w:val="nil"/>
              <w:left w:val="nil"/>
              <w:bottom w:val="single" w:sz="4" w:space="0" w:color="auto"/>
              <w:right w:val="single" w:sz="4" w:space="0" w:color="auto"/>
            </w:tcBorders>
            <w:shd w:val="clear" w:color="auto" w:fill="C6EFCE"/>
            <w:noWrap/>
          </w:tcPr>
          <w:p w14:paraId="7C35D7F3" w14:textId="77777777" w:rsidR="00895175" w:rsidRPr="0051384F" w:rsidRDefault="00895175" w:rsidP="0066695B">
            <w:pPr>
              <w:spacing w:after="0"/>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709" w:type="dxa"/>
            <w:tcBorders>
              <w:top w:val="nil"/>
              <w:left w:val="nil"/>
              <w:bottom w:val="single" w:sz="4" w:space="0" w:color="auto"/>
              <w:right w:val="single" w:sz="4" w:space="0" w:color="auto"/>
            </w:tcBorders>
            <w:shd w:val="clear" w:color="auto" w:fill="C6EFCE"/>
            <w:noWrap/>
          </w:tcPr>
          <w:p w14:paraId="38AA80E9" w14:textId="77777777" w:rsidR="00895175" w:rsidRPr="0051384F" w:rsidRDefault="00895175" w:rsidP="0066695B">
            <w:pPr>
              <w:spacing w:after="0"/>
              <w:jc w:val="right"/>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850" w:type="dxa"/>
            <w:tcBorders>
              <w:top w:val="nil"/>
              <w:left w:val="nil"/>
              <w:bottom w:val="single" w:sz="4" w:space="0" w:color="auto"/>
              <w:right w:val="single" w:sz="4" w:space="0" w:color="auto"/>
            </w:tcBorders>
            <w:shd w:val="clear" w:color="auto" w:fill="C6EFCE"/>
            <w:noWrap/>
          </w:tcPr>
          <w:p w14:paraId="00203966" w14:textId="77777777" w:rsidR="00895175" w:rsidRPr="0051384F" w:rsidRDefault="00895175" w:rsidP="0066695B">
            <w:pPr>
              <w:spacing w:after="0"/>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T1</w:t>
            </w:r>
          </w:p>
        </w:tc>
        <w:tc>
          <w:tcPr>
            <w:tcW w:w="851" w:type="dxa"/>
            <w:tcBorders>
              <w:top w:val="nil"/>
              <w:left w:val="nil"/>
              <w:bottom w:val="single" w:sz="4" w:space="0" w:color="auto"/>
              <w:right w:val="single" w:sz="4" w:space="0" w:color="auto"/>
            </w:tcBorders>
            <w:shd w:val="clear" w:color="auto" w:fill="C6EFCE"/>
            <w:noWrap/>
          </w:tcPr>
          <w:p w14:paraId="6F46ADDB" w14:textId="77777777" w:rsidR="00895175" w:rsidRPr="0051384F" w:rsidRDefault="00895175" w:rsidP="0066695B">
            <w:pPr>
              <w:spacing w:after="0"/>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2023</w:t>
            </w:r>
          </w:p>
        </w:tc>
        <w:tc>
          <w:tcPr>
            <w:tcW w:w="4450" w:type="dxa"/>
            <w:tcBorders>
              <w:top w:val="nil"/>
              <w:left w:val="nil"/>
              <w:bottom w:val="single" w:sz="4" w:space="0" w:color="auto"/>
              <w:right w:val="single" w:sz="4" w:space="0" w:color="auto"/>
            </w:tcBorders>
            <w:shd w:val="clear" w:color="auto" w:fill="C6EFCE"/>
            <w:noWrap/>
          </w:tcPr>
          <w:p w14:paraId="0588A66C" w14:textId="77777777" w:rsidR="00895175" w:rsidRPr="0051384F" w:rsidRDefault="00895175" w:rsidP="0066695B">
            <w:pPr>
              <w:spacing w:after="0"/>
              <w:jc w:val="both"/>
              <w:rPr>
                <w:rFonts w:ascii="Times New Roman" w:hAnsi="Times New Roman" w:cs="Times New Roman"/>
                <w:noProof/>
                <w:color w:val="006100"/>
                <w:sz w:val="20"/>
                <w:szCs w:val="20"/>
              </w:rPr>
            </w:pPr>
            <w:r>
              <w:rPr>
                <w:rFonts w:ascii="Times New Roman" w:hAnsi="Times New Roman"/>
                <w:noProof/>
                <w:color w:val="006100"/>
                <w:sz w:val="20"/>
              </w:rPr>
              <w:t>Измененията на законовите и подзаконовите разпоредби за справяне с недостига насърчават по-балансирано разпределение на здравните специалисти на територията на страната и:</w:t>
            </w:r>
          </w:p>
          <w:p w14:paraId="66652279" w14:textId="77777777" w:rsidR="00895175" w:rsidRPr="0051384F" w:rsidRDefault="00895175" w:rsidP="0051384F">
            <w:pPr>
              <w:pStyle w:val="ListParagraph"/>
              <w:numPr>
                <w:ilvl w:val="0"/>
                <w:numId w:val="11"/>
              </w:numPr>
              <w:spacing w:after="0"/>
              <w:ind w:left="360"/>
              <w:jc w:val="both"/>
              <w:rPr>
                <w:rFonts w:ascii="Times New Roman" w:hAnsi="Times New Roman" w:cs="Times New Roman"/>
                <w:noProof/>
                <w:color w:val="006100"/>
                <w:sz w:val="20"/>
                <w:szCs w:val="20"/>
              </w:rPr>
            </w:pPr>
            <w:r>
              <w:rPr>
                <w:rFonts w:ascii="Times New Roman" w:hAnsi="Times New Roman"/>
                <w:noProof/>
                <w:color w:val="006100"/>
                <w:sz w:val="20"/>
              </w:rPr>
              <w:t>въвеждат методика за определяне на броя на здравните специалисти, особено медицински сестри, които са необходими в различните здравни заведения;</w:t>
            </w:r>
          </w:p>
          <w:p w14:paraId="50E8605C" w14:textId="1C028C2D" w:rsidR="00895175" w:rsidRPr="0051384F" w:rsidRDefault="00895175" w:rsidP="0051384F">
            <w:pPr>
              <w:pStyle w:val="ListParagraph"/>
              <w:numPr>
                <w:ilvl w:val="0"/>
                <w:numId w:val="11"/>
              </w:numPr>
              <w:spacing w:after="0"/>
              <w:ind w:left="360"/>
              <w:jc w:val="both"/>
              <w:rPr>
                <w:rFonts w:ascii="Times New Roman" w:hAnsi="Times New Roman" w:cs="Times New Roman"/>
                <w:noProof/>
                <w:color w:val="006100"/>
                <w:sz w:val="20"/>
                <w:szCs w:val="20"/>
              </w:rPr>
            </w:pPr>
            <w:r>
              <w:rPr>
                <w:rFonts w:ascii="Times New Roman" w:hAnsi="Times New Roman"/>
                <w:noProof/>
                <w:color w:val="006100"/>
                <w:sz w:val="20"/>
              </w:rPr>
              <w:t>премахват университетските такси за студенти по медицина чрез актуализиране на списъка със защитените професионални квалификации по Закона за висшето образование;</w:t>
            </w:r>
          </w:p>
          <w:p w14:paraId="7DC5928B" w14:textId="77777777" w:rsidR="00895175" w:rsidRPr="0051384F" w:rsidRDefault="00895175" w:rsidP="0051384F">
            <w:pPr>
              <w:pStyle w:val="ListParagraph"/>
              <w:numPr>
                <w:ilvl w:val="0"/>
                <w:numId w:val="11"/>
              </w:numPr>
              <w:spacing w:after="0"/>
              <w:ind w:left="360"/>
              <w:jc w:val="both"/>
              <w:rPr>
                <w:rFonts w:ascii="Times New Roman" w:hAnsi="Times New Roman" w:cs="Times New Roman"/>
                <w:noProof/>
                <w:color w:val="006100"/>
                <w:sz w:val="20"/>
                <w:szCs w:val="20"/>
              </w:rPr>
            </w:pPr>
            <w:r>
              <w:rPr>
                <w:rFonts w:ascii="Times New Roman" w:hAnsi="Times New Roman"/>
                <w:noProof/>
                <w:color w:val="006100"/>
                <w:sz w:val="20"/>
              </w:rPr>
              <w:t>подобряват възнаграждението на здравните специалисти чрез въвеждане на стандарт за заплащане на здравните специалисти в здравните заведения, който обвързва техните заплати с нивото им на квалификация;</w:t>
            </w:r>
          </w:p>
          <w:p w14:paraId="1F93D8A2" w14:textId="77777777" w:rsidR="00895175" w:rsidRPr="0051384F" w:rsidRDefault="00895175" w:rsidP="0051384F">
            <w:pPr>
              <w:pStyle w:val="ListParagraph"/>
              <w:numPr>
                <w:ilvl w:val="0"/>
                <w:numId w:val="11"/>
              </w:numPr>
              <w:spacing w:after="0"/>
              <w:ind w:left="360"/>
              <w:jc w:val="both"/>
              <w:rPr>
                <w:rFonts w:ascii="Times New Roman" w:hAnsi="Times New Roman" w:cs="Times New Roman"/>
                <w:noProof/>
                <w:color w:val="006100"/>
                <w:sz w:val="20"/>
                <w:szCs w:val="20"/>
              </w:rPr>
            </w:pPr>
            <w:r>
              <w:rPr>
                <w:rFonts w:ascii="Times New Roman" w:hAnsi="Times New Roman"/>
                <w:noProof/>
                <w:color w:val="006100"/>
                <w:sz w:val="20"/>
              </w:rPr>
              <w:t xml:space="preserve">предлагат финансирани от държавата стипендии за обучение на здравни работници, които се ангажират да работят в район с ограничен достъп до здравеопазване; </w:t>
            </w:r>
          </w:p>
          <w:p w14:paraId="05EA7554" w14:textId="77777777" w:rsidR="00895175" w:rsidRPr="0051384F" w:rsidRDefault="00895175" w:rsidP="0051384F">
            <w:pPr>
              <w:pStyle w:val="ListParagraph"/>
              <w:numPr>
                <w:ilvl w:val="0"/>
                <w:numId w:val="11"/>
              </w:numPr>
              <w:spacing w:after="0"/>
              <w:ind w:left="360"/>
              <w:jc w:val="both"/>
              <w:rPr>
                <w:rFonts w:ascii="Times New Roman" w:hAnsi="Times New Roman" w:cs="Times New Roman"/>
                <w:noProof/>
                <w:sz w:val="20"/>
                <w:szCs w:val="20"/>
              </w:rPr>
            </w:pPr>
            <w:r>
              <w:rPr>
                <w:rFonts w:ascii="Times New Roman" w:hAnsi="Times New Roman"/>
                <w:noProof/>
                <w:color w:val="006100"/>
                <w:sz w:val="20"/>
              </w:rPr>
              <w:t xml:space="preserve">опростяват процеса на одобрение на лечебни заведения за предоставяне на обучение на студенти по медицина; </w:t>
            </w:r>
          </w:p>
          <w:p w14:paraId="0EA3CD05" w14:textId="77777777" w:rsidR="00895175" w:rsidRPr="0051384F" w:rsidRDefault="00895175" w:rsidP="0051384F">
            <w:pPr>
              <w:pStyle w:val="ListParagraph"/>
              <w:numPr>
                <w:ilvl w:val="0"/>
                <w:numId w:val="11"/>
              </w:numPr>
              <w:spacing w:after="0"/>
              <w:ind w:left="360"/>
              <w:jc w:val="both"/>
              <w:rPr>
                <w:rFonts w:ascii="Times New Roman" w:hAnsi="Times New Roman" w:cs="Times New Roman"/>
                <w:noProof/>
                <w:sz w:val="20"/>
                <w:szCs w:val="20"/>
              </w:rPr>
            </w:pPr>
            <w:r>
              <w:rPr>
                <w:rFonts w:ascii="Times New Roman" w:hAnsi="Times New Roman"/>
                <w:noProof/>
                <w:color w:val="006100"/>
                <w:sz w:val="20"/>
              </w:rPr>
              <w:t xml:space="preserve">покриват разходите за обучение на студенти, които са сключили договори с работодател; </w:t>
            </w:r>
          </w:p>
          <w:p w14:paraId="3CFCE074" w14:textId="2997E661" w:rsidR="00895175" w:rsidRPr="0051384F" w:rsidRDefault="00895175" w:rsidP="0051384F">
            <w:pPr>
              <w:pStyle w:val="ListParagraph"/>
              <w:numPr>
                <w:ilvl w:val="0"/>
                <w:numId w:val="11"/>
              </w:numPr>
              <w:spacing w:after="0"/>
              <w:ind w:left="360"/>
              <w:jc w:val="both"/>
              <w:rPr>
                <w:rFonts w:ascii="Times New Roman" w:hAnsi="Times New Roman" w:cs="Times New Roman"/>
                <w:noProof/>
                <w:sz w:val="20"/>
                <w:szCs w:val="20"/>
              </w:rPr>
            </w:pPr>
            <w:r>
              <w:rPr>
                <w:rFonts w:ascii="Times New Roman" w:hAnsi="Times New Roman"/>
                <w:noProof/>
                <w:color w:val="006100"/>
                <w:sz w:val="20"/>
              </w:rPr>
              <w:t xml:space="preserve">въвеждат възможност за медицинските сестри и другите медицински специалисти да установят своя собствена практика; </w:t>
            </w:r>
          </w:p>
          <w:p w14:paraId="4C3B9F5A" w14:textId="77777777" w:rsidR="00895175" w:rsidRPr="0051384F" w:rsidRDefault="00895175" w:rsidP="0051384F">
            <w:pPr>
              <w:pStyle w:val="ListParagraph"/>
              <w:numPr>
                <w:ilvl w:val="0"/>
                <w:numId w:val="11"/>
              </w:numPr>
              <w:spacing w:after="0"/>
              <w:ind w:left="360"/>
              <w:jc w:val="both"/>
              <w:rPr>
                <w:rFonts w:ascii="Times New Roman" w:hAnsi="Times New Roman" w:cs="Times New Roman"/>
                <w:noProof/>
                <w:sz w:val="20"/>
                <w:szCs w:val="20"/>
              </w:rPr>
            </w:pPr>
            <w:r>
              <w:rPr>
                <w:rFonts w:ascii="Times New Roman" w:hAnsi="Times New Roman"/>
                <w:noProof/>
                <w:color w:val="006100"/>
                <w:sz w:val="20"/>
              </w:rPr>
              <w:t>изменят Закона за здравното осигуряване, за да включи професионалната организация на медицинските сестри, акушерките и свързаните с тях здравни специалисти в редовния процес на преговори с Националната здравноосигурителна каса (НЗОК);</w:t>
            </w:r>
          </w:p>
          <w:p w14:paraId="265D180A" w14:textId="77777777" w:rsidR="00895175" w:rsidRPr="0051384F" w:rsidRDefault="00895175" w:rsidP="0051384F">
            <w:pPr>
              <w:pStyle w:val="ListParagraph"/>
              <w:numPr>
                <w:ilvl w:val="0"/>
                <w:numId w:val="11"/>
              </w:numPr>
              <w:spacing w:after="0"/>
              <w:ind w:left="360"/>
              <w:jc w:val="both"/>
              <w:rPr>
                <w:rFonts w:ascii="Times New Roman" w:hAnsi="Times New Roman" w:cs="Times New Roman"/>
                <w:noProof/>
                <w:sz w:val="20"/>
                <w:szCs w:val="20"/>
              </w:rPr>
            </w:pPr>
            <w:r>
              <w:rPr>
                <w:rFonts w:ascii="Times New Roman" w:hAnsi="Times New Roman"/>
                <w:noProof/>
                <w:color w:val="006100"/>
                <w:sz w:val="20"/>
              </w:rPr>
              <w:t xml:space="preserve">разширяват пакета от дейности за амбулаторно лечение, финансирани от НЗОК, за да се гарантира, че медицинските услуги, предоставяни от медицински специалисти посредством собствената им частна практика, се възстановяват от НЗОК. </w:t>
            </w:r>
          </w:p>
        </w:tc>
      </w:tr>
      <w:tr w:rsidR="00895175" w:rsidRPr="005241FC" w14:paraId="3712E98B" w14:textId="77777777" w:rsidTr="0DF4F0A1">
        <w:trPr>
          <w:trHeight w:val="309"/>
          <w:jc w:val="center"/>
        </w:trPr>
        <w:tc>
          <w:tcPr>
            <w:tcW w:w="595" w:type="dxa"/>
            <w:tcBorders>
              <w:top w:val="nil"/>
              <w:left w:val="single" w:sz="4" w:space="0" w:color="auto"/>
              <w:bottom w:val="single" w:sz="4" w:space="0" w:color="auto"/>
              <w:right w:val="single" w:sz="4" w:space="0" w:color="auto"/>
            </w:tcBorders>
            <w:shd w:val="clear" w:color="auto" w:fill="C6EFCE"/>
            <w:noWrap/>
          </w:tcPr>
          <w:p w14:paraId="4D7E78A0" w14:textId="17DBEC01" w:rsidR="00895175" w:rsidRPr="0051384F" w:rsidRDefault="00B033A6" w:rsidP="00401D06">
            <w:pPr>
              <w:spacing w:after="0"/>
              <w:jc w:val="center"/>
              <w:rPr>
                <w:rFonts w:ascii="Times New Roman" w:hAnsi="Times New Roman" w:cs="Times New Roman"/>
                <w:noProof/>
                <w:color w:val="006100"/>
                <w:sz w:val="20"/>
                <w:szCs w:val="20"/>
              </w:rPr>
            </w:pPr>
            <w:r>
              <w:rPr>
                <w:rFonts w:ascii="Times New Roman" w:hAnsi="Times New Roman"/>
                <w:noProof/>
                <w:color w:val="006100"/>
                <w:sz w:val="20"/>
              </w:rPr>
              <w:t>325</w:t>
            </w:r>
          </w:p>
        </w:tc>
        <w:tc>
          <w:tcPr>
            <w:tcW w:w="1701" w:type="dxa"/>
            <w:tcBorders>
              <w:top w:val="nil"/>
              <w:left w:val="nil"/>
              <w:bottom w:val="single" w:sz="4" w:space="0" w:color="auto"/>
              <w:right w:val="single" w:sz="4" w:space="0" w:color="auto"/>
            </w:tcBorders>
            <w:shd w:val="clear" w:color="auto" w:fill="C6EFCE"/>
            <w:noWrap/>
          </w:tcPr>
          <w:p w14:paraId="07E67F39" w14:textId="77777777" w:rsidR="00895175" w:rsidRPr="0051384F" w:rsidRDefault="00895175" w:rsidP="003B02A1">
            <w:pPr>
              <w:spacing w:after="0"/>
              <w:rPr>
                <w:rFonts w:ascii="Times New Roman" w:hAnsi="Times New Roman" w:cs="Times New Roman"/>
                <w:noProof/>
                <w:color w:val="006100"/>
                <w:sz w:val="20"/>
                <w:szCs w:val="20"/>
              </w:rPr>
            </w:pPr>
            <w:r>
              <w:rPr>
                <w:rFonts w:ascii="Times New Roman" w:hAnsi="Times New Roman"/>
                <w:noProof/>
                <w:color w:val="006100"/>
                <w:sz w:val="20"/>
              </w:rPr>
              <w:t>C12.R3:</w:t>
            </w:r>
          </w:p>
          <w:p w14:paraId="30AB732B" w14:textId="77777777" w:rsidR="00895175" w:rsidRPr="0051384F" w:rsidRDefault="00895175" w:rsidP="003B02A1">
            <w:pPr>
              <w:spacing w:after="0"/>
              <w:rPr>
                <w:rFonts w:ascii="Times New Roman" w:hAnsi="Times New Roman" w:cs="Times New Roman"/>
                <w:noProof/>
                <w:color w:val="006100"/>
                <w:sz w:val="20"/>
                <w:szCs w:val="20"/>
              </w:rPr>
            </w:pPr>
            <w:r>
              <w:rPr>
                <w:rFonts w:ascii="Times New Roman" w:hAnsi="Times New Roman"/>
                <w:noProof/>
                <w:color w:val="006100"/>
                <w:sz w:val="20"/>
              </w:rPr>
              <w:t>Повишаване на привлекателността на здравните професии и насърчаване на по-балансираното разпределение на здравните специалисти на територията на страната</w:t>
            </w:r>
          </w:p>
        </w:tc>
        <w:tc>
          <w:tcPr>
            <w:tcW w:w="993" w:type="dxa"/>
            <w:tcBorders>
              <w:top w:val="nil"/>
              <w:left w:val="nil"/>
              <w:bottom w:val="single" w:sz="4" w:space="0" w:color="auto"/>
              <w:right w:val="single" w:sz="4" w:space="0" w:color="auto"/>
            </w:tcBorders>
            <w:shd w:val="clear" w:color="auto" w:fill="C6EFCE"/>
            <w:noWrap/>
          </w:tcPr>
          <w:p w14:paraId="3C6DFAB5" w14:textId="2D57437E" w:rsidR="00895175" w:rsidRPr="0051384F" w:rsidRDefault="702FA0E6" w:rsidP="702FA0E6">
            <w:pPr>
              <w:spacing w:after="0"/>
              <w:jc w:val="center"/>
              <w:rPr>
                <w:rFonts w:ascii="Times New Roman" w:eastAsia="Times New Roman" w:hAnsi="Times New Roman" w:cs="Times New Roman"/>
                <w:noProof/>
                <w:sz w:val="20"/>
                <w:szCs w:val="20"/>
              </w:rPr>
            </w:pPr>
            <w:r>
              <w:rPr>
                <w:rFonts w:ascii="Times New Roman" w:hAnsi="Times New Roman"/>
                <w:noProof/>
                <w:color w:val="006100"/>
                <w:sz w:val="20"/>
              </w:rPr>
              <w:t>Цел</w:t>
            </w:r>
          </w:p>
        </w:tc>
        <w:tc>
          <w:tcPr>
            <w:tcW w:w="1901" w:type="dxa"/>
            <w:tcBorders>
              <w:top w:val="nil"/>
              <w:left w:val="nil"/>
              <w:bottom w:val="single" w:sz="4" w:space="0" w:color="auto"/>
              <w:right w:val="single" w:sz="4" w:space="0" w:color="auto"/>
            </w:tcBorders>
            <w:shd w:val="clear" w:color="auto" w:fill="C6EFCE"/>
            <w:noWrap/>
          </w:tcPr>
          <w:p w14:paraId="6237D389" w14:textId="77777777" w:rsidR="00895175" w:rsidRPr="0051384F" w:rsidRDefault="00895175"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 xml:space="preserve">Брой места за специализации за медицински сестри в университети </w:t>
            </w:r>
          </w:p>
        </w:tc>
        <w:tc>
          <w:tcPr>
            <w:tcW w:w="1473" w:type="dxa"/>
            <w:tcBorders>
              <w:top w:val="nil"/>
              <w:left w:val="nil"/>
              <w:bottom w:val="single" w:sz="4" w:space="0" w:color="auto"/>
              <w:right w:val="single" w:sz="4" w:space="0" w:color="auto"/>
            </w:tcBorders>
            <w:shd w:val="clear" w:color="auto" w:fill="C6EFCE"/>
            <w:noWrap/>
          </w:tcPr>
          <w:p w14:paraId="12BB0A2F" w14:textId="77777777" w:rsidR="00895175" w:rsidRPr="008A0F8A" w:rsidRDefault="00895175" w:rsidP="0066695B">
            <w:pPr>
              <w:spacing w:after="0"/>
              <w:jc w:val="center"/>
              <w:rPr>
                <w:rFonts w:ascii="Times New Roman" w:hAnsi="Times New Roman" w:cs="Times New Roman"/>
                <w:noProof/>
                <w:color w:val="006100"/>
                <w:sz w:val="20"/>
                <w:szCs w:val="20"/>
                <w:lang w:val="ru-RU"/>
              </w:rPr>
            </w:pPr>
          </w:p>
        </w:tc>
        <w:tc>
          <w:tcPr>
            <w:tcW w:w="937" w:type="dxa"/>
            <w:tcBorders>
              <w:top w:val="nil"/>
              <w:left w:val="nil"/>
              <w:bottom w:val="single" w:sz="4" w:space="0" w:color="auto"/>
              <w:right w:val="single" w:sz="4" w:space="0" w:color="auto"/>
            </w:tcBorders>
            <w:shd w:val="clear" w:color="auto" w:fill="C6EFCE"/>
            <w:noWrap/>
          </w:tcPr>
          <w:p w14:paraId="2C8277A1" w14:textId="77777777" w:rsidR="00895175" w:rsidRPr="0051384F" w:rsidRDefault="00895175" w:rsidP="0066695B">
            <w:pPr>
              <w:spacing w:after="0"/>
              <w:jc w:val="right"/>
              <w:rPr>
                <w:rFonts w:ascii="Times New Roman" w:hAnsi="Times New Roman" w:cs="Times New Roman"/>
                <w:noProof/>
                <w:color w:val="006100"/>
                <w:sz w:val="20"/>
                <w:szCs w:val="20"/>
              </w:rPr>
            </w:pPr>
            <w:r>
              <w:rPr>
                <w:rFonts w:ascii="Times New Roman" w:hAnsi="Times New Roman"/>
                <w:noProof/>
                <w:color w:val="006100"/>
                <w:sz w:val="20"/>
              </w:rPr>
              <w:t>Брой</w:t>
            </w:r>
          </w:p>
        </w:tc>
        <w:tc>
          <w:tcPr>
            <w:tcW w:w="850" w:type="dxa"/>
            <w:tcBorders>
              <w:top w:val="nil"/>
              <w:left w:val="nil"/>
              <w:bottom w:val="single" w:sz="4" w:space="0" w:color="auto"/>
              <w:right w:val="single" w:sz="4" w:space="0" w:color="auto"/>
            </w:tcBorders>
            <w:shd w:val="clear" w:color="auto" w:fill="C6EFCE"/>
            <w:noWrap/>
          </w:tcPr>
          <w:p w14:paraId="24342B10" w14:textId="4288455F" w:rsidR="00895175" w:rsidRPr="0051384F" w:rsidRDefault="00D15D6D" w:rsidP="00D15D6D">
            <w:pPr>
              <w:spacing w:after="0"/>
              <w:jc w:val="right"/>
              <w:rPr>
                <w:rFonts w:ascii="Times New Roman" w:hAnsi="Times New Roman" w:cs="Times New Roman"/>
                <w:noProof/>
                <w:color w:val="006100"/>
                <w:sz w:val="20"/>
                <w:szCs w:val="20"/>
              </w:rPr>
            </w:pPr>
            <w:r>
              <w:rPr>
                <w:rFonts w:ascii="Times New Roman" w:hAnsi="Times New Roman"/>
                <w:noProof/>
                <w:color w:val="006100"/>
                <w:sz w:val="20"/>
              </w:rPr>
              <w:t>770</w:t>
            </w:r>
          </w:p>
        </w:tc>
        <w:tc>
          <w:tcPr>
            <w:tcW w:w="709" w:type="dxa"/>
            <w:tcBorders>
              <w:top w:val="nil"/>
              <w:left w:val="nil"/>
              <w:bottom w:val="single" w:sz="4" w:space="0" w:color="auto"/>
              <w:right w:val="single" w:sz="4" w:space="0" w:color="auto"/>
            </w:tcBorders>
            <w:shd w:val="clear" w:color="auto" w:fill="C6EFCE"/>
            <w:noWrap/>
          </w:tcPr>
          <w:p w14:paraId="0064DAE9" w14:textId="00DA2448" w:rsidR="00895175" w:rsidRPr="0051384F" w:rsidRDefault="00D15D6D" w:rsidP="00D15D6D">
            <w:pPr>
              <w:spacing w:after="0"/>
              <w:jc w:val="right"/>
              <w:rPr>
                <w:rFonts w:ascii="Times New Roman" w:hAnsi="Times New Roman" w:cs="Times New Roman"/>
                <w:noProof/>
                <w:color w:val="006100"/>
                <w:sz w:val="20"/>
                <w:szCs w:val="20"/>
              </w:rPr>
            </w:pPr>
            <w:r>
              <w:rPr>
                <w:rFonts w:ascii="Times New Roman" w:hAnsi="Times New Roman"/>
                <w:noProof/>
                <w:color w:val="006100"/>
                <w:sz w:val="20"/>
              </w:rPr>
              <w:t>850</w:t>
            </w:r>
          </w:p>
        </w:tc>
        <w:tc>
          <w:tcPr>
            <w:tcW w:w="850" w:type="dxa"/>
            <w:tcBorders>
              <w:top w:val="nil"/>
              <w:left w:val="nil"/>
              <w:bottom w:val="single" w:sz="4" w:space="0" w:color="auto"/>
              <w:right w:val="single" w:sz="4" w:space="0" w:color="auto"/>
            </w:tcBorders>
            <w:shd w:val="clear" w:color="auto" w:fill="C6EFCE"/>
            <w:noWrap/>
          </w:tcPr>
          <w:p w14:paraId="382EC4CF" w14:textId="4BAE9EAB" w:rsidR="00895175" w:rsidRPr="0051384F" w:rsidRDefault="00895175" w:rsidP="0066695B">
            <w:pPr>
              <w:spacing w:after="0"/>
              <w:jc w:val="center"/>
              <w:rPr>
                <w:rFonts w:ascii="Times New Roman" w:hAnsi="Times New Roman" w:cs="Times New Roman"/>
                <w:noProof/>
                <w:color w:val="006100"/>
                <w:sz w:val="20"/>
                <w:szCs w:val="20"/>
              </w:rPr>
            </w:pPr>
            <w:r>
              <w:rPr>
                <w:rFonts w:ascii="Times New Roman" w:hAnsi="Times New Roman"/>
                <w:noProof/>
                <w:color w:val="006100"/>
                <w:sz w:val="20"/>
              </w:rPr>
              <w:t>T2</w:t>
            </w:r>
          </w:p>
        </w:tc>
        <w:tc>
          <w:tcPr>
            <w:tcW w:w="851" w:type="dxa"/>
            <w:tcBorders>
              <w:top w:val="nil"/>
              <w:left w:val="nil"/>
              <w:bottom w:val="single" w:sz="4" w:space="0" w:color="auto"/>
              <w:right w:val="single" w:sz="4" w:space="0" w:color="auto"/>
            </w:tcBorders>
            <w:shd w:val="clear" w:color="auto" w:fill="C6EFCE"/>
            <w:noWrap/>
          </w:tcPr>
          <w:p w14:paraId="7540FA76" w14:textId="0509EF07" w:rsidR="00895175" w:rsidRPr="0051384F" w:rsidRDefault="00895175" w:rsidP="0066695B">
            <w:pPr>
              <w:spacing w:after="0"/>
              <w:jc w:val="center"/>
              <w:rPr>
                <w:rFonts w:ascii="Times New Roman" w:hAnsi="Times New Roman" w:cs="Times New Roman"/>
                <w:noProof/>
                <w:color w:val="006100"/>
                <w:sz w:val="20"/>
                <w:szCs w:val="20"/>
              </w:rPr>
            </w:pPr>
            <w:r>
              <w:rPr>
                <w:rFonts w:ascii="Times New Roman" w:hAnsi="Times New Roman"/>
                <w:noProof/>
                <w:color w:val="006100"/>
                <w:sz w:val="20"/>
              </w:rPr>
              <w:t>2026</w:t>
            </w:r>
          </w:p>
        </w:tc>
        <w:tc>
          <w:tcPr>
            <w:tcW w:w="4450" w:type="dxa"/>
            <w:tcBorders>
              <w:top w:val="nil"/>
              <w:left w:val="nil"/>
              <w:bottom w:val="single" w:sz="4" w:space="0" w:color="auto"/>
              <w:right w:val="single" w:sz="4" w:space="0" w:color="auto"/>
            </w:tcBorders>
            <w:shd w:val="clear" w:color="auto" w:fill="C6EFCE"/>
            <w:noWrap/>
          </w:tcPr>
          <w:p w14:paraId="58D5711C" w14:textId="1278F343" w:rsidR="00895175" w:rsidRPr="0051384F" w:rsidRDefault="00895175" w:rsidP="0066695B">
            <w:pPr>
              <w:spacing w:after="0"/>
              <w:jc w:val="both"/>
              <w:rPr>
                <w:rFonts w:ascii="Times New Roman" w:hAnsi="Times New Roman" w:cs="Times New Roman"/>
                <w:noProof/>
                <w:color w:val="006100"/>
                <w:sz w:val="20"/>
                <w:szCs w:val="20"/>
              </w:rPr>
            </w:pPr>
            <w:r>
              <w:rPr>
                <w:rFonts w:ascii="Times New Roman" w:hAnsi="Times New Roman"/>
                <w:noProof/>
                <w:color w:val="006100"/>
                <w:sz w:val="20"/>
              </w:rPr>
              <w:t xml:space="preserve">Университетите предлагат най-малко 850 места в специалности за медицински сестри за академичната 2025—2026 г. в сравнение със 770 за академичната 2021—2022 г. </w:t>
            </w:r>
          </w:p>
          <w:p w14:paraId="0F611CE9" w14:textId="77777777" w:rsidR="00895175" w:rsidRPr="008A0F8A" w:rsidRDefault="00895175" w:rsidP="0066695B">
            <w:pPr>
              <w:spacing w:after="0"/>
              <w:jc w:val="both"/>
              <w:rPr>
                <w:rFonts w:ascii="Times New Roman" w:hAnsi="Times New Roman" w:cs="Times New Roman"/>
                <w:noProof/>
                <w:color w:val="006100"/>
                <w:sz w:val="20"/>
                <w:szCs w:val="20"/>
                <w:lang w:val="ru-RU"/>
              </w:rPr>
            </w:pPr>
          </w:p>
          <w:p w14:paraId="1B9ED30A" w14:textId="6D2528B9" w:rsidR="00895175" w:rsidRPr="0051384F" w:rsidRDefault="00895175" w:rsidP="003B67F9">
            <w:pPr>
              <w:spacing w:after="0"/>
              <w:jc w:val="both"/>
              <w:rPr>
                <w:rFonts w:ascii="Times New Roman" w:hAnsi="Times New Roman" w:cs="Times New Roman"/>
                <w:noProof/>
                <w:color w:val="006100"/>
                <w:sz w:val="20"/>
                <w:szCs w:val="20"/>
              </w:rPr>
            </w:pPr>
            <w:r>
              <w:rPr>
                <w:rFonts w:ascii="Times New Roman" w:hAnsi="Times New Roman"/>
                <w:noProof/>
                <w:color w:val="006100"/>
                <w:sz w:val="20"/>
              </w:rPr>
              <w:t>Увеличаването на броя на местата, предлагани от университетите, се осъществява постепенно през периода 1 януари 2022 г.—30 юни 2026 г.</w:t>
            </w:r>
          </w:p>
        </w:tc>
      </w:tr>
      <w:tr w:rsidR="00895175" w:rsidRPr="005241FC" w14:paraId="1FFAE0C8" w14:textId="77777777" w:rsidTr="0DF4F0A1">
        <w:trPr>
          <w:trHeight w:val="309"/>
          <w:jc w:val="center"/>
        </w:trPr>
        <w:tc>
          <w:tcPr>
            <w:tcW w:w="595" w:type="dxa"/>
            <w:tcBorders>
              <w:top w:val="nil"/>
              <w:left w:val="single" w:sz="4" w:space="0" w:color="auto"/>
              <w:bottom w:val="single" w:sz="4" w:space="0" w:color="auto"/>
              <w:right w:val="single" w:sz="4" w:space="0" w:color="auto"/>
            </w:tcBorders>
            <w:shd w:val="clear" w:color="auto" w:fill="C6EFCE"/>
            <w:noWrap/>
          </w:tcPr>
          <w:p w14:paraId="6B965B33" w14:textId="703D74DA" w:rsidR="00895175" w:rsidRPr="0051384F" w:rsidRDefault="00992016" w:rsidP="00B033A6">
            <w:pPr>
              <w:spacing w:after="0"/>
              <w:jc w:val="center"/>
              <w:rPr>
                <w:rFonts w:ascii="Times New Roman" w:hAnsi="Times New Roman" w:cs="Times New Roman"/>
                <w:noProof/>
                <w:color w:val="006100"/>
                <w:sz w:val="20"/>
                <w:szCs w:val="20"/>
              </w:rPr>
            </w:pPr>
            <w:r>
              <w:rPr>
                <w:rFonts w:ascii="Times New Roman" w:hAnsi="Times New Roman"/>
                <w:noProof/>
                <w:color w:val="006100"/>
                <w:sz w:val="20"/>
              </w:rPr>
              <w:t>326</w:t>
            </w:r>
          </w:p>
        </w:tc>
        <w:tc>
          <w:tcPr>
            <w:tcW w:w="1701" w:type="dxa"/>
            <w:tcBorders>
              <w:top w:val="nil"/>
              <w:left w:val="nil"/>
              <w:bottom w:val="single" w:sz="4" w:space="0" w:color="auto"/>
              <w:right w:val="single" w:sz="4" w:space="0" w:color="auto"/>
            </w:tcBorders>
            <w:shd w:val="clear" w:color="auto" w:fill="C6EFCE"/>
            <w:noWrap/>
          </w:tcPr>
          <w:p w14:paraId="0235AE57" w14:textId="77777777" w:rsidR="00895175" w:rsidRPr="0051384F" w:rsidRDefault="00895175" w:rsidP="003B02A1">
            <w:pPr>
              <w:spacing w:after="0"/>
              <w:rPr>
                <w:rFonts w:ascii="Times New Roman" w:hAnsi="Times New Roman" w:cs="Times New Roman"/>
                <w:noProof/>
                <w:color w:val="006100"/>
                <w:sz w:val="20"/>
                <w:szCs w:val="20"/>
              </w:rPr>
            </w:pPr>
            <w:r>
              <w:rPr>
                <w:rFonts w:ascii="Times New Roman" w:hAnsi="Times New Roman"/>
                <w:noProof/>
                <w:color w:val="006100"/>
                <w:sz w:val="20"/>
              </w:rPr>
              <w:t>C12.R4:</w:t>
            </w:r>
          </w:p>
          <w:p w14:paraId="606DE7FD" w14:textId="77777777" w:rsidR="00895175" w:rsidRPr="0051384F" w:rsidRDefault="00895175" w:rsidP="003B02A1">
            <w:pPr>
              <w:spacing w:after="0"/>
              <w:rPr>
                <w:rFonts w:ascii="Times New Roman" w:hAnsi="Times New Roman" w:cs="Times New Roman"/>
                <w:noProof/>
                <w:color w:val="006100"/>
                <w:sz w:val="20"/>
                <w:szCs w:val="20"/>
              </w:rPr>
            </w:pPr>
            <w:r>
              <w:rPr>
                <w:rFonts w:ascii="Times New Roman" w:hAnsi="Times New Roman"/>
                <w:noProof/>
                <w:color w:val="006100"/>
                <w:sz w:val="20"/>
              </w:rPr>
              <w:t>Стратегическа рамка и план за увеличаване на наличието на първични и амбулаторни грижи</w:t>
            </w:r>
          </w:p>
        </w:tc>
        <w:tc>
          <w:tcPr>
            <w:tcW w:w="993" w:type="dxa"/>
            <w:tcBorders>
              <w:top w:val="nil"/>
              <w:left w:val="nil"/>
              <w:bottom w:val="single" w:sz="4" w:space="0" w:color="auto"/>
              <w:right w:val="single" w:sz="4" w:space="0" w:color="auto"/>
            </w:tcBorders>
            <w:shd w:val="clear" w:color="auto" w:fill="C6EFCE"/>
            <w:noWrap/>
          </w:tcPr>
          <w:p w14:paraId="7369D171" w14:textId="77777777" w:rsidR="00895175" w:rsidRPr="0051384F" w:rsidRDefault="00895175" w:rsidP="0066695B">
            <w:pPr>
              <w:spacing w:after="0"/>
              <w:jc w:val="center"/>
              <w:rPr>
                <w:rFonts w:ascii="Times New Roman" w:hAnsi="Times New Roman" w:cs="Times New Roman"/>
                <w:noProof/>
                <w:color w:val="006100"/>
                <w:sz w:val="20"/>
                <w:szCs w:val="20"/>
              </w:rPr>
            </w:pPr>
            <w:r>
              <w:rPr>
                <w:rFonts w:ascii="Times New Roman" w:hAnsi="Times New Roman"/>
                <w:noProof/>
                <w:color w:val="006100"/>
                <w:sz w:val="20"/>
              </w:rPr>
              <w:t>Ключов етап</w:t>
            </w:r>
          </w:p>
        </w:tc>
        <w:tc>
          <w:tcPr>
            <w:tcW w:w="1901" w:type="dxa"/>
            <w:tcBorders>
              <w:top w:val="nil"/>
              <w:left w:val="nil"/>
              <w:bottom w:val="single" w:sz="4" w:space="0" w:color="auto"/>
              <w:right w:val="single" w:sz="4" w:space="0" w:color="auto"/>
            </w:tcBorders>
            <w:shd w:val="clear" w:color="auto" w:fill="C6EFCE"/>
            <w:noWrap/>
          </w:tcPr>
          <w:p w14:paraId="3D94C88C" w14:textId="77777777" w:rsidR="00895175" w:rsidRPr="0051384F" w:rsidRDefault="00895175"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Национална стратегия за подобряване на достъпността и капацитета на първичната извънболнична медицинска помощ и осигуряване на балансирано териториално разпределение на медицинската помощ и здравните грижи в Република България 2021—2027 г. и план за действие за изпълнение на стратегията.</w:t>
            </w:r>
          </w:p>
        </w:tc>
        <w:tc>
          <w:tcPr>
            <w:tcW w:w="1473" w:type="dxa"/>
            <w:tcBorders>
              <w:top w:val="nil"/>
              <w:left w:val="nil"/>
              <w:bottom w:val="single" w:sz="4" w:space="0" w:color="auto"/>
              <w:right w:val="single" w:sz="4" w:space="0" w:color="auto"/>
            </w:tcBorders>
            <w:shd w:val="clear" w:color="auto" w:fill="C6EFCE"/>
            <w:noWrap/>
          </w:tcPr>
          <w:p w14:paraId="0FDE7D4D" w14:textId="01477B8F" w:rsidR="00895175" w:rsidRPr="0051384F" w:rsidRDefault="00895175" w:rsidP="0066695B">
            <w:pPr>
              <w:spacing w:after="0"/>
              <w:jc w:val="center"/>
              <w:rPr>
                <w:rFonts w:ascii="Times New Roman" w:hAnsi="Times New Roman" w:cs="Times New Roman"/>
                <w:noProof/>
                <w:color w:val="006100"/>
                <w:sz w:val="20"/>
                <w:szCs w:val="20"/>
              </w:rPr>
            </w:pPr>
            <w:r>
              <w:rPr>
                <w:rFonts w:ascii="Times New Roman" w:hAnsi="Times New Roman"/>
                <w:noProof/>
                <w:color w:val="006100"/>
                <w:sz w:val="20"/>
              </w:rPr>
              <w:t xml:space="preserve">Приемане на стратегията и плана за действие от Министерския съвет </w:t>
            </w:r>
          </w:p>
        </w:tc>
        <w:tc>
          <w:tcPr>
            <w:tcW w:w="937" w:type="dxa"/>
            <w:tcBorders>
              <w:top w:val="nil"/>
              <w:left w:val="nil"/>
              <w:bottom w:val="single" w:sz="4" w:space="0" w:color="auto"/>
              <w:right w:val="single" w:sz="4" w:space="0" w:color="auto"/>
            </w:tcBorders>
            <w:shd w:val="clear" w:color="auto" w:fill="C6EFCE"/>
            <w:noWrap/>
          </w:tcPr>
          <w:p w14:paraId="6579AFAA" w14:textId="77777777" w:rsidR="00895175" w:rsidRPr="008A0F8A" w:rsidRDefault="00895175" w:rsidP="0066695B">
            <w:pPr>
              <w:spacing w:after="0"/>
              <w:jc w:val="right"/>
              <w:rPr>
                <w:rFonts w:ascii="Times New Roman" w:hAnsi="Times New Roman" w:cs="Times New Roman"/>
                <w:noProof/>
                <w:color w:val="006100"/>
                <w:sz w:val="20"/>
                <w:szCs w:val="20"/>
                <w:lang w:val="ru-RU"/>
              </w:rPr>
            </w:pPr>
          </w:p>
        </w:tc>
        <w:tc>
          <w:tcPr>
            <w:tcW w:w="850" w:type="dxa"/>
            <w:tcBorders>
              <w:top w:val="nil"/>
              <w:left w:val="nil"/>
              <w:bottom w:val="single" w:sz="4" w:space="0" w:color="auto"/>
              <w:right w:val="single" w:sz="4" w:space="0" w:color="auto"/>
            </w:tcBorders>
            <w:shd w:val="clear" w:color="auto" w:fill="C6EFCE"/>
            <w:noWrap/>
          </w:tcPr>
          <w:p w14:paraId="0854EB8C" w14:textId="77777777" w:rsidR="00895175" w:rsidRPr="008A0F8A" w:rsidRDefault="00895175" w:rsidP="0066695B">
            <w:pPr>
              <w:spacing w:after="0"/>
              <w:jc w:val="right"/>
              <w:rPr>
                <w:rFonts w:ascii="Times New Roman" w:hAnsi="Times New Roman" w:cs="Times New Roman"/>
                <w:noProof/>
                <w:color w:val="006100"/>
                <w:sz w:val="20"/>
                <w:szCs w:val="20"/>
                <w:lang w:val="ru-RU"/>
              </w:rPr>
            </w:pPr>
          </w:p>
        </w:tc>
        <w:tc>
          <w:tcPr>
            <w:tcW w:w="709" w:type="dxa"/>
            <w:tcBorders>
              <w:top w:val="nil"/>
              <w:left w:val="nil"/>
              <w:bottom w:val="single" w:sz="4" w:space="0" w:color="auto"/>
              <w:right w:val="single" w:sz="4" w:space="0" w:color="auto"/>
            </w:tcBorders>
            <w:shd w:val="clear" w:color="auto" w:fill="C6EFCE"/>
            <w:noWrap/>
          </w:tcPr>
          <w:p w14:paraId="3CDD04B8" w14:textId="77777777" w:rsidR="00895175" w:rsidRPr="008A0F8A" w:rsidRDefault="00895175" w:rsidP="0066695B">
            <w:pPr>
              <w:spacing w:after="0"/>
              <w:jc w:val="right"/>
              <w:rPr>
                <w:rFonts w:ascii="Times New Roman" w:hAnsi="Times New Roman" w:cs="Times New Roman"/>
                <w:noProof/>
                <w:color w:val="006100"/>
                <w:sz w:val="20"/>
                <w:szCs w:val="20"/>
                <w:lang w:val="ru-RU"/>
              </w:rPr>
            </w:pPr>
          </w:p>
        </w:tc>
        <w:tc>
          <w:tcPr>
            <w:tcW w:w="850" w:type="dxa"/>
            <w:tcBorders>
              <w:top w:val="nil"/>
              <w:left w:val="nil"/>
              <w:bottom w:val="single" w:sz="4" w:space="0" w:color="auto"/>
              <w:right w:val="single" w:sz="4" w:space="0" w:color="auto"/>
            </w:tcBorders>
            <w:shd w:val="clear" w:color="auto" w:fill="C6EFCE"/>
            <w:noWrap/>
          </w:tcPr>
          <w:p w14:paraId="060ADCCA" w14:textId="45983366" w:rsidR="00895175" w:rsidRPr="0051384F" w:rsidRDefault="00895175" w:rsidP="0066695B">
            <w:pPr>
              <w:spacing w:after="0"/>
              <w:jc w:val="center"/>
              <w:rPr>
                <w:rFonts w:ascii="Times New Roman" w:hAnsi="Times New Roman" w:cs="Times New Roman"/>
                <w:noProof/>
                <w:color w:val="006100"/>
                <w:sz w:val="20"/>
                <w:szCs w:val="20"/>
              </w:rPr>
            </w:pPr>
            <w:r>
              <w:rPr>
                <w:rFonts w:ascii="Times New Roman" w:hAnsi="Times New Roman"/>
                <w:noProof/>
                <w:color w:val="006100"/>
                <w:sz w:val="20"/>
              </w:rPr>
              <w:t>T1</w:t>
            </w:r>
          </w:p>
        </w:tc>
        <w:tc>
          <w:tcPr>
            <w:tcW w:w="851" w:type="dxa"/>
            <w:tcBorders>
              <w:top w:val="nil"/>
              <w:left w:val="nil"/>
              <w:bottom w:val="single" w:sz="4" w:space="0" w:color="auto"/>
              <w:right w:val="single" w:sz="4" w:space="0" w:color="auto"/>
            </w:tcBorders>
            <w:shd w:val="clear" w:color="auto" w:fill="C6EFCE"/>
            <w:noWrap/>
          </w:tcPr>
          <w:p w14:paraId="69C4F1F8" w14:textId="7AF8A2FF" w:rsidR="00895175" w:rsidRPr="0051384F" w:rsidRDefault="00895175" w:rsidP="0066695B">
            <w:pPr>
              <w:spacing w:after="0"/>
              <w:jc w:val="center"/>
              <w:rPr>
                <w:rFonts w:ascii="Times New Roman" w:hAnsi="Times New Roman" w:cs="Times New Roman"/>
                <w:noProof/>
                <w:color w:val="006100"/>
                <w:sz w:val="20"/>
                <w:szCs w:val="20"/>
              </w:rPr>
            </w:pPr>
            <w:r>
              <w:rPr>
                <w:rFonts w:ascii="Times New Roman" w:hAnsi="Times New Roman"/>
                <w:noProof/>
                <w:color w:val="006100"/>
                <w:sz w:val="20"/>
              </w:rPr>
              <w:t>2023</w:t>
            </w:r>
          </w:p>
        </w:tc>
        <w:tc>
          <w:tcPr>
            <w:tcW w:w="4450" w:type="dxa"/>
            <w:tcBorders>
              <w:top w:val="nil"/>
              <w:left w:val="nil"/>
              <w:bottom w:val="single" w:sz="4" w:space="0" w:color="auto"/>
              <w:right w:val="single" w:sz="4" w:space="0" w:color="auto"/>
            </w:tcBorders>
            <w:shd w:val="clear" w:color="auto" w:fill="C6EFCE"/>
            <w:noWrap/>
          </w:tcPr>
          <w:p w14:paraId="4383A6F6" w14:textId="2E5BD4C6" w:rsidR="00895175" w:rsidRPr="0051384F" w:rsidRDefault="00895175" w:rsidP="0066695B">
            <w:pPr>
              <w:spacing w:after="0"/>
              <w:jc w:val="both"/>
              <w:rPr>
                <w:rFonts w:ascii="Times New Roman" w:hAnsi="Times New Roman" w:cs="Times New Roman"/>
                <w:noProof/>
                <w:color w:val="006100"/>
                <w:sz w:val="20"/>
                <w:szCs w:val="20"/>
              </w:rPr>
            </w:pPr>
            <w:r>
              <w:rPr>
                <w:rFonts w:ascii="Times New Roman" w:hAnsi="Times New Roman"/>
                <w:noProof/>
                <w:color w:val="006100"/>
                <w:sz w:val="20"/>
              </w:rPr>
              <w:t xml:space="preserve">В Националната стратегия за подобряване на достъпността и капацитета на първичната извънболнична медицинска помощ и осигуряване на балансирано териториално разпределение на медицинската помощ и здравните грижи в Република България 2021—2027 г. се дават препоръки, обхващащи: </w:t>
            </w:r>
          </w:p>
          <w:p w14:paraId="2CA90C7A" w14:textId="77777777" w:rsidR="00895175" w:rsidRPr="0051384F" w:rsidRDefault="00895175" w:rsidP="002E73ED">
            <w:pPr>
              <w:pStyle w:val="ListParagraph"/>
              <w:numPr>
                <w:ilvl w:val="0"/>
                <w:numId w:val="11"/>
              </w:numPr>
              <w:spacing w:after="0"/>
              <w:ind w:left="360"/>
              <w:jc w:val="both"/>
              <w:rPr>
                <w:rFonts w:ascii="Times New Roman" w:hAnsi="Times New Roman" w:cs="Times New Roman"/>
                <w:noProof/>
                <w:color w:val="006100"/>
                <w:sz w:val="20"/>
                <w:szCs w:val="20"/>
              </w:rPr>
            </w:pPr>
            <w:r>
              <w:rPr>
                <w:rFonts w:ascii="Times New Roman" w:hAnsi="Times New Roman"/>
                <w:noProof/>
                <w:color w:val="006100"/>
                <w:sz w:val="20"/>
              </w:rPr>
              <w:t xml:space="preserve">наличността и достъпа до първични амбулаторни грижи; </w:t>
            </w:r>
          </w:p>
          <w:p w14:paraId="6C506761" w14:textId="77777777" w:rsidR="00895175" w:rsidRPr="0051384F" w:rsidRDefault="00895175" w:rsidP="002E73ED">
            <w:pPr>
              <w:pStyle w:val="ListParagraph"/>
              <w:numPr>
                <w:ilvl w:val="0"/>
                <w:numId w:val="11"/>
              </w:numPr>
              <w:spacing w:after="0"/>
              <w:ind w:left="360"/>
              <w:jc w:val="both"/>
              <w:rPr>
                <w:rFonts w:ascii="Times New Roman" w:hAnsi="Times New Roman" w:cs="Times New Roman"/>
                <w:noProof/>
                <w:color w:val="006100"/>
                <w:sz w:val="20"/>
                <w:szCs w:val="20"/>
              </w:rPr>
            </w:pPr>
            <w:r>
              <w:rPr>
                <w:rFonts w:ascii="Times New Roman" w:hAnsi="Times New Roman"/>
                <w:noProof/>
                <w:color w:val="006100"/>
                <w:sz w:val="20"/>
              </w:rPr>
              <w:t>медицинските услуги, които могат да се предоставят при амбулаторни грижи;</w:t>
            </w:r>
          </w:p>
          <w:p w14:paraId="639AE3E1" w14:textId="2C749AF9" w:rsidR="00895175" w:rsidRPr="0051384F" w:rsidRDefault="00895175" w:rsidP="002E73ED">
            <w:pPr>
              <w:pStyle w:val="ListParagraph"/>
              <w:numPr>
                <w:ilvl w:val="0"/>
                <w:numId w:val="11"/>
              </w:numPr>
              <w:spacing w:after="0"/>
              <w:ind w:left="360"/>
              <w:jc w:val="both"/>
              <w:rPr>
                <w:rFonts w:ascii="Times New Roman" w:hAnsi="Times New Roman" w:cs="Times New Roman"/>
                <w:noProof/>
                <w:color w:val="006100"/>
                <w:sz w:val="20"/>
                <w:szCs w:val="20"/>
              </w:rPr>
            </w:pPr>
            <w:r>
              <w:rPr>
                <w:rFonts w:ascii="Times New Roman" w:hAnsi="Times New Roman"/>
                <w:noProof/>
                <w:color w:val="006100"/>
                <w:sz w:val="20"/>
              </w:rPr>
              <w:t>регионалните дисбаланси при предоставянето на първично амбулаторно здравно обслужване.</w:t>
            </w:r>
          </w:p>
          <w:p w14:paraId="48252174" w14:textId="77777777" w:rsidR="00895175" w:rsidRPr="008A0F8A" w:rsidRDefault="00895175" w:rsidP="0066695B">
            <w:pPr>
              <w:pStyle w:val="ListParagraph"/>
              <w:spacing w:after="0"/>
              <w:jc w:val="both"/>
              <w:rPr>
                <w:rFonts w:ascii="Times New Roman" w:hAnsi="Times New Roman" w:cs="Times New Roman"/>
                <w:noProof/>
                <w:color w:val="006100"/>
                <w:sz w:val="20"/>
                <w:szCs w:val="20"/>
                <w:lang w:val="ru-RU"/>
              </w:rPr>
            </w:pPr>
          </w:p>
          <w:p w14:paraId="53813C80" w14:textId="77777777" w:rsidR="00895175" w:rsidRPr="0051384F" w:rsidRDefault="00895175" w:rsidP="0066695B">
            <w:pPr>
              <w:spacing w:after="0"/>
              <w:jc w:val="both"/>
              <w:rPr>
                <w:rFonts w:ascii="Times New Roman" w:hAnsi="Times New Roman" w:cs="Times New Roman"/>
                <w:noProof/>
                <w:color w:val="006100"/>
                <w:sz w:val="20"/>
                <w:szCs w:val="20"/>
              </w:rPr>
            </w:pPr>
            <w:r>
              <w:rPr>
                <w:rFonts w:ascii="Times New Roman" w:hAnsi="Times New Roman"/>
                <w:noProof/>
                <w:color w:val="006100"/>
                <w:sz w:val="20"/>
              </w:rPr>
              <w:t>В плана за действие се формулират мерки и действия, включително графика за изпълнението на препоръките от стратегията.</w:t>
            </w:r>
          </w:p>
        </w:tc>
      </w:tr>
      <w:tr w:rsidR="00895175" w:rsidRPr="005241FC" w14:paraId="752F878C" w14:textId="77777777" w:rsidTr="0DF4F0A1">
        <w:trPr>
          <w:trHeight w:val="309"/>
          <w:jc w:val="center"/>
        </w:trPr>
        <w:tc>
          <w:tcPr>
            <w:tcW w:w="595" w:type="dxa"/>
            <w:tcBorders>
              <w:top w:val="nil"/>
              <w:left w:val="single" w:sz="4" w:space="0" w:color="auto"/>
              <w:bottom w:val="single" w:sz="4" w:space="0" w:color="auto"/>
              <w:right w:val="single" w:sz="4" w:space="0" w:color="auto"/>
            </w:tcBorders>
            <w:shd w:val="clear" w:color="auto" w:fill="C6EFCE"/>
            <w:noWrap/>
          </w:tcPr>
          <w:p w14:paraId="768E09CE" w14:textId="12D0A105" w:rsidR="00895175" w:rsidRPr="0051384F" w:rsidRDefault="00992016" w:rsidP="0066695B">
            <w:pPr>
              <w:spacing w:after="0"/>
              <w:jc w:val="center"/>
              <w:rPr>
                <w:rFonts w:ascii="Times New Roman" w:hAnsi="Times New Roman" w:cs="Times New Roman"/>
                <w:noProof/>
                <w:color w:val="006100"/>
                <w:sz w:val="20"/>
                <w:szCs w:val="20"/>
              </w:rPr>
            </w:pPr>
            <w:r>
              <w:rPr>
                <w:rFonts w:ascii="Times New Roman" w:hAnsi="Times New Roman"/>
                <w:noProof/>
                <w:color w:val="006100"/>
                <w:sz w:val="20"/>
              </w:rPr>
              <w:t>327</w:t>
            </w:r>
          </w:p>
        </w:tc>
        <w:tc>
          <w:tcPr>
            <w:tcW w:w="1701" w:type="dxa"/>
            <w:tcBorders>
              <w:top w:val="nil"/>
              <w:left w:val="nil"/>
              <w:bottom w:val="single" w:sz="4" w:space="0" w:color="auto"/>
              <w:right w:val="single" w:sz="4" w:space="0" w:color="auto"/>
            </w:tcBorders>
            <w:shd w:val="clear" w:color="auto" w:fill="C6EFCE"/>
            <w:noWrap/>
          </w:tcPr>
          <w:p w14:paraId="421B2A08" w14:textId="77777777" w:rsidR="00895175" w:rsidRPr="0051384F" w:rsidRDefault="00895175" w:rsidP="003B02A1">
            <w:pPr>
              <w:spacing w:after="0"/>
              <w:rPr>
                <w:rFonts w:ascii="Times New Roman" w:hAnsi="Times New Roman" w:cs="Times New Roman"/>
                <w:noProof/>
                <w:color w:val="006100"/>
                <w:sz w:val="20"/>
                <w:szCs w:val="20"/>
              </w:rPr>
            </w:pPr>
            <w:r>
              <w:rPr>
                <w:rFonts w:ascii="Times New Roman" w:hAnsi="Times New Roman"/>
                <w:noProof/>
                <w:color w:val="006100"/>
                <w:sz w:val="20"/>
              </w:rPr>
              <w:t>C12.R5:</w:t>
            </w:r>
          </w:p>
          <w:p w14:paraId="27285B09" w14:textId="13FE6FC6" w:rsidR="00895175" w:rsidRPr="0051384F" w:rsidRDefault="00895175" w:rsidP="003B02A1">
            <w:pPr>
              <w:spacing w:after="0"/>
              <w:rPr>
                <w:rFonts w:ascii="Times New Roman" w:hAnsi="Times New Roman" w:cs="Times New Roman"/>
                <w:noProof/>
                <w:color w:val="006100"/>
                <w:sz w:val="20"/>
                <w:szCs w:val="20"/>
              </w:rPr>
            </w:pPr>
            <w:r>
              <w:rPr>
                <w:rFonts w:ascii="Times New Roman" w:hAnsi="Times New Roman"/>
                <w:noProof/>
                <w:color w:val="006100"/>
                <w:sz w:val="20"/>
              </w:rPr>
              <w:t>Подкрепа за по-доброто осигуряване на профилактични скринингови дейности</w:t>
            </w:r>
          </w:p>
        </w:tc>
        <w:tc>
          <w:tcPr>
            <w:tcW w:w="993" w:type="dxa"/>
            <w:tcBorders>
              <w:top w:val="nil"/>
              <w:left w:val="nil"/>
              <w:bottom w:val="single" w:sz="4" w:space="0" w:color="auto"/>
              <w:right w:val="single" w:sz="4" w:space="0" w:color="auto"/>
            </w:tcBorders>
            <w:shd w:val="clear" w:color="auto" w:fill="C6EFCE"/>
            <w:noWrap/>
          </w:tcPr>
          <w:p w14:paraId="523931D9" w14:textId="77777777" w:rsidR="00895175" w:rsidRPr="0051384F" w:rsidRDefault="00895175" w:rsidP="0066695B">
            <w:pPr>
              <w:spacing w:after="0"/>
              <w:jc w:val="center"/>
              <w:rPr>
                <w:rFonts w:ascii="Times New Roman" w:hAnsi="Times New Roman" w:cs="Times New Roman"/>
                <w:noProof/>
                <w:color w:val="006100"/>
                <w:sz w:val="20"/>
                <w:szCs w:val="20"/>
              </w:rPr>
            </w:pPr>
            <w:r>
              <w:rPr>
                <w:rFonts w:ascii="Times New Roman" w:hAnsi="Times New Roman"/>
                <w:noProof/>
                <w:color w:val="006100"/>
                <w:sz w:val="20"/>
              </w:rPr>
              <w:t>Ключов етап</w:t>
            </w:r>
          </w:p>
        </w:tc>
        <w:tc>
          <w:tcPr>
            <w:tcW w:w="1901" w:type="dxa"/>
            <w:tcBorders>
              <w:top w:val="nil"/>
              <w:left w:val="nil"/>
              <w:bottom w:val="single" w:sz="4" w:space="0" w:color="auto"/>
              <w:right w:val="single" w:sz="4" w:space="0" w:color="auto"/>
            </w:tcBorders>
            <w:shd w:val="clear" w:color="auto" w:fill="C6EFCE"/>
            <w:noWrap/>
          </w:tcPr>
          <w:p w14:paraId="773A39E8" w14:textId="77777777" w:rsidR="00895175" w:rsidRPr="0051384F" w:rsidRDefault="00895175"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Национален план за развитие на широкообхватен пренатален и неонатален скрининг и скрининг на социалнозначимите заболявания 2021—2027 г.</w:t>
            </w:r>
          </w:p>
        </w:tc>
        <w:tc>
          <w:tcPr>
            <w:tcW w:w="1473" w:type="dxa"/>
            <w:tcBorders>
              <w:top w:val="nil"/>
              <w:left w:val="nil"/>
              <w:bottom w:val="single" w:sz="4" w:space="0" w:color="auto"/>
              <w:right w:val="single" w:sz="4" w:space="0" w:color="auto"/>
            </w:tcBorders>
            <w:shd w:val="clear" w:color="auto" w:fill="C6EFCE"/>
            <w:noWrap/>
          </w:tcPr>
          <w:p w14:paraId="0FCC5E96" w14:textId="2312B49E" w:rsidR="00895175" w:rsidRPr="0051384F" w:rsidRDefault="00895175" w:rsidP="0066695B">
            <w:pPr>
              <w:spacing w:after="0"/>
              <w:jc w:val="center"/>
              <w:rPr>
                <w:rFonts w:ascii="Times New Roman" w:hAnsi="Times New Roman" w:cs="Times New Roman"/>
                <w:noProof/>
                <w:color w:val="006100"/>
                <w:sz w:val="20"/>
                <w:szCs w:val="20"/>
              </w:rPr>
            </w:pPr>
            <w:r>
              <w:rPr>
                <w:rFonts w:ascii="Times New Roman" w:hAnsi="Times New Roman"/>
                <w:noProof/>
                <w:color w:val="006100"/>
                <w:sz w:val="20"/>
              </w:rPr>
              <w:t xml:space="preserve">Приемане от Министерския съвет </w:t>
            </w:r>
          </w:p>
        </w:tc>
        <w:tc>
          <w:tcPr>
            <w:tcW w:w="937" w:type="dxa"/>
            <w:tcBorders>
              <w:top w:val="nil"/>
              <w:left w:val="nil"/>
              <w:bottom w:val="single" w:sz="4" w:space="0" w:color="auto"/>
              <w:right w:val="single" w:sz="4" w:space="0" w:color="auto"/>
            </w:tcBorders>
            <w:shd w:val="clear" w:color="auto" w:fill="C6EFCE"/>
            <w:noWrap/>
          </w:tcPr>
          <w:p w14:paraId="2E556A26" w14:textId="77777777" w:rsidR="00895175" w:rsidRPr="0051384F" w:rsidRDefault="00895175" w:rsidP="0066695B">
            <w:pPr>
              <w:spacing w:after="0"/>
              <w:jc w:val="right"/>
              <w:rPr>
                <w:rFonts w:ascii="Times New Roman" w:hAnsi="Times New Roman" w:cs="Times New Roman"/>
                <w:noProof/>
                <w:color w:val="006100"/>
                <w:sz w:val="20"/>
                <w:szCs w:val="20"/>
                <w:lang w:val="en-US"/>
              </w:rPr>
            </w:pPr>
          </w:p>
        </w:tc>
        <w:tc>
          <w:tcPr>
            <w:tcW w:w="850" w:type="dxa"/>
            <w:tcBorders>
              <w:top w:val="nil"/>
              <w:left w:val="nil"/>
              <w:bottom w:val="single" w:sz="4" w:space="0" w:color="auto"/>
              <w:right w:val="single" w:sz="4" w:space="0" w:color="auto"/>
            </w:tcBorders>
            <w:shd w:val="clear" w:color="auto" w:fill="C6EFCE"/>
            <w:noWrap/>
          </w:tcPr>
          <w:p w14:paraId="1DD5FC7D" w14:textId="77777777" w:rsidR="00895175" w:rsidRPr="0051384F" w:rsidRDefault="00895175" w:rsidP="0066695B">
            <w:pPr>
              <w:spacing w:after="0"/>
              <w:jc w:val="right"/>
              <w:rPr>
                <w:rFonts w:ascii="Times New Roman" w:hAnsi="Times New Roman" w:cs="Times New Roman"/>
                <w:noProof/>
                <w:color w:val="006100"/>
                <w:sz w:val="20"/>
                <w:szCs w:val="20"/>
                <w:lang w:val="en-US"/>
              </w:rPr>
            </w:pPr>
          </w:p>
        </w:tc>
        <w:tc>
          <w:tcPr>
            <w:tcW w:w="709" w:type="dxa"/>
            <w:tcBorders>
              <w:top w:val="nil"/>
              <w:left w:val="nil"/>
              <w:bottom w:val="single" w:sz="4" w:space="0" w:color="auto"/>
              <w:right w:val="single" w:sz="4" w:space="0" w:color="auto"/>
            </w:tcBorders>
            <w:shd w:val="clear" w:color="auto" w:fill="C6EFCE"/>
            <w:noWrap/>
          </w:tcPr>
          <w:p w14:paraId="3544023B" w14:textId="77777777" w:rsidR="00895175" w:rsidRPr="0051384F" w:rsidRDefault="00895175" w:rsidP="0066695B">
            <w:pPr>
              <w:spacing w:after="0"/>
              <w:jc w:val="right"/>
              <w:rPr>
                <w:rFonts w:ascii="Times New Roman" w:hAnsi="Times New Roman" w:cs="Times New Roman"/>
                <w:noProof/>
                <w:color w:val="006100"/>
                <w:sz w:val="20"/>
                <w:szCs w:val="20"/>
                <w:lang w:val="en-US"/>
              </w:rPr>
            </w:pPr>
          </w:p>
        </w:tc>
        <w:tc>
          <w:tcPr>
            <w:tcW w:w="850" w:type="dxa"/>
            <w:tcBorders>
              <w:top w:val="nil"/>
              <w:left w:val="nil"/>
              <w:bottom w:val="single" w:sz="4" w:space="0" w:color="auto"/>
              <w:right w:val="single" w:sz="4" w:space="0" w:color="auto"/>
            </w:tcBorders>
            <w:shd w:val="clear" w:color="auto" w:fill="C6EFCE"/>
            <w:noWrap/>
          </w:tcPr>
          <w:p w14:paraId="0D165B77" w14:textId="2F9213C3" w:rsidR="00895175" w:rsidRPr="0051384F" w:rsidRDefault="00895175" w:rsidP="0066695B">
            <w:pPr>
              <w:spacing w:after="0"/>
              <w:jc w:val="center"/>
              <w:rPr>
                <w:rFonts w:ascii="Times New Roman" w:hAnsi="Times New Roman" w:cs="Times New Roman"/>
                <w:noProof/>
                <w:color w:val="006100"/>
                <w:sz w:val="20"/>
                <w:szCs w:val="20"/>
              </w:rPr>
            </w:pPr>
            <w:r>
              <w:rPr>
                <w:rFonts w:ascii="Times New Roman" w:hAnsi="Times New Roman"/>
                <w:noProof/>
                <w:color w:val="006100"/>
                <w:sz w:val="20"/>
              </w:rPr>
              <w:t>T1</w:t>
            </w:r>
          </w:p>
        </w:tc>
        <w:tc>
          <w:tcPr>
            <w:tcW w:w="851" w:type="dxa"/>
            <w:tcBorders>
              <w:top w:val="nil"/>
              <w:left w:val="nil"/>
              <w:bottom w:val="single" w:sz="4" w:space="0" w:color="auto"/>
              <w:right w:val="single" w:sz="4" w:space="0" w:color="auto"/>
            </w:tcBorders>
            <w:shd w:val="clear" w:color="auto" w:fill="C6EFCE"/>
            <w:noWrap/>
          </w:tcPr>
          <w:p w14:paraId="2DBFA964" w14:textId="120CF4E3" w:rsidR="00895175" w:rsidRPr="0051384F" w:rsidRDefault="00895175" w:rsidP="0066695B">
            <w:pPr>
              <w:spacing w:after="0"/>
              <w:jc w:val="center"/>
              <w:rPr>
                <w:rFonts w:ascii="Times New Roman" w:hAnsi="Times New Roman" w:cs="Times New Roman"/>
                <w:noProof/>
                <w:color w:val="006100"/>
                <w:sz w:val="20"/>
                <w:szCs w:val="20"/>
              </w:rPr>
            </w:pPr>
            <w:r>
              <w:rPr>
                <w:rFonts w:ascii="Times New Roman" w:hAnsi="Times New Roman"/>
                <w:noProof/>
                <w:color w:val="006100"/>
                <w:sz w:val="20"/>
              </w:rPr>
              <w:t>2023</w:t>
            </w:r>
          </w:p>
        </w:tc>
        <w:tc>
          <w:tcPr>
            <w:tcW w:w="4450" w:type="dxa"/>
            <w:tcBorders>
              <w:top w:val="nil"/>
              <w:left w:val="nil"/>
              <w:bottom w:val="single" w:sz="4" w:space="0" w:color="auto"/>
              <w:right w:val="single" w:sz="4" w:space="0" w:color="auto"/>
            </w:tcBorders>
            <w:shd w:val="clear" w:color="auto" w:fill="C6EFCE"/>
            <w:noWrap/>
          </w:tcPr>
          <w:p w14:paraId="2CD22DE8" w14:textId="77777777" w:rsidR="00895175" w:rsidRPr="0051384F" w:rsidRDefault="00895175"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 xml:space="preserve">В Националния план за развитие на широкообхватен пренатален и неонатален скрининг, и скрининг на социалнозначимите заболявания 2021—2027 г. се определят мерки за: </w:t>
            </w:r>
          </w:p>
          <w:p w14:paraId="1637E930" w14:textId="77777777" w:rsidR="00895175" w:rsidRPr="0051384F" w:rsidRDefault="00895175" w:rsidP="002E73ED">
            <w:pPr>
              <w:pStyle w:val="ListParagraph"/>
              <w:numPr>
                <w:ilvl w:val="0"/>
                <w:numId w:val="11"/>
              </w:numPr>
              <w:spacing w:after="0"/>
              <w:ind w:left="360"/>
              <w:rPr>
                <w:rFonts w:ascii="Times New Roman" w:hAnsi="Times New Roman" w:cs="Times New Roman"/>
                <w:noProof/>
                <w:color w:val="006100"/>
                <w:sz w:val="20"/>
                <w:szCs w:val="20"/>
              </w:rPr>
            </w:pPr>
            <w:r>
              <w:rPr>
                <w:rFonts w:ascii="Times New Roman" w:hAnsi="Times New Roman"/>
                <w:noProof/>
                <w:color w:val="006100"/>
                <w:sz w:val="20"/>
              </w:rPr>
              <w:t>създаването на Национален интердисциплинарен център за скринингови програми за социалнозначими заболявания;</w:t>
            </w:r>
          </w:p>
          <w:p w14:paraId="79F989FC" w14:textId="77777777" w:rsidR="00895175" w:rsidRPr="0051384F" w:rsidRDefault="00895175" w:rsidP="002E73ED">
            <w:pPr>
              <w:pStyle w:val="ListParagraph"/>
              <w:numPr>
                <w:ilvl w:val="0"/>
                <w:numId w:val="11"/>
              </w:numPr>
              <w:spacing w:after="0"/>
              <w:ind w:left="360"/>
              <w:rPr>
                <w:rFonts w:ascii="Times New Roman" w:hAnsi="Times New Roman" w:cs="Times New Roman"/>
                <w:noProof/>
                <w:color w:val="006100"/>
                <w:sz w:val="20"/>
                <w:szCs w:val="20"/>
              </w:rPr>
            </w:pPr>
            <w:r>
              <w:rPr>
                <w:rFonts w:ascii="Times New Roman" w:hAnsi="Times New Roman"/>
                <w:noProof/>
                <w:color w:val="006100"/>
                <w:sz w:val="20"/>
              </w:rPr>
              <w:t>развитието на мрежа от амбулатории, предоставящи скринингови дейности на цялата на територия на България.</w:t>
            </w:r>
          </w:p>
        </w:tc>
      </w:tr>
      <w:tr w:rsidR="00895175" w:rsidRPr="005241FC" w14:paraId="18AF3DD2" w14:textId="77777777" w:rsidTr="0DF4F0A1">
        <w:trPr>
          <w:trHeight w:val="309"/>
          <w:jc w:val="center"/>
        </w:trPr>
        <w:tc>
          <w:tcPr>
            <w:tcW w:w="595" w:type="dxa"/>
            <w:tcBorders>
              <w:top w:val="nil"/>
              <w:left w:val="single" w:sz="4" w:space="0" w:color="auto"/>
              <w:bottom w:val="single" w:sz="4" w:space="0" w:color="auto"/>
              <w:right w:val="single" w:sz="4" w:space="0" w:color="auto"/>
            </w:tcBorders>
            <w:shd w:val="clear" w:color="auto" w:fill="C6EFCE"/>
            <w:noWrap/>
          </w:tcPr>
          <w:p w14:paraId="3B700191" w14:textId="74046B05" w:rsidR="00895175" w:rsidRPr="0051384F" w:rsidRDefault="00992016" w:rsidP="0066695B">
            <w:pPr>
              <w:spacing w:after="0"/>
              <w:jc w:val="center"/>
              <w:rPr>
                <w:rFonts w:ascii="Times New Roman" w:hAnsi="Times New Roman" w:cs="Times New Roman"/>
                <w:noProof/>
                <w:color w:val="006100"/>
                <w:sz w:val="20"/>
                <w:szCs w:val="20"/>
              </w:rPr>
            </w:pPr>
            <w:r>
              <w:rPr>
                <w:rFonts w:ascii="Times New Roman" w:hAnsi="Times New Roman"/>
                <w:noProof/>
                <w:color w:val="006100"/>
                <w:sz w:val="20"/>
              </w:rPr>
              <w:t>328</w:t>
            </w:r>
          </w:p>
        </w:tc>
        <w:tc>
          <w:tcPr>
            <w:tcW w:w="1701" w:type="dxa"/>
            <w:tcBorders>
              <w:top w:val="nil"/>
              <w:left w:val="nil"/>
              <w:bottom w:val="single" w:sz="4" w:space="0" w:color="auto"/>
              <w:right w:val="single" w:sz="4" w:space="0" w:color="auto"/>
            </w:tcBorders>
            <w:shd w:val="clear" w:color="auto" w:fill="C6EFCE"/>
            <w:noWrap/>
          </w:tcPr>
          <w:p w14:paraId="52F8ED51" w14:textId="77777777" w:rsidR="00895175" w:rsidRPr="0051384F" w:rsidRDefault="00895175" w:rsidP="003B02A1">
            <w:pPr>
              <w:spacing w:after="0"/>
              <w:rPr>
                <w:rFonts w:ascii="Times New Roman" w:hAnsi="Times New Roman" w:cs="Times New Roman"/>
                <w:noProof/>
                <w:color w:val="006100"/>
                <w:sz w:val="20"/>
                <w:szCs w:val="20"/>
              </w:rPr>
            </w:pPr>
            <w:r>
              <w:rPr>
                <w:rFonts w:ascii="Times New Roman" w:hAnsi="Times New Roman"/>
                <w:noProof/>
                <w:color w:val="006100"/>
                <w:sz w:val="20"/>
              </w:rPr>
              <w:t>C12.R6:</w:t>
            </w:r>
          </w:p>
          <w:p w14:paraId="32B52DDE" w14:textId="77777777" w:rsidR="00895175" w:rsidRPr="0051384F" w:rsidRDefault="00895175" w:rsidP="003B02A1">
            <w:pPr>
              <w:spacing w:after="0"/>
              <w:rPr>
                <w:rFonts w:ascii="Times New Roman" w:hAnsi="Times New Roman" w:cs="Times New Roman"/>
                <w:noProof/>
                <w:color w:val="006100"/>
                <w:sz w:val="20"/>
                <w:szCs w:val="20"/>
              </w:rPr>
            </w:pPr>
            <w:r>
              <w:rPr>
                <w:rFonts w:ascii="Times New Roman" w:hAnsi="Times New Roman"/>
                <w:noProof/>
                <w:color w:val="006100"/>
                <w:sz w:val="20"/>
              </w:rPr>
              <w:t>План за съвременно здравно образование в училищата</w:t>
            </w:r>
          </w:p>
        </w:tc>
        <w:tc>
          <w:tcPr>
            <w:tcW w:w="993" w:type="dxa"/>
            <w:tcBorders>
              <w:top w:val="nil"/>
              <w:left w:val="nil"/>
              <w:bottom w:val="single" w:sz="4" w:space="0" w:color="auto"/>
              <w:right w:val="single" w:sz="4" w:space="0" w:color="auto"/>
            </w:tcBorders>
            <w:shd w:val="clear" w:color="auto" w:fill="C6EFCE"/>
            <w:noWrap/>
          </w:tcPr>
          <w:p w14:paraId="6BAD77A3" w14:textId="77777777" w:rsidR="00895175" w:rsidRPr="0051384F" w:rsidRDefault="00895175" w:rsidP="0066695B">
            <w:pPr>
              <w:spacing w:after="0"/>
              <w:jc w:val="center"/>
              <w:rPr>
                <w:rFonts w:ascii="Times New Roman" w:hAnsi="Times New Roman" w:cs="Times New Roman"/>
                <w:noProof/>
                <w:color w:val="006100"/>
                <w:sz w:val="20"/>
                <w:szCs w:val="20"/>
              </w:rPr>
            </w:pPr>
            <w:r>
              <w:rPr>
                <w:rFonts w:ascii="Times New Roman" w:hAnsi="Times New Roman"/>
                <w:noProof/>
                <w:color w:val="006100"/>
                <w:sz w:val="20"/>
              </w:rPr>
              <w:t>Ключов етап</w:t>
            </w:r>
          </w:p>
        </w:tc>
        <w:tc>
          <w:tcPr>
            <w:tcW w:w="1901" w:type="dxa"/>
            <w:tcBorders>
              <w:top w:val="nil"/>
              <w:left w:val="nil"/>
              <w:bottom w:val="single" w:sz="4" w:space="0" w:color="auto"/>
              <w:right w:val="single" w:sz="4" w:space="0" w:color="auto"/>
            </w:tcBorders>
            <w:shd w:val="clear" w:color="auto" w:fill="C6EFCE"/>
            <w:noWrap/>
          </w:tcPr>
          <w:p w14:paraId="78D387D2" w14:textId="77777777" w:rsidR="00895175" w:rsidRPr="0051384F" w:rsidRDefault="00895175"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 xml:space="preserve">Национален план за здравно образование в българското училище 2021—2027 г. </w:t>
            </w:r>
          </w:p>
        </w:tc>
        <w:tc>
          <w:tcPr>
            <w:tcW w:w="1473" w:type="dxa"/>
            <w:tcBorders>
              <w:top w:val="nil"/>
              <w:left w:val="nil"/>
              <w:bottom w:val="single" w:sz="4" w:space="0" w:color="auto"/>
              <w:right w:val="single" w:sz="4" w:space="0" w:color="auto"/>
            </w:tcBorders>
            <w:shd w:val="clear" w:color="auto" w:fill="C6EFCE"/>
            <w:noWrap/>
          </w:tcPr>
          <w:p w14:paraId="660E7ACC" w14:textId="77777777" w:rsidR="00895175" w:rsidRPr="0051384F" w:rsidRDefault="00895175" w:rsidP="0066695B">
            <w:pPr>
              <w:spacing w:after="0"/>
              <w:jc w:val="center"/>
              <w:rPr>
                <w:rFonts w:ascii="Times New Roman" w:hAnsi="Times New Roman" w:cs="Times New Roman"/>
                <w:noProof/>
                <w:color w:val="006100"/>
                <w:sz w:val="20"/>
                <w:szCs w:val="20"/>
              </w:rPr>
            </w:pPr>
            <w:r>
              <w:rPr>
                <w:rFonts w:ascii="Times New Roman" w:hAnsi="Times New Roman"/>
                <w:noProof/>
                <w:color w:val="006100"/>
                <w:sz w:val="20"/>
              </w:rPr>
              <w:t xml:space="preserve">Приемане от Министерския съвет </w:t>
            </w:r>
          </w:p>
        </w:tc>
        <w:tc>
          <w:tcPr>
            <w:tcW w:w="937" w:type="dxa"/>
            <w:tcBorders>
              <w:top w:val="nil"/>
              <w:left w:val="nil"/>
              <w:bottom w:val="single" w:sz="4" w:space="0" w:color="auto"/>
              <w:right w:val="single" w:sz="4" w:space="0" w:color="auto"/>
            </w:tcBorders>
            <w:shd w:val="clear" w:color="auto" w:fill="C6EFCE"/>
            <w:noWrap/>
          </w:tcPr>
          <w:p w14:paraId="5489D985" w14:textId="77777777" w:rsidR="00895175" w:rsidRPr="0051384F" w:rsidRDefault="00895175" w:rsidP="0066695B">
            <w:pPr>
              <w:spacing w:after="0"/>
              <w:jc w:val="right"/>
              <w:rPr>
                <w:rFonts w:ascii="Times New Roman" w:hAnsi="Times New Roman" w:cs="Times New Roman"/>
                <w:noProof/>
                <w:color w:val="006100"/>
                <w:sz w:val="20"/>
                <w:szCs w:val="20"/>
              </w:rPr>
            </w:pPr>
            <w:r>
              <w:rPr>
                <w:rFonts w:ascii="Times New Roman" w:hAnsi="Times New Roman"/>
                <w:noProof/>
                <w:color w:val="006100"/>
                <w:sz w:val="20"/>
              </w:rPr>
              <w:t> </w:t>
            </w:r>
          </w:p>
        </w:tc>
        <w:tc>
          <w:tcPr>
            <w:tcW w:w="850" w:type="dxa"/>
            <w:tcBorders>
              <w:top w:val="nil"/>
              <w:left w:val="nil"/>
              <w:bottom w:val="single" w:sz="4" w:space="0" w:color="auto"/>
              <w:right w:val="single" w:sz="4" w:space="0" w:color="auto"/>
            </w:tcBorders>
            <w:shd w:val="clear" w:color="auto" w:fill="C6EFCE"/>
            <w:noWrap/>
          </w:tcPr>
          <w:p w14:paraId="476AB55B" w14:textId="77777777" w:rsidR="00895175" w:rsidRPr="0051384F" w:rsidRDefault="00895175" w:rsidP="0066695B">
            <w:pPr>
              <w:spacing w:after="0"/>
              <w:jc w:val="right"/>
              <w:rPr>
                <w:rFonts w:ascii="Times New Roman" w:hAnsi="Times New Roman" w:cs="Times New Roman"/>
                <w:noProof/>
                <w:color w:val="006100"/>
                <w:sz w:val="20"/>
                <w:szCs w:val="20"/>
              </w:rPr>
            </w:pPr>
            <w:r>
              <w:rPr>
                <w:rFonts w:ascii="Times New Roman" w:hAnsi="Times New Roman"/>
                <w:noProof/>
                <w:color w:val="006100"/>
                <w:sz w:val="20"/>
              </w:rPr>
              <w:t> </w:t>
            </w:r>
          </w:p>
        </w:tc>
        <w:tc>
          <w:tcPr>
            <w:tcW w:w="709" w:type="dxa"/>
            <w:tcBorders>
              <w:top w:val="nil"/>
              <w:left w:val="nil"/>
              <w:bottom w:val="single" w:sz="4" w:space="0" w:color="auto"/>
              <w:right w:val="single" w:sz="4" w:space="0" w:color="auto"/>
            </w:tcBorders>
            <w:shd w:val="clear" w:color="auto" w:fill="C6EFCE"/>
            <w:noWrap/>
          </w:tcPr>
          <w:p w14:paraId="63BC4F6E" w14:textId="77777777" w:rsidR="00895175" w:rsidRPr="0051384F" w:rsidRDefault="00895175" w:rsidP="0066695B">
            <w:pPr>
              <w:spacing w:after="0"/>
              <w:jc w:val="right"/>
              <w:rPr>
                <w:rFonts w:ascii="Times New Roman" w:hAnsi="Times New Roman" w:cs="Times New Roman"/>
                <w:noProof/>
                <w:color w:val="006100"/>
                <w:sz w:val="20"/>
                <w:szCs w:val="20"/>
              </w:rPr>
            </w:pPr>
            <w:r>
              <w:rPr>
                <w:rFonts w:ascii="Times New Roman" w:hAnsi="Times New Roman"/>
                <w:noProof/>
                <w:color w:val="006100"/>
                <w:sz w:val="20"/>
              </w:rPr>
              <w:t> </w:t>
            </w:r>
          </w:p>
        </w:tc>
        <w:tc>
          <w:tcPr>
            <w:tcW w:w="850" w:type="dxa"/>
            <w:tcBorders>
              <w:top w:val="nil"/>
              <w:left w:val="nil"/>
              <w:bottom w:val="single" w:sz="4" w:space="0" w:color="auto"/>
              <w:right w:val="single" w:sz="4" w:space="0" w:color="auto"/>
            </w:tcBorders>
            <w:shd w:val="clear" w:color="auto" w:fill="C6EFCE"/>
            <w:noWrap/>
          </w:tcPr>
          <w:p w14:paraId="4A4013F7" w14:textId="77777777" w:rsidR="00895175" w:rsidRPr="0051384F" w:rsidRDefault="00895175" w:rsidP="0066695B">
            <w:pPr>
              <w:spacing w:after="0"/>
              <w:jc w:val="center"/>
              <w:rPr>
                <w:rFonts w:ascii="Times New Roman" w:hAnsi="Times New Roman" w:cs="Times New Roman"/>
                <w:noProof/>
                <w:color w:val="006100"/>
                <w:sz w:val="20"/>
                <w:szCs w:val="20"/>
              </w:rPr>
            </w:pPr>
            <w:r>
              <w:rPr>
                <w:rFonts w:ascii="Times New Roman" w:hAnsi="Times New Roman"/>
                <w:noProof/>
                <w:color w:val="006100"/>
                <w:sz w:val="20"/>
              </w:rPr>
              <w:t>T4</w:t>
            </w:r>
          </w:p>
        </w:tc>
        <w:tc>
          <w:tcPr>
            <w:tcW w:w="851" w:type="dxa"/>
            <w:tcBorders>
              <w:top w:val="nil"/>
              <w:left w:val="nil"/>
              <w:bottom w:val="single" w:sz="4" w:space="0" w:color="auto"/>
              <w:right w:val="single" w:sz="4" w:space="0" w:color="auto"/>
            </w:tcBorders>
            <w:shd w:val="clear" w:color="auto" w:fill="C6EFCE"/>
            <w:noWrap/>
          </w:tcPr>
          <w:p w14:paraId="174ABEE1" w14:textId="77777777" w:rsidR="00895175" w:rsidRPr="0051384F" w:rsidRDefault="00895175" w:rsidP="0066695B">
            <w:pPr>
              <w:spacing w:after="0"/>
              <w:jc w:val="center"/>
              <w:rPr>
                <w:rFonts w:ascii="Times New Roman" w:hAnsi="Times New Roman" w:cs="Times New Roman"/>
                <w:noProof/>
                <w:color w:val="006100"/>
                <w:sz w:val="20"/>
                <w:szCs w:val="20"/>
              </w:rPr>
            </w:pPr>
            <w:r>
              <w:rPr>
                <w:rFonts w:ascii="Times New Roman" w:hAnsi="Times New Roman"/>
                <w:noProof/>
                <w:color w:val="006100"/>
                <w:sz w:val="20"/>
              </w:rPr>
              <w:t>2022</w:t>
            </w:r>
          </w:p>
        </w:tc>
        <w:tc>
          <w:tcPr>
            <w:tcW w:w="4450" w:type="dxa"/>
            <w:tcBorders>
              <w:top w:val="nil"/>
              <w:left w:val="nil"/>
              <w:bottom w:val="single" w:sz="4" w:space="0" w:color="auto"/>
              <w:right w:val="single" w:sz="4" w:space="0" w:color="auto"/>
            </w:tcBorders>
            <w:shd w:val="clear" w:color="auto" w:fill="C6EFCE"/>
            <w:noWrap/>
          </w:tcPr>
          <w:p w14:paraId="2989708B" w14:textId="77777777" w:rsidR="00895175" w:rsidRPr="0051384F" w:rsidRDefault="00895175"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В Националния план за здравно образование в българското училище 2021—2027 г. се определят мерки за насърчаване на здравното образование в училищата по теми като репродуктивното здраве, храненето и вредната консумация на алкохол и други психоактивни вещества.</w:t>
            </w:r>
          </w:p>
        </w:tc>
      </w:tr>
      <w:tr w:rsidR="00895175" w:rsidRPr="005241FC" w14:paraId="486F70A4" w14:textId="77777777" w:rsidTr="0DF4F0A1">
        <w:trPr>
          <w:trHeight w:val="309"/>
          <w:jc w:val="center"/>
        </w:trPr>
        <w:tc>
          <w:tcPr>
            <w:tcW w:w="595" w:type="dxa"/>
            <w:tcBorders>
              <w:top w:val="nil"/>
              <w:left w:val="single" w:sz="4" w:space="0" w:color="auto"/>
              <w:bottom w:val="single" w:sz="4" w:space="0" w:color="auto"/>
              <w:right w:val="single" w:sz="4" w:space="0" w:color="auto"/>
            </w:tcBorders>
            <w:shd w:val="clear" w:color="auto" w:fill="C6EFCE"/>
            <w:noWrap/>
          </w:tcPr>
          <w:p w14:paraId="15E3530B" w14:textId="01D13931" w:rsidR="00895175" w:rsidRPr="0051384F" w:rsidRDefault="00992016" w:rsidP="0066695B">
            <w:pPr>
              <w:spacing w:after="0"/>
              <w:jc w:val="center"/>
              <w:rPr>
                <w:rFonts w:ascii="Times New Roman" w:eastAsia="Times New Roman" w:hAnsi="Times New Roman" w:cs="Times New Roman"/>
                <w:noProof/>
                <w:sz w:val="20"/>
                <w:szCs w:val="20"/>
              </w:rPr>
            </w:pPr>
            <w:r>
              <w:rPr>
                <w:rFonts w:ascii="Times New Roman" w:hAnsi="Times New Roman"/>
                <w:noProof/>
                <w:color w:val="006100"/>
                <w:sz w:val="20"/>
              </w:rPr>
              <w:t>329</w:t>
            </w:r>
          </w:p>
        </w:tc>
        <w:tc>
          <w:tcPr>
            <w:tcW w:w="1701" w:type="dxa"/>
            <w:tcBorders>
              <w:top w:val="nil"/>
              <w:left w:val="nil"/>
              <w:bottom w:val="single" w:sz="4" w:space="0" w:color="auto"/>
              <w:right w:val="single" w:sz="4" w:space="0" w:color="auto"/>
            </w:tcBorders>
            <w:shd w:val="clear" w:color="auto" w:fill="C6EFCE"/>
            <w:noWrap/>
          </w:tcPr>
          <w:p w14:paraId="4CF597D9" w14:textId="77777777" w:rsidR="00895175" w:rsidRPr="0051384F" w:rsidRDefault="00895175" w:rsidP="003B02A1">
            <w:pPr>
              <w:spacing w:after="0"/>
              <w:rPr>
                <w:rFonts w:ascii="Times New Roman" w:hAnsi="Times New Roman" w:cs="Times New Roman"/>
                <w:noProof/>
                <w:color w:val="006100"/>
                <w:sz w:val="20"/>
                <w:szCs w:val="20"/>
              </w:rPr>
            </w:pPr>
            <w:r>
              <w:rPr>
                <w:rFonts w:ascii="Times New Roman" w:hAnsi="Times New Roman"/>
                <w:noProof/>
                <w:color w:val="006100"/>
                <w:sz w:val="20"/>
              </w:rPr>
              <w:t>C12.I1:</w:t>
            </w:r>
          </w:p>
          <w:p w14:paraId="04CF4B48" w14:textId="77777777" w:rsidR="00895175" w:rsidRPr="0051384F" w:rsidRDefault="00895175" w:rsidP="003B02A1">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Модернизиране на болничните заведения</w:t>
            </w:r>
          </w:p>
        </w:tc>
        <w:tc>
          <w:tcPr>
            <w:tcW w:w="993" w:type="dxa"/>
            <w:tcBorders>
              <w:top w:val="nil"/>
              <w:left w:val="nil"/>
              <w:bottom w:val="single" w:sz="4" w:space="0" w:color="auto"/>
              <w:right w:val="single" w:sz="4" w:space="0" w:color="auto"/>
            </w:tcBorders>
            <w:shd w:val="clear" w:color="auto" w:fill="C6EFCE"/>
            <w:noWrap/>
          </w:tcPr>
          <w:p w14:paraId="1F87CEC4" w14:textId="77777777" w:rsidR="00895175" w:rsidRPr="0051384F" w:rsidRDefault="00895175" w:rsidP="0066695B">
            <w:pPr>
              <w:spacing w:after="0"/>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Ключов етап</w:t>
            </w:r>
          </w:p>
        </w:tc>
        <w:tc>
          <w:tcPr>
            <w:tcW w:w="1901" w:type="dxa"/>
            <w:tcBorders>
              <w:top w:val="nil"/>
              <w:left w:val="nil"/>
              <w:bottom w:val="single" w:sz="4" w:space="0" w:color="auto"/>
              <w:right w:val="single" w:sz="4" w:space="0" w:color="auto"/>
            </w:tcBorders>
            <w:shd w:val="clear" w:color="auto" w:fill="C6EFCE"/>
            <w:noWrap/>
          </w:tcPr>
          <w:p w14:paraId="3814053A" w14:textId="77777777" w:rsidR="00895175" w:rsidRPr="0051384F" w:rsidRDefault="00895175" w:rsidP="0066695B">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Сключване на договори за предоставяне на медицинско оборудване на болнични заведения</w:t>
            </w:r>
          </w:p>
        </w:tc>
        <w:tc>
          <w:tcPr>
            <w:tcW w:w="1473" w:type="dxa"/>
            <w:tcBorders>
              <w:top w:val="nil"/>
              <w:left w:val="nil"/>
              <w:bottom w:val="single" w:sz="4" w:space="0" w:color="auto"/>
              <w:right w:val="single" w:sz="4" w:space="0" w:color="auto"/>
            </w:tcBorders>
            <w:shd w:val="clear" w:color="auto" w:fill="C6EFCE"/>
            <w:noWrap/>
          </w:tcPr>
          <w:p w14:paraId="73195B9B" w14:textId="77777777" w:rsidR="00895175" w:rsidRPr="0051384F" w:rsidRDefault="00895175" w:rsidP="0066695B">
            <w:pPr>
              <w:spacing w:after="0"/>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Сключени договори</w:t>
            </w:r>
          </w:p>
        </w:tc>
        <w:tc>
          <w:tcPr>
            <w:tcW w:w="937" w:type="dxa"/>
            <w:tcBorders>
              <w:top w:val="nil"/>
              <w:left w:val="nil"/>
              <w:bottom w:val="single" w:sz="4" w:space="0" w:color="auto"/>
              <w:right w:val="single" w:sz="4" w:space="0" w:color="auto"/>
            </w:tcBorders>
            <w:shd w:val="clear" w:color="auto" w:fill="C6EFCE"/>
            <w:noWrap/>
          </w:tcPr>
          <w:p w14:paraId="2EDC4BD6" w14:textId="77777777" w:rsidR="00895175" w:rsidRPr="0051384F" w:rsidRDefault="00895175" w:rsidP="0066695B">
            <w:pPr>
              <w:spacing w:after="0"/>
              <w:jc w:val="right"/>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850" w:type="dxa"/>
            <w:tcBorders>
              <w:top w:val="nil"/>
              <w:left w:val="nil"/>
              <w:bottom w:val="single" w:sz="4" w:space="0" w:color="auto"/>
              <w:right w:val="single" w:sz="4" w:space="0" w:color="auto"/>
            </w:tcBorders>
            <w:shd w:val="clear" w:color="auto" w:fill="C6EFCE"/>
            <w:noWrap/>
          </w:tcPr>
          <w:p w14:paraId="54561467" w14:textId="77777777" w:rsidR="00895175" w:rsidRPr="0051384F" w:rsidRDefault="00895175" w:rsidP="0066695B">
            <w:pPr>
              <w:spacing w:after="0"/>
              <w:jc w:val="right"/>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709" w:type="dxa"/>
            <w:tcBorders>
              <w:top w:val="nil"/>
              <w:left w:val="nil"/>
              <w:bottom w:val="single" w:sz="4" w:space="0" w:color="auto"/>
              <w:right w:val="single" w:sz="4" w:space="0" w:color="auto"/>
            </w:tcBorders>
            <w:shd w:val="clear" w:color="auto" w:fill="C6EFCE"/>
            <w:noWrap/>
          </w:tcPr>
          <w:p w14:paraId="05598E16" w14:textId="77777777" w:rsidR="00895175" w:rsidRPr="0051384F" w:rsidRDefault="00895175" w:rsidP="0066695B">
            <w:pPr>
              <w:spacing w:after="0"/>
              <w:jc w:val="right"/>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850" w:type="dxa"/>
            <w:tcBorders>
              <w:top w:val="nil"/>
              <w:left w:val="nil"/>
              <w:bottom w:val="single" w:sz="4" w:space="0" w:color="auto"/>
              <w:right w:val="single" w:sz="4" w:space="0" w:color="auto"/>
            </w:tcBorders>
            <w:shd w:val="clear" w:color="auto" w:fill="C6EFCE"/>
            <w:noWrap/>
          </w:tcPr>
          <w:p w14:paraId="57AC8D3A" w14:textId="77777777" w:rsidR="00895175" w:rsidRPr="0051384F" w:rsidRDefault="00895175" w:rsidP="0066695B">
            <w:pPr>
              <w:spacing w:after="0"/>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T3</w:t>
            </w:r>
          </w:p>
        </w:tc>
        <w:tc>
          <w:tcPr>
            <w:tcW w:w="851" w:type="dxa"/>
            <w:tcBorders>
              <w:top w:val="nil"/>
              <w:left w:val="nil"/>
              <w:bottom w:val="single" w:sz="4" w:space="0" w:color="auto"/>
              <w:right w:val="single" w:sz="4" w:space="0" w:color="auto"/>
            </w:tcBorders>
            <w:shd w:val="clear" w:color="auto" w:fill="C6EFCE"/>
            <w:noWrap/>
          </w:tcPr>
          <w:p w14:paraId="11B2BC7F" w14:textId="77777777" w:rsidR="00895175" w:rsidRPr="0051384F" w:rsidRDefault="00895175" w:rsidP="0066695B">
            <w:pPr>
              <w:spacing w:after="0"/>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2024</w:t>
            </w:r>
          </w:p>
        </w:tc>
        <w:tc>
          <w:tcPr>
            <w:tcW w:w="4450" w:type="dxa"/>
            <w:tcBorders>
              <w:top w:val="nil"/>
              <w:left w:val="nil"/>
              <w:bottom w:val="single" w:sz="4" w:space="0" w:color="auto"/>
              <w:right w:val="single" w:sz="4" w:space="0" w:color="auto"/>
            </w:tcBorders>
            <w:shd w:val="clear" w:color="auto" w:fill="C6EFCE"/>
            <w:noWrap/>
          </w:tcPr>
          <w:p w14:paraId="10F6001F" w14:textId="7E22077B" w:rsidR="00895175" w:rsidRPr="0051384F" w:rsidRDefault="085730A7" w:rsidP="007A20FD">
            <w:pPr>
              <w:spacing w:after="0"/>
              <w:rPr>
                <w:rFonts w:ascii="Times New Roman" w:hAnsi="Times New Roman" w:cs="Times New Roman"/>
                <w:noProof/>
                <w:color w:val="006100"/>
                <w:sz w:val="20"/>
                <w:szCs w:val="20"/>
              </w:rPr>
            </w:pPr>
            <w:r>
              <w:rPr>
                <w:rFonts w:ascii="Times New Roman" w:hAnsi="Times New Roman"/>
                <w:noProof/>
                <w:color w:val="006100"/>
                <w:sz w:val="20"/>
              </w:rPr>
              <w:t>За избора на изпълнители се провеждат процедури за възлагане на обществени поръчки. Договорите обхващат предоставянето на медицинско оборудване на болниците, осигуряващи педиатрична и/или онкологична помощ.</w:t>
            </w:r>
          </w:p>
        </w:tc>
      </w:tr>
      <w:tr w:rsidR="00895175" w:rsidRPr="005241FC" w14:paraId="65789397" w14:textId="77777777" w:rsidTr="0DF4F0A1">
        <w:trPr>
          <w:trHeight w:val="309"/>
          <w:jc w:val="center"/>
        </w:trPr>
        <w:tc>
          <w:tcPr>
            <w:tcW w:w="595" w:type="dxa"/>
            <w:tcBorders>
              <w:top w:val="nil"/>
              <w:left w:val="single" w:sz="4" w:space="0" w:color="auto"/>
              <w:bottom w:val="single" w:sz="4" w:space="0" w:color="auto"/>
              <w:right w:val="single" w:sz="4" w:space="0" w:color="auto"/>
            </w:tcBorders>
            <w:shd w:val="clear" w:color="auto" w:fill="C6EFCE"/>
            <w:noWrap/>
          </w:tcPr>
          <w:p w14:paraId="76411313" w14:textId="4A283A66" w:rsidR="00895175" w:rsidRPr="0051384F" w:rsidRDefault="00992016" w:rsidP="00992016">
            <w:pPr>
              <w:spacing w:after="0"/>
              <w:jc w:val="center"/>
              <w:rPr>
                <w:rFonts w:ascii="Times New Roman" w:eastAsia="Times New Roman" w:hAnsi="Times New Roman" w:cs="Times New Roman"/>
                <w:noProof/>
                <w:sz w:val="20"/>
                <w:szCs w:val="20"/>
              </w:rPr>
            </w:pPr>
            <w:r>
              <w:rPr>
                <w:rFonts w:ascii="Times New Roman" w:hAnsi="Times New Roman"/>
                <w:noProof/>
                <w:color w:val="006100"/>
                <w:sz w:val="20"/>
              </w:rPr>
              <w:t>330</w:t>
            </w:r>
          </w:p>
        </w:tc>
        <w:tc>
          <w:tcPr>
            <w:tcW w:w="1701" w:type="dxa"/>
            <w:tcBorders>
              <w:top w:val="nil"/>
              <w:left w:val="nil"/>
              <w:bottom w:val="single" w:sz="4" w:space="0" w:color="auto"/>
              <w:right w:val="single" w:sz="4" w:space="0" w:color="auto"/>
            </w:tcBorders>
            <w:shd w:val="clear" w:color="auto" w:fill="C6EFCE"/>
            <w:noWrap/>
          </w:tcPr>
          <w:p w14:paraId="3985B564" w14:textId="77777777" w:rsidR="00895175" w:rsidRPr="0051384F" w:rsidRDefault="00895175" w:rsidP="003B02A1">
            <w:pPr>
              <w:spacing w:after="0"/>
              <w:rPr>
                <w:rFonts w:ascii="Times New Roman" w:hAnsi="Times New Roman" w:cs="Times New Roman"/>
                <w:noProof/>
                <w:color w:val="006100"/>
                <w:sz w:val="20"/>
                <w:szCs w:val="20"/>
              </w:rPr>
            </w:pPr>
            <w:r>
              <w:rPr>
                <w:rFonts w:ascii="Times New Roman" w:hAnsi="Times New Roman"/>
                <w:noProof/>
                <w:color w:val="006100"/>
                <w:sz w:val="20"/>
              </w:rPr>
              <w:t>C12.I1:</w:t>
            </w:r>
          </w:p>
          <w:p w14:paraId="598C8FF9" w14:textId="77777777" w:rsidR="00895175" w:rsidRPr="0051384F" w:rsidRDefault="00895175" w:rsidP="003B02A1">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Модернизиране на болничните заведения</w:t>
            </w:r>
          </w:p>
        </w:tc>
        <w:tc>
          <w:tcPr>
            <w:tcW w:w="993" w:type="dxa"/>
            <w:tcBorders>
              <w:top w:val="nil"/>
              <w:left w:val="nil"/>
              <w:bottom w:val="single" w:sz="4" w:space="0" w:color="auto"/>
              <w:right w:val="single" w:sz="4" w:space="0" w:color="auto"/>
            </w:tcBorders>
            <w:shd w:val="clear" w:color="auto" w:fill="C6EFCE"/>
            <w:noWrap/>
          </w:tcPr>
          <w:p w14:paraId="007C2AB6" w14:textId="77777777" w:rsidR="00895175" w:rsidRPr="0051384F" w:rsidRDefault="00895175" w:rsidP="0066695B">
            <w:pPr>
              <w:spacing w:after="0"/>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Цел</w:t>
            </w:r>
          </w:p>
        </w:tc>
        <w:tc>
          <w:tcPr>
            <w:tcW w:w="1901" w:type="dxa"/>
            <w:tcBorders>
              <w:top w:val="nil"/>
              <w:left w:val="nil"/>
              <w:bottom w:val="single" w:sz="4" w:space="0" w:color="auto"/>
              <w:right w:val="single" w:sz="4" w:space="0" w:color="auto"/>
            </w:tcBorders>
            <w:shd w:val="clear" w:color="auto" w:fill="C6EFCE"/>
            <w:noWrap/>
          </w:tcPr>
          <w:p w14:paraId="367F4722" w14:textId="77777777" w:rsidR="00895175" w:rsidRPr="0051384F" w:rsidRDefault="00895175" w:rsidP="0066695B">
            <w:pPr>
              <w:spacing w:after="0"/>
              <w:textAlignment w:val="baseline"/>
              <w:rPr>
                <w:rFonts w:ascii="Times New Roman" w:eastAsia="Times New Roman" w:hAnsi="Times New Roman" w:cs="Times New Roman"/>
                <w:noProof/>
                <w:color w:val="006100"/>
                <w:sz w:val="20"/>
                <w:szCs w:val="20"/>
              </w:rPr>
            </w:pPr>
            <w:r>
              <w:rPr>
                <w:rFonts w:ascii="Times New Roman" w:hAnsi="Times New Roman"/>
                <w:noProof/>
                <w:color w:val="006100"/>
                <w:sz w:val="20"/>
              </w:rPr>
              <w:t>Болничните заведения да получат ново медицинско оборудване</w:t>
            </w:r>
          </w:p>
        </w:tc>
        <w:tc>
          <w:tcPr>
            <w:tcW w:w="1473" w:type="dxa"/>
            <w:tcBorders>
              <w:top w:val="nil"/>
              <w:left w:val="nil"/>
              <w:bottom w:val="single" w:sz="4" w:space="0" w:color="auto"/>
              <w:right w:val="single" w:sz="4" w:space="0" w:color="auto"/>
            </w:tcBorders>
            <w:shd w:val="clear" w:color="auto" w:fill="C6EFCE"/>
            <w:noWrap/>
          </w:tcPr>
          <w:p w14:paraId="4BD8B3FA" w14:textId="77777777" w:rsidR="00895175" w:rsidRPr="0051384F" w:rsidRDefault="00895175" w:rsidP="0066695B">
            <w:pPr>
              <w:spacing w:after="0"/>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937" w:type="dxa"/>
            <w:tcBorders>
              <w:top w:val="nil"/>
              <w:left w:val="nil"/>
              <w:bottom w:val="single" w:sz="4" w:space="0" w:color="auto"/>
              <w:right w:val="single" w:sz="4" w:space="0" w:color="auto"/>
            </w:tcBorders>
            <w:shd w:val="clear" w:color="auto" w:fill="C6EFCE"/>
            <w:noWrap/>
          </w:tcPr>
          <w:p w14:paraId="537D4DD8" w14:textId="77777777" w:rsidR="00895175" w:rsidRPr="0051384F" w:rsidRDefault="00895175" w:rsidP="0066695B">
            <w:pPr>
              <w:spacing w:after="0"/>
              <w:jc w:val="right"/>
              <w:rPr>
                <w:rFonts w:ascii="Times New Roman" w:eastAsia="Times New Roman" w:hAnsi="Times New Roman" w:cs="Times New Roman"/>
                <w:noProof/>
                <w:color w:val="006100"/>
                <w:sz w:val="20"/>
                <w:szCs w:val="20"/>
              </w:rPr>
            </w:pPr>
            <w:r>
              <w:rPr>
                <w:rFonts w:ascii="Times New Roman" w:hAnsi="Times New Roman"/>
                <w:noProof/>
                <w:color w:val="006100"/>
                <w:sz w:val="20"/>
              </w:rPr>
              <w:t>Брой</w:t>
            </w:r>
          </w:p>
        </w:tc>
        <w:tc>
          <w:tcPr>
            <w:tcW w:w="850" w:type="dxa"/>
            <w:tcBorders>
              <w:top w:val="nil"/>
              <w:left w:val="nil"/>
              <w:bottom w:val="single" w:sz="4" w:space="0" w:color="auto"/>
              <w:right w:val="single" w:sz="4" w:space="0" w:color="auto"/>
            </w:tcBorders>
            <w:shd w:val="clear" w:color="auto" w:fill="C6EFCE"/>
            <w:noWrap/>
          </w:tcPr>
          <w:p w14:paraId="09203103" w14:textId="77777777" w:rsidR="00895175" w:rsidRPr="0051384F" w:rsidRDefault="00895175" w:rsidP="0066695B">
            <w:pPr>
              <w:spacing w:after="0"/>
              <w:jc w:val="right"/>
              <w:rPr>
                <w:rFonts w:ascii="Times New Roman" w:eastAsia="Times New Roman" w:hAnsi="Times New Roman" w:cs="Times New Roman"/>
                <w:noProof/>
                <w:color w:val="006100"/>
                <w:sz w:val="20"/>
                <w:szCs w:val="20"/>
              </w:rPr>
            </w:pPr>
            <w:r>
              <w:rPr>
                <w:rFonts w:ascii="Times New Roman" w:hAnsi="Times New Roman"/>
                <w:noProof/>
                <w:color w:val="006100"/>
                <w:sz w:val="20"/>
              </w:rPr>
              <w:t>0</w:t>
            </w:r>
          </w:p>
        </w:tc>
        <w:tc>
          <w:tcPr>
            <w:tcW w:w="709" w:type="dxa"/>
            <w:tcBorders>
              <w:top w:val="nil"/>
              <w:left w:val="nil"/>
              <w:bottom w:val="single" w:sz="4" w:space="0" w:color="auto"/>
              <w:right w:val="single" w:sz="4" w:space="0" w:color="auto"/>
            </w:tcBorders>
            <w:shd w:val="clear" w:color="auto" w:fill="C6EFCE"/>
            <w:noWrap/>
          </w:tcPr>
          <w:p w14:paraId="3304F5E4" w14:textId="77777777" w:rsidR="00895175" w:rsidRPr="0051384F" w:rsidRDefault="00895175" w:rsidP="0066695B">
            <w:pPr>
              <w:spacing w:after="0"/>
              <w:jc w:val="right"/>
              <w:rPr>
                <w:rFonts w:ascii="Times New Roman" w:eastAsia="Times New Roman" w:hAnsi="Times New Roman" w:cs="Times New Roman"/>
                <w:noProof/>
                <w:color w:val="006100"/>
                <w:sz w:val="20"/>
                <w:szCs w:val="20"/>
              </w:rPr>
            </w:pPr>
            <w:r>
              <w:rPr>
                <w:rFonts w:ascii="Times New Roman" w:hAnsi="Times New Roman"/>
                <w:noProof/>
                <w:color w:val="006100"/>
                <w:sz w:val="20"/>
              </w:rPr>
              <w:t>50</w:t>
            </w:r>
          </w:p>
        </w:tc>
        <w:tc>
          <w:tcPr>
            <w:tcW w:w="850" w:type="dxa"/>
            <w:tcBorders>
              <w:top w:val="nil"/>
              <w:left w:val="nil"/>
              <w:bottom w:val="single" w:sz="4" w:space="0" w:color="auto"/>
              <w:right w:val="single" w:sz="4" w:space="0" w:color="auto"/>
            </w:tcBorders>
            <w:shd w:val="clear" w:color="auto" w:fill="C6EFCE"/>
            <w:noWrap/>
          </w:tcPr>
          <w:p w14:paraId="6059EF56" w14:textId="0BB10022" w:rsidR="00895175" w:rsidRPr="0051384F" w:rsidRDefault="00895175" w:rsidP="0066695B">
            <w:pPr>
              <w:spacing w:after="0"/>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T4</w:t>
            </w:r>
          </w:p>
        </w:tc>
        <w:tc>
          <w:tcPr>
            <w:tcW w:w="851" w:type="dxa"/>
            <w:tcBorders>
              <w:top w:val="nil"/>
              <w:left w:val="nil"/>
              <w:bottom w:val="single" w:sz="4" w:space="0" w:color="auto"/>
              <w:right w:val="single" w:sz="4" w:space="0" w:color="auto"/>
            </w:tcBorders>
            <w:shd w:val="clear" w:color="auto" w:fill="C6EFCE"/>
            <w:noWrap/>
          </w:tcPr>
          <w:p w14:paraId="753FA954" w14:textId="1DC28D98" w:rsidR="00895175" w:rsidRPr="0051384F" w:rsidRDefault="00895175" w:rsidP="0066695B">
            <w:pPr>
              <w:spacing w:after="0"/>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2025</w:t>
            </w:r>
          </w:p>
        </w:tc>
        <w:tc>
          <w:tcPr>
            <w:tcW w:w="4450" w:type="dxa"/>
            <w:tcBorders>
              <w:top w:val="nil"/>
              <w:left w:val="nil"/>
              <w:bottom w:val="single" w:sz="4" w:space="0" w:color="auto"/>
              <w:right w:val="single" w:sz="4" w:space="0" w:color="auto"/>
            </w:tcBorders>
            <w:shd w:val="clear" w:color="auto" w:fill="C6EFCE"/>
            <w:noWrap/>
          </w:tcPr>
          <w:p w14:paraId="264FFBB8" w14:textId="061F38ED" w:rsidR="00895175" w:rsidRPr="0051384F" w:rsidRDefault="00895175" w:rsidP="00FD4934">
            <w:pPr>
              <w:spacing w:after="0"/>
              <w:rPr>
                <w:rFonts w:ascii="Times New Roman" w:hAnsi="Times New Roman" w:cs="Times New Roman"/>
                <w:noProof/>
                <w:color w:val="006100"/>
                <w:sz w:val="20"/>
                <w:szCs w:val="20"/>
              </w:rPr>
            </w:pPr>
            <w:r>
              <w:rPr>
                <w:rFonts w:ascii="Times New Roman" w:hAnsi="Times New Roman"/>
                <w:noProof/>
                <w:color w:val="006100"/>
                <w:sz w:val="20"/>
              </w:rPr>
              <w:t>След сключването на договори (ключов етап 329), оборудването, посочено в договорите, се доставя и монтира в 50 болнични заведения за педиатрична и/или онкологична помощ.</w:t>
            </w:r>
          </w:p>
        </w:tc>
      </w:tr>
      <w:tr w:rsidR="00895175" w:rsidRPr="005241FC" w14:paraId="193EF3C8" w14:textId="77777777" w:rsidTr="0DF4F0A1">
        <w:trPr>
          <w:trHeight w:val="309"/>
          <w:jc w:val="center"/>
        </w:trPr>
        <w:tc>
          <w:tcPr>
            <w:tcW w:w="595" w:type="dxa"/>
            <w:tcBorders>
              <w:top w:val="nil"/>
              <w:left w:val="single" w:sz="4" w:space="0" w:color="auto"/>
              <w:bottom w:val="single" w:sz="4" w:space="0" w:color="auto"/>
              <w:right w:val="single" w:sz="4" w:space="0" w:color="auto"/>
            </w:tcBorders>
            <w:shd w:val="clear" w:color="auto" w:fill="C6EFCE"/>
            <w:noWrap/>
          </w:tcPr>
          <w:p w14:paraId="695F3913" w14:textId="0FD06A6F" w:rsidR="00895175" w:rsidRPr="0051384F" w:rsidRDefault="00992016" w:rsidP="0066695B">
            <w:pPr>
              <w:spacing w:after="0"/>
              <w:jc w:val="center"/>
              <w:rPr>
                <w:rFonts w:ascii="Times New Roman" w:hAnsi="Times New Roman" w:cs="Times New Roman"/>
                <w:noProof/>
                <w:color w:val="006100"/>
                <w:sz w:val="20"/>
                <w:szCs w:val="20"/>
              </w:rPr>
            </w:pPr>
            <w:r>
              <w:rPr>
                <w:rFonts w:ascii="Times New Roman" w:hAnsi="Times New Roman"/>
                <w:noProof/>
                <w:color w:val="006100"/>
                <w:sz w:val="20"/>
              </w:rPr>
              <w:t>332</w:t>
            </w:r>
          </w:p>
        </w:tc>
        <w:tc>
          <w:tcPr>
            <w:tcW w:w="1701" w:type="dxa"/>
            <w:tcBorders>
              <w:top w:val="nil"/>
              <w:left w:val="nil"/>
              <w:bottom w:val="single" w:sz="4" w:space="0" w:color="auto"/>
              <w:right w:val="single" w:sz="4" w:space="0" w:color="auto"/>
            </w:tcBorders>
            <w:shd w:val="clear" w:color="auto" w:fill="C6EFCE"/>
            <w:noWrap/>
          </w:tcPr>
          <w:p w14:paraId="051D7682" w14:textId="77777777" w:rsidR="00895175" w:rsidRPr="0051384F" w:rsidRDefault="00895175" w:rsidP="003B02A1">
            <w:pPr>
              <w:spacing w:after="0"/>
              <w:rPr>
                <w:rFonts w:ascii="Times New Roman" w:hAnsi="Times New Roman" w:cs="Times New Roman"/>
                <w:noProof/>
                <w:color w:val="006100"/>
                <w:sz w:val="20"/>
                <w:szCs w:val="20"/>
              </w:rPr>
            </w:pPr>
            <w:r>
              <w:rPr>
                <w:rFonts w:ascii="Times New Roman" w:hAnsi="Times New Roman"/>
                <w:noProof/>
                <w:color w:val="006100"/>
                <w:sz w:val="20"/>
              </w:rPr>
              <w:t>C12.I2:</w:t>
            </w:r>
          </w:p>
          <w:p w14:paraId="5657FC38" w14:textId="77777777" w:rsidR="00895175" w:rsidRPr="0051384F" w:rsidRDefault="00895175" w:rsidP="003B02A1">
            <w:pPr>
              <w:spacing w:after="0"/>
              <w:rPr>
                <w:rFonts w:ascii="Times New Roman" w:hAnsi="Times New Roman" w:cs="Times New Roman"/>
                <w:noProof/>
                <w:color w:val="006100"/>
                <w:sz w:val="20"/>
                <w:szCs w:val="20"/>
              </w:rPr>
            </w:pPr>
            <w:r>
              <w:rPr>
                <w:rFonts w:ascii="Times New Roman" w:hAnsi="Times New Roman"/>
                <w:noProof/>
                <w:color w:val="006100"/>
                <w:sz w:val="20"/>
              </w:rPr>
              <w:t xml:space="preserve">Центрове за интервенционална диагностика и ендоваскуларно лечение на мозъчно-съдови заболявания </w:t>
            </w:r>
          </w:p>
        </w:tc>
        <w:tc>
          <w:tcPr>
            <w:tcW w:w="993" w:type="dxa"/>
            <w:tcBorders>
              <w:top w:val="nil"/>
              <w:left w:val="nil"/>
              <w:bottom w:val="single" w:sz="4" w:space="0" w:color="auto"/>
              <w:right w:val="single" w:sz="4" w:space="0" w:color="auto"/>
            </w:tcBorders>
            <w:shd w:val="clear" w:color="auto" w:fill="C6EFCE"/>
            <w:noWrap/>
          </w:tcPr>
          <w:p w14:paraId="0873C385" w14:textId="77777777" w:rsidR="00895175" w:rsidRPr="0051384F" w:rsidRDefault="00895175" w:rsidP="0066695B">
            <w:pPr>
              <w:spacing w:after="0"/>
              <w:jc w:val="center"/>
              <w:rPr>
                <w:rFonts w:ascii="Times New Roman" w:hAnsi="Times New Roman" w:cs="Times New Roman"/>
                <w:noProof/>
                <w:color w:val="006100"/>
                <w:sz w:val="20"/>
                <w:szCs w:val="20"/>
              </w:rPr>
            </w:pPr>
            <w:r>
              <w:rPr>
                <w:rFonts w:ascii="Times New Roman" w:hAnsi="Times New Roman"/>
                <w:noProof/>
                <w:color w:val="006100"/>
                <w:sz w:val="20"/>
              </w:rPr>
              <w:t>Ключов етап</w:t>
            </w:r>
          </w:p>
        </w:tc>
        <w:tc>
          <w:tcPr>
            <w:tcW w:w="1901" w:type="dxa"/>
            <w:tcBorders>
              <w:top w:val="nil"/>
              <w:left w:val="nil"/>
              <w:bottom w:val="single" w:sz="4" w:space="0" w:color="auto"/>
              <w:right w:val="single" w:sz="4" w:space="0" w:color="auto"/>
            </w:tcBorders>
            <w:shd w:val="clear" w:color="auto" w:fill="C6EFCE"/>
            <w:noWrap/>
          </w:tcPr>
          <w:p w14:paraId="5C206A41" w14:textId="72D3FF05" w:rsidR="00895175" w:rsidRPr="0051384F" w:rsidDel="00BC0F95" w:rsidRDefault="00895175" w:rsidP="0007519F">
            <w:pPr>
              <w:spacing w:after="0"/>
              <w:rPr>
                <w:rFonts w:ascii="Times New Roman" w:hAnsi="Times New Roman" w:cs="Times New Roman"/>
                <w:noProof/>
                <w:color w:val="006100"/>
                <w:sz w:val="20"/>
                <w:szCs w:val="20"/>
              </w:rPr>
            </w:pPr>
            <w:r>
              <w:rPr>
                <w:rFonts w:ascii="Times New Roman" w:hAnsi="Times New Roman"/>
                <w:noProof/>
                <w:color w:val="006100"/>
                <w:sz w:val="20"/>
              </w:rPr>
              <w:t>Сключване на договори за строителни работи и за осигуряване на медицинско оборудване на медицинските центрове за интервенционална диагностика и ендоваскуларно лечение на мозъчно-съдови заболявания</w:t>
            </w:r>
          </w:p>
        </w:tc>
        <w:tc>
          <w:tcPr>
            <w:tcW w:w="1473" w:type="dxa"/>
            <w:tcBorders>
              <w:top w:val="nil"/>
              <w:left w:val="nil"/>
              <w:bottom w:val="single" w:sz="4" w:space="0" w:color="auto"/>
              <w:right w:val="single" w:sz="4" w:space="0" w:color="auto"/>
            </w:tcBorders>
            <w:shd w:val="clear" w:color="auto" w:fill="C6EFCE"/>
            <w:noWrap/>
          </w:tcPr>
          <w:p w14:paraId="62992E81" w14:textId="77777777" w:rsidR="00895175" w:rsidRPr="0051384F" w:rsidRDefault="00895175" w:rsidP="0066695B">
            <w:pPr>
              <w:spacing w:after="0"/>
              <w:jc w:val="center"/>
              <w:rPr>
                <w:rFonts w:ascii="Times New Roman" w:hAnsi="Times New Roman" w:cs="Times New Roman"/>
                <w:noProof/>
                <w:color w:val="006100"/>
                <w:sz w:val="20"/>
                <w:szCs w:val="20"/>
              </w:rPr>
            </w:pPr>
            <w:r>
              <w:rPr>
                <w:rFonts w:ascii="Times New Roman" w:hAnsi="Times New Roman"/>
                <w:noProof/>
                <w:color w:val="006100"/>
                <w:sz w:val="20"/>
              </w:rPr>
              <w:t>Сключени договори</w:t>
            </w:r>
          </w:p>
        </w:tc>
        <w:tc>
          <w:tcPr>
            <w:tcW w:w="937" w:type="dxa"/>
            <w:tcBorders>
              <w:top w:val="nil"/>
              <w:left w:val="nil"/>
              <w:bottom w:val="single" w:sz="4" w:space="0" w:color="auto"/>
              <w:right w:val="single" w:sz="4" w:space="0" w:color="auto"/>
            </w:tcBorders>
            <w:shd w:val="clear" w:color="auto" w:fill="C6EFCE"/>
            <w:noWrap/>
          </w:tcPr>
          <w:p w14:paraId="299A0479" w14:textId="77777777" w:rsidR="00895175" w:rsidRPr="0051384F" w:rsidRDefault="00895175" w:rsidP="0066695B">
            <w:pPr>
              <w:spacing w:after="0"/>
              <w:jc w:val="right"/>
              <w:rPr>
                <w:rFonts w:ascii="Times New Roman" w:hAnsi="Times New Roman" w:cs="Times New Roman"/>
                <w:noProof/>
                <w:color w:val="006100"/>
                <w:sz w:val="20"/>
                <w:szCs w:val="20"/>
              </w:rPr>
            </w:pPr>
            <w:r>
              <w:rPr>
                <w:rFonts w:ascii="Times New Roman" w:hAnsi="Times New Roman"/>
                <w:noProof/>
                <w:color w:val="006100"/>
                <w:sz w:val="20"/>
              </w:rPr>
              <w:t> </w:t>
            </w:r>
          </w:p>
        </w:tc>
        <w:tc>
          <w:tcPr>
            <w:tcW w:w="850" w:type="dxa"/>
            <w:tcBorders>
              <w:top w:val="nil"/>
              <w:left w:val="nil"/>
              <w:bottom w:val="single" w:sz="4" w:space="0" w:color="auto"/>
              <w:right w:val="single" w:sz="4" w:space="0" w:color="auto"/>
            </w:tcBorders>
            <w:shd w:val="clear" w:color="auto" w:fill="C6EFCE"/>
            <w:noWrap/>
          </w:tcPr>
          <w:p w14:paraId="14AA683B" w14:textId="77777777" w:rsidR="00895175" w:rsidRPr="0051384F" w:rsidRDefault="00895175" w:rsidP="0066695B">
            <w:pPr>
              <w:spacing w:after="0"/>
              <w:jc w:val="center"/>
              <w:rPr>
                <w:rFonts w:ascii="Times New Roman" w:hAnsi="Times New Roman" w:cs="Times New Roman"/>
                <w:noProof/>
                <w:color w:val="006100"/>
                <w:sz w:val="20"/>
                <w:szCs w:val="20"/>
              </w:rPr>
            </w:pPr>
            <w:r>
              <w:rPr>
                <w:rFonts w:ascii="Times New Roman" w:hAnsi="Times New Roman"/>
                <w:noProof/>
                <w:color w:val="006100"/>
                <w:sz w:val="20"/>
              </w:rPr>
              <w:t> </w:t>
            </w:r>
          </w:p>
        </w:tc>
        <w:tc>
          <w:tcPr>
            <w:tcW w:w="709" w:type="dxa"/>
            <w:tcBorders>
              <w:top w:val="nil"/>
              <w:left w:val="nil"/>
              <w:bottom w:val="single" w:sz="4" w:space="0" w:color="auto"/>
              <w:right w:val="single" w:sz="4" w:space="0" w:color="auto"/>
            </w:tcBorders>
            <w:shd w:val="clear" w:color="auto" w:fill="C6EFCE"/>
            <w:noWrap/>
          </w:tcPr>
          <w:p w14:paraId="686D63D7" w14:textId="77777777" w:rsidR="00895175" w:rsidRPr="0051384F" w:rsidRDefault="00895175" w:rsidP="0066695B">
            <w:pPr>
              <w:spacing w:after="0"/>
              <w:jc w:val="center"/>
              <w:rPr>
                <w:rFonts w:ascii="Times New Roman" w:hAnsi="Times New Roman" w:cs="Times New Roman"/>
                <w:noProof/>
                <w:color w:val="006100"/>
                <w:sz w:val="20"/>
                <w:szCs w:val="20"/>
              </w:rPr>
            </w:pPr>
            <w:r>
              <w:rPr>
                <w:rFonts w:ascii="Times New Roman" w:hAnsi="Times New Roman"/>
                <w:noProof/>
                <w:color w:val="006100"/>
                <w:sz w:val="20"/>
              </w:rPr>
              <w:t> </w:t>
            </w:r>
          </w:p>
        </w:tc>
        <w:tc>
          <w:tcPr>
            <w:tcW w:w="850" w:type="dxa"/>
            <w:tcBorders>
              <w:top w:val="nil"/>
              <w:left w:val="nil"/>
              <w:bottom w:val="single" w:sz="4" w:space="0" w:color="auto"/>
              <w:right w:val="single" w:sz="4" w:space="0" w:color="auto"/>
            </w:tcBorders>
            <w:shd w:val="clear" w:color="auto" w:fill="C6EFCE"/>
            <w:noWrap/>
          </w:tcPr>
          <w:p w14:paraId="479C2917" w14:textId="77777777" w:rsidR="00895175" w:rsidRPr="0051384F" w:rsidRDefault="00895175" w:rsidP="0066695B">
            <w:pPr>
              <w:spacing w:after="0"/>
              <w:jc w:val="center"/>
              <w:rPr>
                <w:rFonts w:ascii="Times New Roman" w:hAnsi="Times New Roman" w:cs="Times New Roman"/>
                <w:noProof/>
                <w:color w:val="006100"/>
                <w:sz w:val="20"/>
                <w:szCs w:val="20"/>
              </w:rPr>
            </w:pPr>
            <w:r>
              <w:rPr>
                <w:rFonts w:ascii="Times New Roman" w:hAnsi="Times New Roman"/>
                <w:noProof/>
                <w:color w:val="006100"/>
                <w:sz w:val="20"/>
              </w:rPr>
              <w:t>T1</w:t>
            </w:r>
          </w:p>
        </w:tc>
        <w:tc>
          <w:tcPr>
            <w:tcW w:w="851" w:type="dxa"/>
            <w:tcBorders>
              <w:top w:val="nil"/>
              <w:left w:val="nil"/>
              <w:bottom w:val="single" w:sz="4" w:space="0" w:color="auto"/>
              <w:right w:val="single" w:sz="4" w:space="0" w:color="auto"/>
            </w:tcBorders>
            <w:shd w:val="clear" w:color="auto" w:fill="C6EFCE"/>
            <w:noWrap/>
          </w:tcPr>
          <w:p w14:paraId="4CE1261B" w14:textId="49EB5023" w:rsidR="00895175" w:rsidRPr="0051384F" w:rsidRDefault="00895175" w:rsidP="0007519F">
            <w:pPr>
              <w:spacing w:after="0"/>
              <w:jc w:val="center"/>
              <w:rPr>
                <w:rFonts w:ascii="Times New Roman" w:hAnsi="Times New Roman" w:cs="Times New Roman"/>
                <w:noProof/>
                <w:color w:val="006100"/>
                <w:sz w:val="20"/>
                <w:szCs w:val="20"/>
              </w:rPr>
            </w:pPr>
            <w:r>
              <w:rPr>
                <w:rFonts w:ascii="Times New Roman" w:hAnsi="Times New Roman"/>
                <w:noProof/>
                <w:color w:val="006100"/>
                <w:sz w:val="20"/>
              </w:rPr>
              <w:t>2024</w:t>
            </w:r>
          </w:p>
        </w:tc>
        <w:tc>
          <w:tcPr>
            <w:tcW w:w="4450" w:type="dxa"/>
            <w:tcBorders>
              <w:top w:val="nil"/>
              <w:left w:val="nil"/>
              <w:bottom w:val="single" w:sz="4" w:space="0" w:color="auto"/>
              <w:right w:val="single" w:sz="4" w:space="0" w:color="auto"/>
            </w:tcBorders>
            <w:shd w:val="clear" w:color="auto" w:fill="C6EFCE"/>
            <w:noWrap/>
          </w:tcPr>
          <w:p w14:paraId="747FAFF9" w14:textId="0E23FA11" w:rsidR="00895175" w:rsidRPr="0051384F" w:rsidRDefault="00895175"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 xml:space="preserve">За избора на изпълнители се провеждат процедури за възлагане на обществени поръчки. </w:t>
            </w:r>
          </w:p>
          <w:p w14:paraId="618EDF50" w14:textId="77777777" w:rsidR="00895175" w:rsidRPr="008A0F8A" w:rsidRDefault="00895175" w:rsidP="0066695B">
            <w:pPr>
              <w:spacing w:after="0"/>
              <w:rPr>
                <w:rFonts w:ascii="Times New Roman" w:hAnsi="Times New Roman" w:cs="Times New Roman"/>
                <w:noProof/>
                <w:color w:val="006100"/>
                <w:sz w:val="20"/>
                <w:szCs w:val="20"/>
                <w:lang w:val="ru-RU"/>
              </w:rPr>
            </w:pPr>
          </w:p>
          <w:p w14:paraId="4119E3A4" w14:textId="28C84881" w:rsidR="00895175" w:rsidRPr="0051384F" w:rsidDel="00BC0F95" w:rsidRDefault="00895175"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Договорите обхващат строителните работи и осигуряването на медицинско оборудване за специализираните медицински центрове за интервенционална диагностика и лечение на мозъчно-съдови заболявания.</w:t>
            </w:r>
          </w:p>
        </w:tc>
      </w:tr>
      <w:tr w:rsidR="00895175" w:rsidRPr="005241FC" w14:paraId="4A2AEB9F" w14:textId="77777777" w:rsidTr="0DF4F0A1">
        <w:trPr>
          <w:trHeight w:val="309"/>
          <w:jc w:val="center"/>
        </w:trPr>
        <w:tc>
          <w:tcPr>
            <w:tcW w:w="595" w:type="dxa"/>
            <w:tcBorders>
              <w:top w:val="nil"/>
              <w:left w:val="single" w:sz="4" w:space="0" w:color="auto"/>
              <w:bottom w:val="single" w:sz="4" w:space="0" w:color="auto"/>
              <w:right w:val="single" w:sz="4" w:space="0" w:color="auto"/>
            </w:tcBorders>
            <w:shd w:val="clear" w:color="auto" w:fill="C6EFCE"/>
            <w:noWrap/>
          </w:tcPr>
          <w:p w14:paraId="1F1AF409" w14:textId="1F8A611E" w:rsidR="00895175" w:rsidRPr="0051384F" w:rsidRDefault="00992016" w:rsidP="0066695B">
            <w:pPr>
              <w:spacing w:after="0"/>
              <w:jc w:val="center"/>
              <w:rPr>
                <w:rFonts w:ascii="Times New Roman" w:eastAsia="Times New Roman" w:hAnsi="Times New Roman" w:cs="Times New Roman"/>
                <w:noProof/>
                <w:sz w:val="20"/>
                <w:szCs w:val="20"/>
              </w:rPr>
            </w:pPr>
            <w:r>
              <w:rPr>
                <w:rFonts w:ascii="Times New Roman" w:hAnsi="Times New Roman"/>
                <w:noProof/>
                <w:color w:val="006100"/>
                <w:sz w:val="20"/>
              </w:rPr>
              <w:t>333</w:t>
            </w:r>
          </w:p>
        </w:tc>
        <w:tc>
          <w:tcPr>
            <w:tcW w:w="1701" w:type="dxa"/>
            <w:tcBorders>
              <w:top w:val="nil"/>
              <w:left w:val="nil"/>
              <w:bottom w:val="single" w:sz="4" w:space="0" w:color="auto"/>
              <w:right w:val="single" w:sz="4" w:space="0" w:color="auto"/>
            </w:tcBorders>
            <w:shd w:val="clear" w:color="auto" w:fill="C6EFCE"/>
            <w:noWrap/>
          </w:tcPr>
          <w:p w14:paraId="6810AF78" w14:textId="77777777" w:rsidR="00895175" w:rsidRPr="0051384F" w:rsidRDefault="00895175" w:rsidP="003B02A1">
            <w:pPr>
              <w:spacing w:after="0"/>
              <w:rPr>
                <w:rFonts w:ascii="Times New Roman" w:hAnsi="Times New Roman" w:cs="Times New Roman"/>
                <w:noProof/>
                <w:color w:val="006100"/>
                <w:sz w:val="20"/>
                <w:szCs w:val="20"/>
              </w:rPr>
            </w:pPr>
            <w:r>
              <w:rPr>
                <w:rFonts w:ascii="Times New Roman" w:hAnsi="Times New Roman"/>
                <w:noProof/>
                <w:color w:val="006100"/>
                <w:sz w:val="20"/>
              </w:rPr>
              <w:t>C12.I2:</w:t>
            </w:r>
          </w:p>
          <w:p w14:paraId="63288341" w14:textId="77777777" w:rsidR="00895175" w:rsidRPr="0051384F" w:rsidRDefault="00895175" w:rsidP="003B02A1">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Центрове за интервенционална диагностика и ендоваскуларно лечение на мозъчно-съдови заболявания </w:t>
            </w:r>
          </w:p>
        </w:tc>
        <w:tc>
          <w:tcPr>
            <w:tcW w:w="993" w:type="dxa"/>
            <w:tcBorders>
              <w:top w:val="nil"/>
              <w:left w:val="nil"/>
              <w:bottom w:val="single" w:sz="4" w:space="0" w:color="auto"/>
              <w:right w:val="single" w:sz="4" w:space="0" w:color="auto"/>
            </w:tcBorders>
            <w:shd w:val="clear" w:color="auto" w:fill="C6EFCE"/>
            <w:noWrap/>
          </w:tcPr>
          <w:p w14:paraId="24404DB3" w14:textId="77777777" w:rsidR="00895175" w:rsidRPr="0051384F" w:rsidRDefault="00895175" w:rsidP="0066695B">
            <w:pPr>
              <w:spacing w:after="0"/>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Цел</w:t>
            </w:r>
          </w:p>
        </w:tc>
        <w:tc>
          <w:tcPr>
            <w:tcW w:w="1901" w:type="dxa"/>
            <w:tcBorders>
              <w:top w:val="nil"/>
              <w:left w:val="nil"/>
              <w:bottom w:val="single" w:sz="4" w:space="0" w:color="auto"/>
              <w:right w:val="single" w:sz="4" w:space="0" w:color="auto"/>
            </w:tcBorders>
            <w:shd w:val="clear" w:color="auto" w:fill="C6EFCE"/>
            <w:noWrap/>
          </w:tcPr>
          <w:p w14:paraId="51F193E2" w14:textId="77777777" w:rsidR="00895175" w:rsidRPr="0051384F" w:rsidRDefault="00895175" w:rsidP="0066695B">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Центрове за интервенционална диагностика и ендоваскуларно лечение на мозъчно-съдови заболявания</w:t>
            </w:r>
          </w:p>
        </w:tc>
        <w:tc>
          <w:tcPr>
            <w:tcW w:w="1473" w:type="dxa"/>
            <w:tcBorders>
              <w:top w:val="nil"/>
              <w:left w:val="nil"/>
              <w:bottom w:val="single" w:sz="4" w:space="0" w:color="auto"/>
              <w:right w:val="single" w:sz="4" w:space="0" w:color="auto"/>
            </w:tcBorders>
            <w:shd w:val="clear" w:color="auto" w:fill="C6EFCE"/>
            <w:noWrap/>
          </w:tcPr>
          <w:p w14:paraId="3BC3265C" w14:textId="77777777" w:rsidR="00895175" w:rsidRPr="0051384F" w:rsidRDefault="00895175" w:rsidP="0066695B">
            <w:pPr>
              <w:spacing w:after="0"/>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937" w:type="dxa"/>
            <w:tcBorders>
              <w:top w:val="nil"/>
              <w:left w:val="nil"/>
              <w:bottom w:val="single" w:sz="4" w:space="0" w:color="auto"/>
              <w:right w:val="single" w:sz="4" w:space="0" w:color="auto"/>
            </w:tcBorders>
            <w:shd w:val="clear" w:color="auto" w:fill="C6EFCE"/>
            <w:noWrap/>
          </w:tcPr>
          <w:p w14:paraId="48A3686B" w14:textId="77777777" w:rsidR="00895175" w:rsidRPr="0051384F" w:rsidRDefault="00895175" w:rsidP="0066695B">
            <w:pPr>
              <w:spacing w:after="0"/>
              <w:jc w:val="right"/>
              <w:rPr>
                <w:rFonts w:ascii="Times New Roman" w:eastAsia="Times New Roman" w:hAnsi="Times New Roman" w:cs="Times New Roman"/>
                <w:noProof/>
                <w:color w:val="006100"/>
                <w:sz w:val="20"/>
                <w:szCs w:val="20"/>
              </w:rPr>
            </w:pPr>
            <w:r>
              <w:rPr>
                <w:rFonts w:ascii="Times New Roman" w:hAnsi="Times New Roman"/>
                <w:noProof/>
                <w:color w:val="006100"/>
                <w:sz w:val="20"/>
              </w:rPr>
              <w:t>Брой</w:t>
            </w:r>
          </w:p>
        </w:tc>
        <w:tc>
          <w:tcPr>
            <w:tcW w:w="850" w:type="dxa"/>
            <w:tcBorders>
              <w:top w:val="nil"/>
              <w:left w:val="nil"/>
              <w:bottom w:val="single" w:sz="4" w:space="0" w:color="auto"/>
              <w:right w:val="single" w:sz="4" w:space="0" w:color="auto"/>
            </w:tcBorders>
            <w:shd w:val="clear" w:color="auto" w:fill="C6EFCE"/>
            <w:noWrap/>
          </w:tcPr>
          <w:p w14:paraId="3FE9B846" w14:textId="77777777" w:rsidR="00895175" w:rsidRPr="0051384F" w:rsidRDefault="00895175" w:rsidP="0066695B">
            <w:pPr>
              <w:spacing w:after="0"/>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0</w:t>
            </w:r>
          </w:p>
        </w:tc>
        <w:tc>
          <w:tcPr>
            <w:tcW w:w="709" w:type="dxa"/>
            <w:tcBorders>
              <w:top w:val="nil"/>
              <w:left w:val="nil"/>
              <w:bottom w:val="single" w:sz="4" w:space="0" w:color="auto"/>
              <w:right w:val="single" w:sz="4" w:space="0" w:color="auto"/>
            </w:tcBorders>
            <w:shd w:val="clear" w:color="auto" w:fill="C6EFCE"/>
            <w:noWrap/>
          </w:tcPr>
          <w:p w14:paraId="044F2263" w14:textId="77777777" w:rsidR="00895175" w:rsidRPr="0051384F" w:rsidRDefault="00895175" w:rsidP="0066695B">
            <w:pPr>
              <w:spacing w:after="0"/>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10</w:t>
            </w:r>
          </w:p>
        </w:tc>
        <w:tc>
          <w:tcPr>
            <w:tcW w:w="850" w:type="dxa"/>
            <w:tcBorders>
              <w:top w:val="nil"/>
              <w:left w:val="nil"/>
              <w:bottom w:val="single" w:sz="4" w:space="0" w:color="auto"/>
              <w:right w:val="single" w:sz="4" w:space="0" w:color="auto"/>
            </w:tcBorders>
            <w:shd w:val="clear" w:color="auto" w:fill="C6EFCE"/>
            <w:noWrap/>
          </w:tcPr>
          <w:p w14:paraId="6AE6D1FB" w14:textId="77777777" w:rsidR="00895175" w:rsidRPr="0051384F" w:rsidRDefault="00895175" w:rsidP="0066695B">
            <w:pPr>
              <w:spacing w:after="0"/>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T4</w:t>
            </w:r>
          </w:p>
        </w:tc>
        <w:tc>
          <w:tcPr>
            <w:tcW w:w="851" w:type="dxa"/>
            <w:tcBorders>
              <w:top w:val="nil"/>
              <w:left w:val="nil"/>
              <w:bottom w:val="single" w:sz="4" w:space="0" w:color="auto"/>
              <w:right w:val="single" w:sz="4" w:space="0" w:color="auto"/>
            </w:tcBorders>
            <w:shd w:val="clear" w:color="auto" w:fill="C6EFCE"/>
            <w:noWrap/>
          </w:tcPr>
          <w:p w14:paraId="341275DB" w14:textId="77777777" w:rsidR="00895175" w:rsidRPr="0051384F" w:rsidRDefault="00895175" w:rsidP="0066695B">
            <w:pPr>
              <w:spacing w:after="0"/>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2025</w:t>
            </w:r>
          </w:p>
        </w:tc>
        <w:tc>
          <w:tcPr>
            <w:tcW w:w="4450" w:type="dxa"/>
            <w:tcBorders>
              <w:top w:val="nil"/>
              <w:left w:val="nil"/>
              <w:bottom w:val="single" w:sz="4" w:space="0" w:color="auto"/>
              <w:right w:val="single" w:sz="4" w:space="0" w:color="auto"/>
            </w:tcBorders>
            <w:shd w:val="clear" w:color="auto" w:fill="C6EFCE"/>
            <w:noWrap/>
          </w:tcPr>
          <w:p w14:paraId="43402D26" w14:textId="153D26C9" w:rsidR="00895175" w:rsidRPr="0051384F" w:rsidRDefault="00895175"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 xml:space="preserve">След сключването на договори (ключов етап 332) се изпълняват строителните работи в десет центъра за интервенционална диагностика и ендоваскуларно лечение на мозъчно-съдови заболявания. </w:t>
            </w:r>
          </w:p>
          <w:p w14:paraId="1010D570" w14:textId="77777777" w:rsidR="00895175" w:rsidRPr="008A0F8A" w:rsidRDefault="00895175" w:rsidP="0066695B">
            <w:pPr>
              <w:spacing w:after="0"/>
              <w:rPr>
                <w:rFonts w:ascii="Times New Roman" w:hAnsi="Times New Roman" w:cs="Times New Roman"/>
                <w:noProof/>
                <w:color w:val="006100"/>
                <w:sz w:val="20"/>
                <w:szCs w:val="20"/>
                <w:lang w:val="ru-RU"/>
              </w:rPr>
            </w:pPr>
          </w:p>
          <w:p w14:paraId="70D8D9DD" w14:textId="77777777" w:rsidR="00895175" w:rsidRPr="0051384F" w:rsidRDefault="00895175" w:rsidP="0066695B">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В допълнение, в тези центрове се доставя и монтира оборудване.</w:t>
            </w:r>
          </w:p>
        </w:tc>
      </w:tr>
      <w:tr w:rsidR="00895175" w:rsidRPr="005241FC" w14:paraId="3969943A" w14:textId="77777777" w:rsidTr="0DF4F0A1">
        <w:trPr>
          <w:trHeight w:val="309"/>
          <w:jc w:val="center"/>
        </w:trPr>
        <w:tc>
          <w:tcPr>
            <w:tcW w:w="595" w:type="dxa"/>
            <w:tcBorders>
              <w:top w:val="nil"/>
              <w:left w:val="single" w:sz="4" w:space="0" w:color="auto"/>
              <w:bottom w:val="single" w:sz="4" w:space="0" w:color="auto"/>
              <w:right w:val="single" w:sz="4" w:space="0" w:color="auto"/>
            </w:tcBorders>
            <w:shd w:val="clear" w:color="auto" w:fill="C6EFCE"/>
            <w:noWrap/>
          </w:tcPr>
          <w:p w14:paraId="6B9E01CF" w14:textId="448EDF14" w:rsidR="00895175" w:rsidRPr="0051384F" w:rsidRDefault="00992016" w:rsidP="0066695B">
            <w:pPr>
              <w:spacing w:after="0"/>
              <w:jc w:val="center"/>
              <w:rPr>
                <w:rFonts w:ascii="Times New Roman" w:hAnsi="Times New Roman" w:cs="Times New Roman"/>
                <w:noProof/>
                <w:color w:val="006100"/>
                <w:sz w:val="20"/>
                <w:szCs w:val="20"/>
              </w:rPr>
            </w:pPr>
            <w:r>
              <w:rPr>
                <w:rFonts w:ascii="Times New Roman" w:hAnsi="Times New Roman"/>
                <w:noProof/>
                <w:color w:val="006100"/>
                <w:sz w:val="20"/>
              </w:rPr>
              <w:t>334</w:t>
            </w:r>
          </w:p>
        </w:tc>
        <w:tc>
          <w:tcPr>
            <w:tcW w:w="1701" w:type="dxa"/>
            <w:tcBorders>
              <w:top w:val="nil"/>
              <w:left w:val="nil"/>
              <w:bottom w:val="single" w:sz="4" w:space="0" w:color="auto"/>
              <w:right w:val="single" w:sz="4" w:space="0" w:color="auto"/>
            </w:tcBorders>
            <w:shd w:val="clear" w:color="auto" w:fill="C6EFCE"/>
            <w:noWrap/>
          </w:tcPr>
          <w:p w14:paraId="27B8543E" w14:textId="77777777" w:rsidR="00895175" w:rsidRPr="0051384F" w:rsidRDefault="00895175" w:rsidP="003B02A1">
            <w:pPr>
              <w:spacing w:after="0"/>
              <w:rPr>
                <w:rFonts w:ascii="Times New Roman" w:hAnsi="Times New Roman" w:cs="Times New Roman"/>
                <w:noProof/>
                <w:color w:val="006100"/>
                <w:sz w:val="20"/>
                <w:szCs w:val="20"/>
              </w:rPr>
            </w:pPr>
            <w:r>
              <w:rPr>
                <w:rFonts w:ascii="Times New Roman" w:hAnsi="Times New Roman"/>
                <w:noProof/>
                <w:color w:val="006100"/>
                <w:sz w:val="20"/>
              </w:rPr>
              <w:t>C12.I3:</w:t>
            </w:r>
          </w:p>
          <w:p w14:paraId="658493AE" w14:textId="77777777" w:rsidR="00895175" w:rsidRPr="0051384F" w:rsidRDefault="00895175" w:rsidP="003B02A1">
            <w:pPr>
              <w:spacing w:after="0"/>
              <w:rPr>
                <w:rFonts w:ascii="Times New Roman" w:hAnsi="Times New Roman" w:cs="Times New Roman"/>
                <w:noProof/>
                <w:color w:val="006100"/>
                <w:sz w:val="20"/>
                <w:szCs w:val="20"/>
              </w:rPr>
            </w:pPr>
            <w:r>
              <w:rPr>
                <w:rFonts w:ascii="Times New Roman" w:hAnsi="Times New Roman"/>
                <w:noProof/>
                <w:color w:val="006100"/>
                <w:sz w:val="20"/>
              </w:rPr>
              <w:t>Модернизация на психиатричната помощ</w:t>
            </w:r>
          </w:p>
        </w:tc>
        <w:tc>
          <w:tcPr>
            <w:tcW w:w="993" w:type="dxa"/>
            <w:tcBorders>
              <w:top w:val="nil"/>
              <w:left w:val="nil"/>
              <w:bottom w:val="single" w:sz="4" w:space="0" w:color="auto"/>
              <w:right w:val="single" w:sz="4" w:space="0" w:color="auto"/>
            </w:tcBorders>
            <w:shd w:val="clear" w:color="auto" w:fill="C6EFCE"/>
            <w:noWrap/>
          </w:tcPr>
          <w:p w14:paraId="2A226D27" w14:textId="77777777" w:rsidR="00895175" w:rsidRPr="0051384F" w:rsidRDefault="00895175" w:rsidP="0066695B">
            <w:pPr>
              <w:spacing w:after="0"/>
              <w:jc w:val="center"/>
              <w:rPr>
                <w:rFonts w:ascii="Times New Roman" w:hAnsi="Times New Roman" w:cs="Times New Roman"/>
                <w:noProof/>
                <w:color w:val="006100"/>
                <w:sz w:val="20"/>
                <w:szCs w:val="20"/>
              </w:rPr>
            </w:pPr>
            <w:r>
              <w:rPr>
                <w:rFonts w:ascii="Times New Roman" w:hAnsi="Times New Roman"/>
                <w:noProof/>
                <w:color w:val="006100"/>
                <w:sz w:val="20"/>
              </w:rPr>
              <w:t>Ключов етап</w:t>
            </w:r>
          </w:p>
        </w:tc>
        <w:tc>
          <w:tcPr>
            <w:tcW w:w="1901" w:type="dxa"/>
            <w:tcBorders>
              <w:top w:val="nil"/>
              <w:left w:val="nil"/>
              <w:bottom w:val="single" w:sz="4" w:space="0" w:color="auto"/>
              <w:right w:val="single" w:sz="4" w:space="0" w:color="auto"/>
            </w:tcBorders>
            <w:shd w:val="clear" w:color="auto" w:fill="C6EFCE"/>
            <w:noWrap/>
          </w:tcPr>
          <w:p w14:paraId="05C23D13" w14:textId="77777777" w:rsidR="00895175" w:rsidRPr="0051384F" w:rsidRDefault="00895175"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Сключване на договори за ремонтни работи на заведенията за психиатрична помощ</w:t>
            </w:r>
          </w:p>
        </w:tc>
        <w:tc>
          <w:tcPr>
            <w:tcW w:w="1473" w:type="dxa"/>
            <w:tcBorders>
              <w:top w:val="nil"/>
              <w:left w:val="nil"/>
              <w:bottom w:val="single" w:sz="4" w:space="0" w:color="auto"/>
              <w:right w:val="single" w:sz="4" w:space="0" w:color="auto"/>
            </w:tcBorders>
            <w:shd w:val="clear" w:color="auto" w:fill="C6EFCE"/>
            <w:noWrap/>
          </w:tcPr>
          <w:p w14:paraId="07ADB575" w14:textId="77777777" w:rsidR="00895175" w:rsidRPr="0051384F" w:rsidRDefault="00895175" w:rsidP="0066695B">
            <w:pPr>
              <w:spacing w:after="0"/>
              <w:jc w:val="center"/>
              <w:rPr>
                <w:rFonts w:ascii="Times New Roman" w:hAnsi="Times New Roman" w:cs="Times New Roman"/>
                <w:noProof/>
                <w:color w:val="006100"/>
                <w:sz w:val="20"/>
                <w:szCs w:val="20"/>
              </w:rPr>
            </w:pPr>
            <w:r>
              <w:rPr>
                <w:rFonts w:ascii="Times New Roman" w:hAnsi="Times New Roman"/>
                <w:noProof/>
                <w:color w:val="006100"/>
                <w:sz w:val="20"/>
              </w:rPr>
              <w:t>Сключени договори</w:t>
            </w:r>
          </w:p>
        </w:tc>
        <w:tc>
          <w:tcPr>
            <w:tcW w:w="937" w:type="dxa"/>
            <w:tcBorders>
              <w:top w:val="nil"/>
              <w:left w:val="nil"/>
              <w:bottom w:val="single" w:sz="4" w:space="0" w:color="auto"/>
              <w:right w:val="single" w:sz="4" w:space="0" w:color="auto"/>
            </w:tcBorders>
            <w:shd w:val="clear" w:color="auto" w:fill="C6EFCE"/>
            <w:noWrap/>
          </w:tcPr>
          <w:p w14:paraId="2E16FBC8" w14:textId="77777777" w:rsidR="00895175" w:rsidRPr="0051384F" w:rsidRDefault="00895175" w:rsidP="0066695B">
            <w:pPr>
              <w:spacing w:after="0"/>
              <w:jc w:val="right"/>
              <w:rPr>
                <w:rFonts w:ascii="Times New Roman" w:hAnsi="Times New Roman" w:cs="Times New Roman"/>
                <w:noProof/>
                <w:color w:val="006100"/>
                <w:sz w:val="20"/>
                <w:szCs w:val="20"/>
              </w:rPr>
            </w:pPr>
            <w:r>
              <w:rPr>
                <w:rFonts w:ascii="Times New Roman" w:hAnsi="Times New Roman"/>
                <w:noProof/>
                <w:color w:val="006100"/>
                <w:sz w:val="20"/>
              </w:rPr>
              <w:t> </w:t>
            </w:r>
          </w:p>
        </w:tc>
        <w:tc>
          <w:tcPr>
            <w:tcW w:w="850" w:type="dxa"/>
            <w:tcBorders>
              <w:top w:val="nil"/>
              <w:left w:val="nil"/>
              <w:bottom w:val="single" w:sz="4" w:space="0" w:color="auto"/>
              <w:right w:val="single" w:sz="4" w:space="0" w:color="auto"/>
            </w:tcBorders>
            <w:shd w:val="clear" w:color="auto" w:fill="C6EFCE"/>
            <w:noWrap/>
          </w:tcPr>
          <w:p w14:paraId="42C5FCED" w14:textId="77777777" w:rsidR="00895175" w:rsidRPr="0051384F" w:rsidRDefault="00895175" w:rsidP="0066695B">
            <w:pPr>
              <w:spacing w:after="0"/>
              <w:jc w:val="center"/>
              <w:rPr>
                <w:rFonts w:ascii="Times New Roman" w:hAnsi="Times New Roman" w:cs="Times New Roman"/>
                <w:noProof/>
                <w:color w:val="006100"/>
                <w:sz w:val="20"/>
                <w:szCs w:val="20"/>
              </w:rPr>
            </w:pPr>
            <w:r>
              <w:rPr>
                <w:rFonts w:ascii="Times New Roman" w:hAnsi="Times New Roman"/>
                <w:noProof/>
                <w:color w:val="006100"/>
                <w:sz w:val="20"/>
              </w:rPr>
              <w:t> </w:t>
            </w:r>
          </w:p>
        </w:tc>
        <w:tc>
          <w:tcPr>
            <w:tcW w:w="709" w:type="dxa"/>
            <w:tcBorders>
              <w:top w:val="nil"/>
              <w:left w:val="nil"/>
              <w:bottom w:val="single" w:sz="4" w:space="0" w:color="auto"/>
              <w:right w:val="single" w:sz="4" w:space="0" w:color="auto"/>
            </w:tcBorders>
            <w:shd w:val="clear" w:color="auto" w:fill="C6EFCE"/>
            <w:noWrap/>
          </w:tcPr>
          <w:p w14:paraId="4084DEB3" w14:textId="77777777" w:rsidR="00895175" w:rsidRPr="0051384F" w:rsidRDefault="00895175" w:rsidP="0066695B">
            <w:pPr>
              <w:spacing w:after="0"/>
              <w:jc w:val="center"/>
              <w:rPr>
                <w:rFonts w:ascii="Times New Roman" w:hAnsi="Times New Roman" w:cs="Times New Roman"/>
                <w:noProof/>
                <w:color w:val="006100"/>
                <w:sz w:val="20"/>
                <w:szCs w:val="20"/>
              </w:rPr>
            </w:pPr>
            <w:r>
              <w:rPr>
                <w:rFonts w:ascii="Times New Roman" w:hAnsi="Times New Roman"/>
                <w:noProof/>
                <w:color w:val="006100"/>
                <w:sz w:val="20"/>
              </w:rPr>
              <w:t> </w:t>
            </w:r>
          </w:p>
        </w:tc>
        <w:tc>
          <w:tcPr>
            <w:tcW w:w="850" w:type="dxa"/>
            <w:tcBorders>
              <w:top w:val="nil"/>
              <w:left w:val="nil"/>
              <w:bottom w:val="single" w:sz="4" w:space="0" w:color="auto"/>
              <w:right w:val="single" w:sz="4" w:space="0" w:color="auto"/>
            </w:tcBorders>
            <w:shd w:val="clear" w:color="auto" w:fill="C6EFCE"/>
            <w:noWrap/>
          </w:tcPr>
          <w:p w14:paraId="44604142" w14:textId="636E2927" w:rsidR="00895175" w:rsidRPr="0051384F" w:rsidRDefault="00895175" w:rsidP="0066695B">
            <w:pPr>
              <w:spacing w:after="0"/>
              <w:jc w:val="center"/>
              <w:rPr>
                <w:rFonts w:ascii="Times New Roman" w:hAnsi="Times New Roman" w:cs="Times New Roman"/>
                <w:noProof/>
                <w:color w:val="006100"/>
                <w:sz w:val="20"/>
                <w:szCs w:val="20"/>
              </w:rPr>
            </w:pPr>
            <w:r>
              <w:rPr>
                <w:rFonts w:ascii="Times New Roman" w:hAnsi="Times New Roman"/>
                <w:noProof/>
                <w:color w:val="006100"/>
                <w:sz w:val="20"/>
              </w:rPr>
              <w:t>T2</w:t>
            </w:r>
          </w:p>
        </w:tc>
        <w:tc>
          <w:tcPr>
            <w:tcW w:w="851" w:type="dxa"/>
            <w:tcBorders>
              <w:top w:val="nil"/>
              <w:left w:val="nil"/>
              <w:bottom w:val="single" w:sz="4" w:space="0" w:color="auto"/>
              <w:right w:val="single" w:sz="4" w:space="0" w:color="auto"/>
            </w:tcBorders>
            <w:shd w:val="clear" w:color="auto" w:fill="C6EFCE"/>
            <w:noWrap/>
          </w:tcPr>
          <w:p w14:paraId="3BB45EB6" w14:textId="77777777" w:rsidR="00895175" w:rsidRPr="0051384F" w:rsidRDefault="00895175" w:rsidP="0066695B">
            <w:pPr>
              <w:spacing w:after="0"/>
              <w:jc w:val="center"/>
              <w:rPr>
                <w:rFonts w:ascii="Times New Roman" w:hAnsi="Times New Roman" w:cs="Times New Roman"/>
                <w:noProof/>
                <w:color w:val="006100"/>
                <w:sz w:val="20"/>
                <w:szCs w:val="20"/>
              </w:rPr>
            </w:pPr>
            <w:r>
              <w:rPr>
                <w:rFonts w:ascii="Times New Roman" w:hAnsi="Times New Roman"/>
                <w:noProof/>
                <w:color w:val="006100"/>
                <w:sz w:val="20"/>
              </w:rPr>
              <w:t>2023</w:t>
            </w:r>
          </w:p>
        </w:tc>
        <w:tc>
          <w:tcPr>
            <w:tcW w:w="4450" w:type="dxa"/>
            <w:tcBorders>
              <w:top w:val="nil"/>
              <w:left w:val="nil"/>
              <w:bottom w:val="single" w:sz="4" w:space="0" w:color="auto"/>
              <w:right w:val="single" w:sz="4" w:space="0" w:color="auto"/>
            </w:tcBorders>
            <w:shd w:val="clear" w:color="auto" w:fill="C6EFCE"/>
            <w:noWrap/>
          </w:tcPr>
          <w:p w14:paraId="300C9C60" w14:textId="6605A0DE" w:rsidR="00BB1FAA" w:rsidRPr="0051384F" w:rsidRDefault="00895175"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За избора на изпълнители се провеждат процедури за възлагане на обществени поръчки. Договорите обхващат ремонтните работи за 38 лечебни заведения за психиатрична помощ.</w:t>
            </w:r>
          </w:p>
          <w:p w14:paraId="1AB8AA4A" w14:textId="77777777" w:rsidR="00895175" w:rsidRPr="008A0F8A" w:rsidRDefault="00895175" w:rsidP="0066695B">
            <w:pPr>
              <w:spacing w:after="0"/>
              <w:rPr>
                <w:rFonts w:ascii="Times New Roman" w:hAnsi="Times New Roman" w:cs="Times New Roman"/>
                <w:noProof/>
                <w:color w:val="006100"/>
                <w:sz w:val="20"/>
                <w:szCs w:val="20"/>
                <w:lang w:val="ru-RU"/>
              </w:rPr>
            </w:pPr>
          </w:p>
        </w:tc>
      </w:tr>
      <w:tr w:rsidR="00895175" w:rsidRPr="005241FC" w14:paraId="24A44BB0" w14:textId="77777777" w:rsidTr="0DF4F0A1">
        <w:trPr>
          <w:trHeight w:val="309"/>
          <w:jc w:val="center"/>
        </w:trPr>
        <w:tc>
          <w:tcPr>
            <w:tcW w:w="595" w:type="dxa"/>
            <w:tcBorders>
              <w:top w:val="nil"/>
              <w:left w:val="single" w:sz="4" w:space="0" w:color="auto"/>
              <w:bottom w:val="single" w:sz="4" w:space="0" w:color="auto"/>
              <w:right w:val="single" w:sz="4" w:space="0" w:color="auto"/>
            </w:tcBorders>
            <w:shd w:val="clear" w:color="auto" w:fill="C6EFCE"/>
            <w:noWrap/>
          </w:tcPr>
          <w:p w14:paraId="22684984" w14:textId="4E773864" w:rsidR="00895175" w:rsidRPr="0051384F" w:rsidRDefault="00401D06" w:rsidP="00992016">
            <w:pPr>
              <w:spacing w:after="0"/>
              <w:jc w:val="center"/>
              <w:rPr>
                <w:rFonts w:ascii="Times New Roman" w:eastAsia="Times New Roman" w:hAnsi="Times New Roman" w:cs="Times New Roman"/>
                <w:noProof/>
                <w:sz w:val="20"/>
                <w:szCs w:val="20"/>
              </w:rPr>
            </w:pPr>
            <w:r>
              <w:rPr>
                <w:rFonts w:ascii="Times New Roman" w:hAnsi="Times New Roman"/>
                <w:noProof/>
                <w:color w:val="006100"/>
                <w:sz w:val="20"/>
              </w:rPr>
              <w:t>335</w:t>
            </w:r>
          </w:p>
        </w:tc>
        <w:tc>
          <w:tcPr>
            <w:tcW w:w="1701" w:type="dxa"/>
            <w:tcBorders>
              <w:top w:val="nil"/>
              <w:left w:val="nil"/>
              <w:bottom w:val="single" w:sz="4" w:space="0" w:color="auto"/>
              <w:right w:val="single" w:sz="4" w:space="0" w:color="auto"/>
            </w:tcBorders>
            <w:shd w:val="clear" w:color="auto" w:fill="C6EFCE"/>
            <w:noWrap/>
          </w:tcPr>
          <w:p w14:paraId="15D91BA1" w14:textId="77777777" w:rsidR="00895175" w:rsidRPr="0051384F" w:rsidRDefault="00895175" w:rsidP="003B02A1">
            <w:pPr>
              <w:spacing w:after="0"/>
              <w:rPr>
                <w:rFonts w:ascii="Times New Roman" w:hAnsi="Times New Roman" w:cs="Times New Roman"/>
                <w:noProof/>
                <w:color w:val="006100"/>
                <w:sz w:val="20"/>
                <w:szCs w:val="20"/>
              </w:rPr>
            </w:pPr>
            <w:r>
              <w:rPr>
                <w:rFonts w:ascii="Times New Roman" w:hAnsi="Times New Roman"/>
                <w:noProof/>
                <w:color w:val="006100"/>
                <w:sz w:val="20"/>
              </w:rPr>
              <w:t>C12.I3:</w:t>
            </w:r>
          </w:p>
          <w:p w14:paraId="4505BEB0" w14:textId="77777777" w:rsidR="00895175" w:rsidRPr="0051384F" w:rsidRDefault="00895175" w:rsidP="003B02A1">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Модернизация на психиатричната помощ</w:t>
            </w:r>
          </w:p>
        </w:tc>
        <w:tc>
          <w:tcPr>
            <w:tcW w:w="993" w:type="dxa"/>
            <w:tcBorders>
              <w:top w:val="nil"/>
              <w:left w:val="nil"/>
              <w:bottom w:val="single" w:sz="4" w:space="0" w:color="auto"/>
              <w:right w:val="single" w:sz="4" w:space="0" w:color="auto"/>
            </w:tcBorders>
            <w:shd w:val="clear" w:color="auto" w:fill="C6EFCE"/>
            <w:noWrap/>
          </w:tcPr>
          <w:p w14:paraId="08713F8E" w14:textId="77777777" w:rsidR="00895175" w:rsidRPr="0051384F" w:rsidRDefault="00895175" w:rsidP="0066695B">
            <w:pPr>
              <w:spacing w:after="0"/>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Цел</w:t>
            </w:r>
          </w:p>
        </w:tc>
        <w:tc>
          <w:tcPr>
            <w:tcW w:w="1901" w:type="dxa"/>
            <w:tcBorders>
              <w:top w:val="nil"/>
              <w:left w:val="nil"/>
              <w:bottom w:val="single" w:sz="4" w:space="0" w:color="auto"/>
              <w:right w:val="single" w:sz="4" w:space="0" w:color="auto"/>
            </w:tcBorders>
            <w:shd w:val="clear" w:color="auto" w:fill="C6EFCE"/>
            <w:noWrap/>
          </w:tcPr>
          <w:p w14:paraId="7B9FE759" w14:textId="77777777" w:rsidR="00895175" w:rsidRPr="0051384F" w:rsidRDefault="00895175"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 xml:space="preserve">Ремонтирани и оборудвани заведения, предоставящи психиатрични грижи </w:t>
            </w:r>
          </w:p>
        </w:tc>
        <w:tc>
          <w:tcPr>
            <w:tcW w:w="1473" w:type="dxa"/>
            <w:tcBorders>
              <w:top w:val="nil"/>
              <w:left w:val="nil"/>
              <w:bottom w:val="single" w:sz="4" w:space="0" w:color="auto"/>
              <w:right w:val="single" w:sz="4" w:space="0" w:color="auto"/>
            </w:tcBorders>
            <w:shd w:val="clear" w:color="auto" w:fill="C6EFCE"/>
            <w:noWrap/>
          </w:tcPr>
          <w:p w14:paraId="407B4D73" w14:textId="77777777" w:rsidR="00895175" w:rsidRPr="0051384F" w:rsidRDefault="00895175" w:rsidP="0066695B">
            <w:pPr>
              <w:spacing w:after="0"/>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937" w:type="dxa"/>
            <w:tcBorders>
              <w:top w:val="nil"/>
              <w:left w:val="nil"/>
              <w:bottom w:val="single" w:sz="4" w:space="0" w:color="auto"/>
              <w:right w:val="single" w:sz="4" w:space="0" w:color="auto"/>
            </w:tcBorders>
            <w:shd w:val="clear" w:color="auto" w:fill="C6EFCE"/>
            <w:noWrap/>
          </w:tcPr>
          <w:p w14:paraId="55570207" w14:textId="77777777" w:rsidR="00895175" w:rsidRPr="0051384F" w:rsidRDefault="00895175" w:rsidP="0066695B">
            <w:pPr>
              <w:spacing w:after="0"/>
              <w:jc w:val="right"/>
              <w:rPr>
                <w:rFonts w:ascii="Times New Roman" w:eastAsia="Times New Roman" w:hAnsi="Times New Roman" w:cs="Times New Roman"/>
                <w:noProof/>
                <w:color w:val="006100"/>
                <w:sz w:val="20"/>
                <w:szCs w:val="20"/>
              </w:rPr>
            </w:pPr>
            <w:r>
              <w:rPr>
                <w:rFonts w:ascii="Times New Roman" w:hAnsi="Times New Roman"/>
                <w:noProof/>
                <w:color w:val="006100"/>
                <w:sz w:val="20"/>
              </w:rPr>
              <w:t>Брой</w:t>
            </w:r>
          </w:p>
        </w:tc>
        <w:tc>
          <w:tcPr>
            <w:tcW w:w="850" w:type="dxa"/>
            <w:tcBorders>
              <w:top w:val="nil"/>
              <w:left w:val="nil"/>
              <w:bottom w:val="single" w:sz="4" w:space="0" w:color="auto"/>
              <w:right w:val="single" w:sz="4" w:space="0" w:color="auto"/>
            </w:tcBorders>
            <w:shd w:val="clear" w:color="auto" w:fill="C6EFCE"/>
            <w:noWrap/>
          </w:tcPr>
          <w:p w14:paraId="05F5AACD" w14:textId="77777777" w:rsidR="00895175" w:rsidRPr="0051384F" w:rsidRDefault="00895175" w:rsidP="0066695B">
            <w:pPr>
              <w:spacing w:after="0"/>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0</w:t>
            </w:r>
          </w:p>
        </w:tc>
        <w:tc>
          <w:tcPr>
            <w:tcW w:w="709" w:type="dxa"/>
            <w:tcBorders>
              <w:top w:val="nil"/>
              <w:left w:val="nil"/>
              <w:bottom w:val="single" w:sz="4" w:space="0" w:color="auto"/>
              <w:right w:val="single" w:sz="4" w:space="0" w:color="auto"/>
            </w:tcBorders>
            <w:shd w:val="clear" w:color="auto" w:fill="C6EFCE"/>
            <w:noWrap/>
          </w:tcPr>
          <w:p w14:paraId="3CA62F4C" w14:textId="3DA25A53" w:rsidR="00895175" w:rsidRPr="0051384F" w:rsidRDefault="00101433" w:rsidP="0066695B">
            <w:pPr>
              <w:spacing w:after="0"/>
              <w:jc w:val="right"/>
              <w:rPr>
                <w:rFonts w:ascii="Times New Roman" w:eastAsia="Times New Roman" w:hAnsi="Times New Roman" w:cs="Times New Roman"/>
                <w:noProof/>
                <w:color w:val="006100"/>
                <w:sz w:val="20"/>
                <w:szCs w:val="20"/>
              </w:rPr>
            </w:pPr>
            <w:r>
              <w:rPr>
                <w:rFonts w:ascii="Times New Roman" w:hAnsi="Times New Roman"/>
                <w:noProof/>
                <w:color w:val="006100"/>
                <w:sz w:val="20"/>
              </w:rPr>
              <w:t>45</w:t>
            </w:r>
          </w:p>
        </w:tc>
        <w:tc>
          <w:tcPr>
            <w:tcW w:w="850" w:type="dxa"/>
            <w:tcBorders>
              <w:top w:val="nil"/>
              <w:left w:val="nil"/>
              <w:bottom w:val="single" w:sz="4" w:space="0" w:color="auto"/>
              <w:right w:val="single" w:sz="4" w:space="0" w:color="auto"/>
            </w:tcBorders>
            <w:shd w:val="clear" w:color="auto" w:fill="C6EFCE"/>
            <w:noWrap/>
          </w:tcPr>
          <w:p w14:paraId="4E71529F" w14:textId="77777777" w:rsidR="00895175" w:rsidRPr="0051384F" w:rsidRDefault="00895175" w:rsidP="0066695B">
            <w:pPr>
              <w:spacing w:after="0"/>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T4</w:t>
            </w:r>
          </w:p>
        </w:tc>
        <w:tc>
          <w:tcPr>
            <w:tcW w:w="851" w:type="dxa"/>
            <w:tcBorders>
              <w:top w:val="nil"/>
              <w:left w:val="nil"/>
              <w:bottom w:val="single" w:sz="4" w:space="0" w:color="auto"/>
              <w:right w:val="single" w:sz="4" w:space="0" w:color="auto"/>
            </w:tcBorders>
            <w:shd w:val="clear" w:color="auto" w:fill="C6EFCE"/>
            <w:noWrap/>
          </w:tcPr>
          <w:p w14:paraId="6C7B79B2" w14:textId="77777777" w:rsidR="00895175" w:rsidRPr="0051384F" w:rsidRDefault="00895175" w:rsidP="0066695B">
            <w:pPr>
              <w:spacing w:after="0"/>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2025</w:t>
            </w:r>
          </w:p>
        </w:tc>
        <w:tc>
          <w:tcPr>
            <w:tcW w:w="4450" w:type="dxa"/>
            <w:tcBorders>
              <w:top w:val="nil"/>
              <w:left w:val="nil"/>
              <w:bottom w:val="single" w:sz="4" w:space="0" w:color="auto"/>
              <w:right w:val="single" w:sz="4" w:space="0" w:color="auto"/>
            </w:tcBorders>
            <w:shd w:val="clear" w:color="auto" w:fill="C6EFCE"/>
            <w:noWrap/>
          </w:tcPr>
          <w:p w14:paraId="57F89CFF" w14:textId="187001C3" w:rsidR="00895175" w:rsidRPr="0051384F" w:rsidRDefault="00895175" w:rsidP="0066695B">
            <w:pPr>
              <w:pStyle w:val="ListParagraph"/>
              <w:spacing w:after="0"/>
              <w:ind w:left="0"/>
              <w:rPr>
                <w:rFonts w:ascii="Times New Roman" w:hAnsi="Times New Roman" w:cs="Times New Roman"/>
                <w:noProof/>
                <w:color w:val="006100"/>
                <w:sz w:val="20"/>
                <w:szCs w:val="20"/>
              </w:rPr>
            </w:pPr>
            <w:r>
              <w:rPr>
                <w:rFonts w:ascii="Times New Roman" w:hAnsi="Times New Roman"/>
                <w:noProof/>
                <w:color w:val="006100"/>
                <w:sz w:val="20"/>
              </w:rPr>
              <w:t>След сключването на договори (ключов етап 334) се извършват ремонтните работи в 38 заведения за психиатрична помощ.</w:t>
            </w:r>
          </w:p>
          <w:p w14:paraId="77ABBBE0" w14:textId="77777777" w:rsidR="00895175" w:rsidRPr="008A0F8A" w:rsidRDefault="00895175" w:rsidP="0066695B">
            <w:pPr>
              <w:pStyle w:val="ListParagraph"/>
              <w:spacing w:after="0"/>
              <w:ind w:left="0"/>
              <w:rPr>
                <w:rFonts w:ascii="Times New Roman" w:hAnsi="Times New Roman" w:cs="Times New Roman"/>
                <w:noProof/>
                <w:color w:val="006100"/>
                <w:sz w:val="20"/>
                <w:szCs w:val="20"/>
                <w:lang w:val="ru-RU"/>
              </w:rPr>
            </w:pPr>
          </w:p>
          <w:p w14:paraId="12536708" w14:textId="1C0066FD" w:rsidR="00895175" w:rsidRPr="0051384F" w:rsidRDefault="00895175" w:rsidP="0066695B">
            <w:pPr>
              <w:pStyle w:val="ListParagraph"/>
              <w:spacing w:after="0"/>
              <w:ind w:left="0"/>
              <w:rPr>
                <w:rFonts w:ascii="Times New Roman" w:hAnsi="Times New Roman" w:cs="Times New Roman"/>
                <w:noProof/>
                <w:color w:val="006100"/>
                <w:sz w:val="20"/>
                <w:szCs w:val="20"/>
              </w:rPr>
            </w:pPr>
            <w:r>
              <w:rPr>
                <w:rFonts w:ascii="Times New Roman" w:hAnsi="Times New Roman"/>
                <w:noProof/>
                <w:color w:val="006100"/>
                <w:sz w:val="20"/>
              </w:rPr>
              <w:t>В допълнение, в тези заведения се доставя и монтира оборудване и обзавеждане, както и в 7 допълнителни заведения за психиатрична помощ, общо 45 заведения.</w:t>
            </w:r>
          </w:p>
        </w:tc>
      </w:tr>
      <w:tr w:rsidR="00895175" w:rsidRPr="005241FC" w14:paraId="024CA1E8" w14:textId="77777777" w:rsidTr="0DF4F0A1">
        <w:trPr>
          <w:trHeight w:val="309"/>
          <w:jc w:val="center"/>
        </w:trPr>
        <w:tc>
          <w:tcPr>
            <w:tcW w:w="595" w:type="dxa"/>
            <w:tcBorders>
              <w:top w:val="nil"/>
              <w:left w:val="single" w:sz="4" w:space="0" w:color="auto"/>
              <w:bottom w:val="single" w:sz="4" w:space="0" w:color="auto"/>
              <w:right w:val="single" w:sz="4" w:space="0" w:color="auto"/>
            </w:tcBorders>
            <w:shd w:val="clear" w:color="auto" w:fill="C6EFCE"/>
            <w:noWrap/>
          </w:tcPr>
          <w:p w14:paraId="4DF8781A" w14:textId="034B2574" w:rsidR="00895175" w:rsidRPr="0051384F" w:rsidRDefault="00992016" w:rsidP="0066695B">
            <w:pPr>
              <w:spacing w:after="0"/>
              <w:jc w:val="center"/>
              <w:rPr>
                <w:rFonts w:ascii="Times New Roman" w:hAnsi="Times New Roman" w:cs="Times New Roman"/>
                <w:noProof/>
                <w:color w:val="006100"/>
                <w:sz w:val="20"/>
                <w:szCs w:val="20"/>
              </w:rPr>
            </w:pPr>
            <w:r>
              <w:rPr>
                <w:rFonts w:ascii="Times New Roman" w:hAnsi="Times New Roman"/>
                <w:noProof/>
                <w:color w:val="006100"/>
                <w:sz w:val="20"/>
              </w:rPr>
              <w:t>336</w:t>
            </w:r>
          </w:p>
        </w:tc>
        <w:tc>
          <w:tcPr>
            <w:tcW w:w="1701" w:type="dxa"/>
            <w:tcBorders>
              <w:top w:val="nil"/>
              <w:left w:val="nil"/>
              <w:bottom w:val="single" w:sz="4" w:space="0" w:color="auto"/>
              <w:right w:val="single" w:sz="4" w:space="0" w:color="auto"/>
            </w:tcBorders>
            <w:shd w:val="clear" w:color="auto" w:fill="C6EFCE"/>
            <w:noWrap/>
          </w:tcPr>
          <w:p w14:paraId="50245D21" w14:textId="77777777" w:rsidR="00895175" w:rsidRPr="0051384F" w:rsidRDefault="00895175" w:rsidP="003B02A1">
            <w:pPr>
              <w:spacing w:after="0"/>
              <w:rPr>
                <w:rFonts w:ascii="Times New Roman" w:hAnsi="Times New Roman" w:cs="Times New Roman"/>
                <w:noProof/>
                <w:color w:val="006100"/>
                <w:sz w:val="20"/>
                <w:szCs w:val="20"/>
              </w:rPr>
            </w:pPr>
            <w:r>
              <w:rPr>
                <w:rFonts w:ascii="Times New Roman" w:hAnsi="Times New Roman"/>
                <w:noProof/>
                <w:color w:val="006100"/>
                <w:sz w:val="20"/>
              </w:rPr>
              <w:t>C12.I4:</w:t>
            </w:r>
          </w:p>
          <w:p w14:paraId="1E15931B" w14:textId="77777777" w:rsidR="00895175" w:rsidRPr="0051384F" w:rsidRDefault="00895175" w:rsidP="003B02A1">
            <w:pPr>
              <w:spacing w:after="0"/>
              <w:rPr>
                <w:rFonts w:ascii="Times New Roman" w:hAnsi="Times New Roman" w:cs="Times New Roman"/>
                <w:noProof/>
                <w:color w:val="006100"/>
                <w:sz w:val="20"/>
                <w:szCs w:val="20"/>
              </w:rPr>
            </w:pPr>
            <w:r>
              <w:rPr>
                <w:rFonts w:ascii="Times New Roman" w:hAnsi="Times New Roman"/>
                <w:noProof/>
                <w:color w:val="006100"/>
                <w:sz w:val="20"/>
              </w:rPr>
              <w:t>Създаване на система за оказване на спешна медицинска помощ по въздуха</w:t>
            </w:r>
          </w:p>
        </w:tc>
        <w:tc>
          <w:tcPr>
            <w:tcW w:w="993" w:type="dxa"/>
            <w:tcBorders>
              <w:top w:val="nil"/>
              <w:left w:val="nil"/>
              <w:bottom w:val="single" w:sz="4" w:space="0" w:color="auto"/>
              <w:right w:val="single" w:sz="4" w:space="0" w:color="auto"/>
            </w:tcBorders>
            <w:shd w:val="clear" w:color="auto" w:fill="C6EFCE"/>
            <w:noWrap/>
          </w:tcPr>
          <w:p w14:paraId="3CB93DAA" w14:textId="77777777" w:rsidR="00895175" w:rsidRPr="0051384F" w:rsidRDefault="00895175" w:rsidP="0066695B">
            <w:pPr>
              <w:spacing w:after="0"/>
              <w:jc w:val="center"/>
              <w:rPr>
                <w:rFonts w:ascii="Times New Roman" w:hAnsi="Times New Roman" w:cs="Times New Roman"/>
                <w:noProof/>
                <w:color w:val="006100"/>
                <w:sz w:val="20"/>
                <w:szCs w:val="20"/>
              </w:rPr>
            </w:pPr>
            <w:r>
              <w:rPr>
                <w:rFonts w:ascii="Times New Roman" w:hAnsi="Times New Roman"/>
                <w:noProof/>
                <w:color w:val="006100"/>
                <w:sz w:val="20"/>
              </w:rPr>
              <w:t>Ключов етап</w:t>
            </w:r>
          </w:p>
        </w:tc>
        <w:tc>
          <w:tcPr>
            <w:tcW w:w="1901" w:type="dxa"/>
            <w:tcBorders>
              <w:top w:val="nil"/>
              <w:left w:val="nil"/>
              <w:bottom w:val="single" w:sz="4" w:space="0" w:color="auto"/>
              <w:right w:val="single" w:sz="4" w:space="0" w:color="auto"/>
            </w:tcBorders>
            <w:shd w:val="clear" w:color="auto" w:fill="C6EFCE"/>
            <w:noWrap/>
          </w:tcPr>
          <w:p w14:paraId="297F67D8" w14:textId="77777777" w:rsidR="00895175" w:rsidRPr="0051384F" w:rsidRDefault="00895175"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Сключване на договори за доставка на вертолети за системата за оказване на спешна медицинска помощ по въздуха</w:t>
            </w:r>
          </w:p>
        </w:tc>
        <w:tc>
          <w:tcPr>
            <w:tcW w:w="1473" w:type="dxa"/>
            <w:tcBorders>
              <w:top w:val="nil"/>
              <w:left w:val="nil"/>
              <w:bottom w:val="single" w:sz="4" w:space="0" w:color="auto"/>
              <w:right w:val="single" w:sz="4" w:space="0" w:color="auto"/>
            </w:tcBorders>
            <w:shd w:val="clear" w:color="auto" w:fill="C6EFCE"/>
            <w:noWrap/>
          </w:tcPr>
          <w:p w14:paraId="17BF8F14" w14:textId="77777777" w:rsidR="00895175" w:rsidRPr="0051384F" w:rsidRDefault="00895175" w:rsidP="0066695B">
            <w:pPr>
              <w:spacing w:after="0"/>
              <w:jc w:val="center"/>
              <w:rPr>
                <w:rFonts w:ascii="Times New Roman" w:hAnsi="Times New Roman" w:cs="Times New Roman"/>
                <w:noProof/>
                <w:color w:val="006100"/>
                <w:sz w:val="20"/>
                <w:szCs w:val="20"/>
              </w:rPr>
            </w:pPr>
            <w:r>
              <w:rPr>
                <w:rFonts w:ascii="Times New Roman" w:hAnsi="Times New Roman"/>
                <w:noProof/>
                <w:color w:val="006100"/>
                <w:sz w:val="20"/>
              </w:rPr>
              <w:t>Сключени договори</w:t>
            </w:r>
          </w:p>
        </w:tc>
        <w:tc>
          <w:tcPr>
            <w:tcW w:w="937" w:type="dxa"/>
            <w:tcBorders>
              <w:top w:val="nil"/>
              <w:left w:val="nil"/>
              <w:bottom w:val="single" w:sz="4" w:space="0" w:color="auto"/>
              <w:right w:val="single" w:sz="4" w:space="0" w:color="auto"/>
            </w:tcBorders>
            <w:shd w:val="clear" w:color="auto" w:fill="C6EFCE"/>
            <w:noWrap/>
          </w:tcPr>
          <w:p w14:paraId="2AE0C24A" w14:textId="77777777" w:rsidR="00895175" w:rsidRPr="0051384F" w:rsidRDefault="00895175" w:rsidP="0066695B">
            <w:pPr>
              <w:spacing w:after="0"/>
              <w:jc w:val="center"/>
              <w:rPr>
                <w:rFonts w:ascii="Times New Roman" w:hAnsi="Times New Roman" w:cs="Times New Roman"/>
                <w:noProof/>
                <w:color w:val="006100"/>
                <w:sz w:val="20"/>
                <w:szCs w:val="20"/>
                <w:lang w:val="en-US"/>
              </w:rPr>
            </w:pPr>
          </w:p>
        </w:tc>
        <w:tc>
          <w:tcPr>
            <w:tcW w:w="850" w:type="dxa"/>
            <w:tcBorders>
              <w:top w:val="nil"/>
              <w:left w:val="nil"/>
              <w:bottom w:val="single" w:sz="4" w:space="0" w:color="auto"/>
              <w:right w:val="single" w:sz="4" w:space="0" w:color="auto"/>
            </w:tcBorders>
            <w:shd w:val="clear" w:color="auto" w:fill="C6EFCE"/>
            <w:noWrap/>
          </w:tcPr>
          <w:p w14:paraId="0B8A6A6D" w14:textId="77777777" w:rsidR="00895175" w:rsidRPr="0051384F" w:rsidRDefault="00895175" w:rsidP="0066695B">
            <w:pPr>
              <w:spacing w:after="0"/>
              <w:jc w:val="center"/>
              <w:rPr>
                <w:rFonts w:ascii="Times New Roman" w:hAnsi="Times New Roman" w:cs="Times New Roman"/>
                <w:noProof/>
                <w:color w:val="006100"/>
                <w:sz w:val="20"/>
                <w:szCs w:val="20"/>
                <w:lang w:val="en-US"/>
              </w:rPr>
            </w:pPr>
          </w:p>
        </w:tc>
        <w:tc>
          <w:tcPr>
            <w:tcW w:w="709" w:type="dxa"/>
            <w:tcBorders>
              <w:top w:val="nil"/>
              <w:left w:val="nil"/>
              <w:bottom w:val="single" w:sz="4" w:space="0" w:color="auto"/>
              <w:right w:val="single" w:sz="4" w:space="0" w:color="auto"/>
            </w:tcBorders>
            <w:shd w:val="clear" w:color="auto" w:fill="C6EFCE"/>
            <w:noWrap/>
          </w:tcPr>
          <w:p w14:paraId="58218D65" w14:textId="77777777" w:rsidR="00895175" w:rsidRPr="0051384F" w:rsidRDefault="00895175" w:rsidP="0066695B">
            <w:pPr>
              <w:spacing w:after="0"/>
              <w:jc w:val="center"/>
              <w:rPr>
                <w:rFonts w:ascii="Times New Roman" w:hAnsi="Times New Roman" w:cs="Times New Roman"/>
                <w:noProof/>
                <w:color w:val="006100"/>
                <w:sz w:val="20"/>
                <w:szCs w:val="20"/>
                <w:lang w:val="en-US"/>
              </w:rPr>
            </w:pPr>
          </w:p>
        </w:tc>
        <w:tc>
          <w:tcPr>
            <w:tcW w:w="850" w:type="dxa"/>
            <w:tcBorders>
              <w:top w:val="nil"/>
              <w:left w:val="nil"/>
              <w:bottom w:val="single" w:sz="4" w:space="0" w:color="auto"/>
              <w:right w:val="single" w:sz="4" w:space="0" w:color="auto"/>
            </w:tcBorders>
            <w:shd w:val="clear" w:color="auto" w:fill="C6EFCE"/>
            <w:noWrap/>
          </w:tcPr>
          <w:p w14:paraId="1A3A4591" w14:textId="77777777" w:rsidR="00895175" w:rsidRPr="0051384F" w:rsidRDefault="00895175" w:rsidP="0066695B">
            <w:pPr>
              <w:spacing w:after="0"/>
              <w:jc w:val="center"/>
              <w:rPr>
                <w:rFonts w:ascii="Times New Roman" w:hAnsi="Times New Roman" w:cs="Times New Roman"/>
                <w:noProof/>
                <w:color w:val="006100"/>
                <w:sz w:val="20"/>
                <w:szCs w:val="20"/>
              </w:rPr>
            </w:pPr>
            <w:r>
              <w:rPr>
                <w:rFonts w:ascii="Times New Roman" w:hAnsi="Times New Roman"/>
                <w:noProof/>
                <w:color w:val="006100"/>
                <w:sz w:val="20"/>
              </w:rPr>
              <w:t>T1</w:t>
            </w:r>
          </w:p>
        </w:tc>
        <w:tc>
          <w:tcPr>
            <w:tcW w:w="851" w:type="dxa"/>
            <w:tcBorders>
              <w:top w:val="nil"/>
              <w:left w:val="nil"/>
              <w:bottom w:val="single" w:sz="4" w:space="0" w:color="auto"/>
              <w:right w:val="single" w:sz="4" w:space="0" w:color="auto"/>
            </w:tcBorders>
            <w:shd w:val="clear" w:color="auto" w:fill="C6EFCE"/>
            <w:noWrap/>
          </w:tcPr>
          <w:p w14:paraId="488B9867" w14:textId="77777777" w:rsidR="00895175" w:rsidRPr="0051384F" w:rsidRDefault="00895175" w:rsidP="0066695B">
            <w:pPr>
              <w:spacing w:after="0"/>
              <w:jc w:val="center"/>
              <w:rPr>
                <w:rFonts w:ascii="Times New Roman" w:hAnsi="Times New Roman" w:cs="Times New Roman"/>
                <w:noProof/>
                <w:color w:val="006100"/>
                <w:sz w:val="20"/>
                <w:szCs w:val="20"/>
              </w:rPr>
            </w:pPr>
            <w:r>
              <w:rPr>
                <w:rFonts w:ascii="Times New Roman" w:hAnsi="Times New Roman"/>
                <w:noProof/>
                <w:color w:val="006100"/>
                <w:sz w:val="20"/>
              </w:rPr>
              <w:t>2023</w:t>
            </w:r>
          </w:p>
        </w:tc>
        <w:tc>
          <w:tcPr>
            <w:tcW w:w="4450" w:type="dxa"/>
            <w:tcBorders>
              <w:top w:val="nil"/>
              <w:left w:val="nil"/>
              <w:bottom w:val="single" w:sz="4" w:space="0" w:color="auto"/>
              <w:right w:val="single" w:sz="4" w:space="0" w:color="auto"/>
            </w:tcBorders>
            <w:shd w:val="clear" w:color="auto" w:fill="C6EFCE"/>
            <w:noWrap/>
          </w:tcPr>
          <w:p w14:paraId="2E628142" w14:textId="00F9592B" w:rsidR="00895175" w:rsidRPr="0051384F" w:rsidRDefault="00895175"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 xml:space="preserve">За избора на изпълнители се провеждат процедури за възлагане на обществени поръчки. </w:t>
            </w:r>
          </w:p>
          <w:p w14:paraId="140592A7" w14:textId="77777777" w:rsidR="00895175" w:rsidRPr="008A0F8A" w:rsidRDefault="00895175" w:rsidP="0066695B">
            <w:pPr>
              <w:spacing w:after="0"/>
              <w:rPr>
                <w:rFonts w:ascii="Times New Roman" w:hAnsi="Times New Roman" w:cs="Times New Roman"/>
                <w:noProof/>
                <w:color w:val="006100"/>
                <w:sz w:val="20"/>
                <w:szCs w:val="20"/>
                <w:lang w:val="ru-RU"/>
              </w:rPr>
            </w:pPr>
          </w:p>
          <w:p w14:paraId="34D7C3B2" w14:textId="77777777" w:rsidR="00895175" w:rsidRPr="0051384F" w:rsidRDefault="00895175"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 xml:space="preserve">Договорите обхващат предоставянето и доставката на вертолети, които: </w:t>
            </w:r>
          </w:p>
          <w:p w14:paraId="547B51E3" w14:textId="77777777" w:rsidR="00895175" w:rsidRPr="0051384F" w:rsidRDefault="00895175" w:rsidP="002E73ED">
            <w:pPr>
              <w:pStyle w:val="ListParagraph"/>
              <w:numPr>
                <w:ilvl w:val="0"/>
                <w:numId w:val="11"/>
              </w:numPr>
              <w:spacing w:after="0"/>
              <w:ind w:left="360"/>
              <w:rPr>
                <w:rFonts w:ascii="Times New Roman" w:hAnsi="Times New Roman" w:cs="Times New Roman"/>
                <w:noProof/>
                <w:color w:val="006100"/>
                <w:sz w:val="20"/>
                <w:szCs w:val="20"/>
              </w:rPr>
            </w:pPr>
            <w:r>
              <w:rPr>
                <w:rFonts w:ascii="Times New Roman" w:hAnsi="Times New Roman"/>
                <w:noProof/>
                <w:color w:val="006100"/>
                <w:sz w:val="20"/>
              </w:rPr>
              <w:t xml:space="preserve">са класифицирани в категория A, клас 1 или 2, за да отговарят на изискванията на Регламент № 965/2012 (част ORO, част CAT или част SPA); </w:t>
            </w:r>
          </w:p>
          <w:p w14:paraId="1A016395" w14:textId="77777777" w:rsidR="00895175" w:rsidRPr="0051384F" w:rsidRDefault="00895175" w:rsidP="002E73ED">
            <w:pPr>
              <w:pStyle w:val="ListParagraph"/>
              <w:numPr>
                <w:ilvl w:val="0"/>
                <w:numId w:val="11"/>
              </w:numPr>
              <w:spacing w:after="0"/>
              <w:ind w:left="360"/>
              <w:rPr>
                <w:rFonts w:ascii="Times New Roman" w:hAnsi="Times New Roman" w:cs="Times New Roman"/>
                <w:noProof/>
                <w:color w:val="006100"/>
                <w:sz w:val="20"/>
                <w:szCs w:val="20"/>
              </w:rPr>
            </w:pPr>
            <w:r>
              <w:rPr>
                <w:rFonts w:ascii="Times New Roman" w:hAnsi="Times New Roman"/>
                <w:noProof/>
                <w:color w:val="006100"/>
                <w:sz w:val="20"/>
              </w:rPr>
              <w:t>включва медицинско оборудване, както и наземно оборудване и инструменти и измервателна апаратура;</w:t>
            </w:r>
          </w:p>
          <w:p w14:paraId="4256171B" w14:textId="77777777" w:rsidR="00895175" w:rsidRPr="008A0F8A" w:rsidRDefault="00895175" w:rsidP="0066695B">
            <w:pPr>
              <w:spacing w:after="0"/>
              <w:rPr>
                <w:rFonts w:ascii="Times New Roman" w:hAnsi="Times New Roman" w:cs="Times New Roman"/>
                <w:noProof/>
                <w:color w:val="006100"/>
                <w:sz w:val="20"/>
                <w:szCs w:val="20"/>
                <w:lang w:val="ru-RU"/>
              </w:rPr>
            </w:pPr>
          </w:p>
          <w:p w14:paraId="7BC147B0" w14:textId="77777777" w:rsidR="00895175" w:rsidRPr="0051384F" w:rsidRDefault="00895175"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Договорите обхващат също така осигуряването на обучения за пилотите да използват оборудването.</w:t>
            </w:r>
          </w:p>
          <w:p w14:paraId="40E825D2" w14:textId="77777777" w:rsidR="00895175" w:rsidRPr="008A0F8A" w:rsidRDefault="00895175" w:rsidP="0066695B">
            <w:pPr>
              <w:spacing w:after="0"/>
              <w:rPr>
                <w:rFonts w:ascii="Times New Roman" w:hAnsi="Times New Roman" w:cs="Times New Roman"/>
                <w:noProof/>
                <w:color w:val="006100"/>
                <w:sz w:val="20"/>
                <w:szCs w:val="20"/>
                <w:lang w:val="ru-RU"/>
              </w:rPr>
            </w:pPr>
          </w:p>
          <w:p w14:paraId="24FFBEEF" w14:textId="77777777" w:rsidR="00895175" w:rsidRPr="0051384F" w:rsidRDefault="00895175"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В допълнение договорите обхващат строителните работи за оперативни площадки с хангари за системата за оказване на спешна медицинска помощ по въздуха.</w:t>
            </w:r>
          </w:p>
        </w:tc>
      </w:tr>
      <w:tr w:rsidR="00895175" w:rsidRPr="005241FC" w14:paraId="34403BC3" w14:textId="77777777" w:rsidTr="0DF4F0A1">
        <w:trPr>
          <w:trHeight w:val="309"/>
          <w:jc w:val="center"/>
        </w:trPr>
        <w:tc>
          <w:tcPr>
            <w:tcW w:w="595" w:type="dxa"/>
            <w:tcBorders>
              <w:top w:val="nil"/>
              <w:left w:val="single" w:sz="4" w:space="0" w:color="auto"/>
              <w:bottom w:val="single" w:sz="4" w:space="0" w:color="auto"/>
              <w:right w:val="single" w:sz="4" w:space="0" w:color="auto"/>
            </w:tcBorders>
            <w:shd w:val="clear" w:color="auto" w:fill="C6EFCE"/>
            <w:noWrap/>
          </w:tcPr>
          <w:p w14:paraId="50EBF4E8" w14:textId="392C83FE" w:rsidR="00895175" w:rsidRPr="0051384F" w:rsidRDefault="00992016" w:rsidP="006A7CD4">
            <w:pPr>
              <w:spacing w:after="0"/>
              <w:jc w:val="center"/>
              <w:rPr>
                <w:rFonts w:ascii="Times New Roman" w:hAnsi="Times New Roman" w:cs="Times New Roman"/>
                <w:noProof/>
                <w:color w:val="006100"/>
                <w:sz w:val="20"/>
                <w:szCs w:val="20"/>
              </w:rPr>
            </w:pPr>
            <w:r>
              <w:rPr>
                <w:rFonts w:ascii="Times New Roman" w:hAnsi="Times New Roman"/>
                <w:noProof/>
                <w:color w:val="006100"/>
                <w:sz w:val="20"/>
              </w:rPr>
              <w:t>337</w:t>
            </w:r>
          </w:p>
        </w:tc>
        <w:tc>
          <w:tcPr>
            <w:tcW w:w="1701" w:type="dxa"/>
            <w:tcBorders>
              <w:top w:val="nil"/>
              <w:left w:val="nil"/>
              <w:bottom w:val="single" w:sz="4" w:space="0" w:color="auto"/>
              <w:right w:val="single" w:sz="4" w:space="0" w:color="auto"/>
            </w:tcBorders>
            <w:shd w:val="clear" w:color="auto" w:fill="C6EFCE"/>
            <w:noWrap/>
          </w:tcPr>
          <w:p w14:paraId="071F47E5" w14:textId="77777777" w:rsidR="00895175" w:rsidRPr="0051384F" w:rsidRDefault="00895175" w:rsidP="003B02A1">
            <w:pPr>
              <w:spacing w:after="0"/>
              <w:rPr>
                <w:rFonts w:ascii="Times New Roman" w:hAnsi="Times New Roman" w:cs="Times New Roman"/>
                <w:noProof/>
                <w:color w:val="006100"/>
                <w:sz w:val="20"/>
                <w:szCs w:val="20"/>
              </w:rPr>
            </w:pPr>
            <w:r>
              <w:rPr>
                <w:rFonts w:ascii="Times New Roman" w:hAnsi="Times New Roman"/>
                <w:noProof/>
                <w:color w:val="006100"/>
                <w:sz w:val="20"/>
              </w:rPr>
              <w:t>C12.I4:</w:t>
            </w:r>
          </w:p>
          <w:p w14:paraId="5615DDFA" w14:textId="77777777" w:rsidR="00895175" w:rsidRPr="0051384F" w:rsidRDefault="00895175" w:rsidP="003B02A1">
            <w:pPr>
              <w:spacing w:after="0"/>
              <w:rPr>
                <w:rFonts w:ascii="Times New Roman" w:hAnsi="Times New Roman" w:cs="Times New Roman"/>
                <w:noProof/>
                <w:color w:val="006100"/>
                <w:sz w:val="20"/>
                <w:szCs w:val="20"/>
              </w:rPr>
            </w:pPr>
            <w:r>
              <w:rPr>
                <w:rFonts w:ascii="Times New Roman" w:hAnsi="Times New Roman"/>
                <w:noProof/>
                <w:color w:val="006100"/>
                <w:sz w:val="20"/>
              </w:rPr>
              <w:t>Създаване на система за оказване на спешна медицинска помощ по въздуха</w:t>
            </w:r>
          </w:p>
        </w:tc>
        <w:tc>
          <w:tcPr>
            <w:tcW w:w="993" w:type="dxa"/>
            <w:tcBorders>
              <w:top w:val="nil"/>
              <w:left w:val="nil"/>
              <w:bottom w:val="single" w:sz="4" w:space="0" w:color="auto"/>
              <w:right w:val="single" w:sz="4" w:space="0" w:color="auto"/>
            </w:tcBorders>
            <w:shd w:val="clear" w:color="auto" w:fill="C6EFCE"/>
            <w:noWrap/>
          </w:tcPr>
          <w:p w14:paraId="1FF1AC18" w14:textId="77777777" w:rsidR="00895175" w:rsidRPr="0051384F" w:rsidRDefault="00895175" w:rsidP="0066695B">
            <w:pPr>
              <w:spacing w:after="0"/>
              <w:jc w:val="center"/>
              <w:rPr>
                <w:rFonts w:ascii="Times New Roman" w:hAnsi="Times New Roman" w:cs="Times New Roman"/>
                <w:noProof/>
                <w:color w:val="006100"/>
                <w:sz w:val="20"/>
                <w:szCs w:val="20"/>
              </w:rPr>
            </w:pPr>
            <w:r>
              <w:rPr>
                <w:rFonts w:ascii="Times New Roman" w:hAnsi="Times New Roman"/>
                <w:noProof/>
                <w:color w:val="006100"/>
                <w:sz w:val="20"/>
              </w:rPr>
              <w:t>Цел</w:t>
            </w:r>
          </w:p>
        </w:tc>
        <w:tc>
          <w:tcPr>
            <w:tcW w:w="1901" w:type="dxa"/>
            <w:tcBorders>
              <w:top w:val="nil"/>
              <w:left w:val="nil"/>
              <w:bottom w:val="single" w:sz="4" w:space="0" w:color="auto"/>
              <w:right w:val="single" w:sz="4" w:space="0" w:color="auto"/>
            </w:tcBorders>
            <w:shd w:val="clear" w:color="auto" w:fill="C6EFCE"/>
            <w:noWrap/>
          </w:tcPr>
          <w:p w14:paraId="1563DA41" w14:textId="77777777" w:rsidR="00895175" w:rsidRPr="0051384F" w:rsidRDefault="00895175"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Доставка на вертолетите за системата за оказване на спешна помощ по въздуха</w:t>
            </w:r>
          </w:p>
        </w:tc>
        <w:tc>
          <w:tcPr>
            <w:tcW w:w="1473" w:type="dxa"/>
            <w:tcBorders>
              <w:top w:val="nil"/>
              <w:left w:val="nil"/>
              <w:bottom w:val="single" w:sz="4" w:space="0" w:color="auto"/>
              <w:right w:val="single" w:sz="4" w:space="0" w:color="auto"/>
            </w:tcBorders>
            <w:shd w:val="clear" w:color="auto" w:fill="C6EFCE"/>
            <w:noWrap/>
          </w:tcPr>
          <w:p w14:paraId="32B8B8AB" w14:textId="77777777" w:rsidR="00895175" w:rsidRPr="008A0F8A" w:rsidRDefault="00895175" w:rsidP="0066695B">
            <w:pPr>
              <w:spacing w:after="0"/>
              <w:jc w:val="center"/>
              <w:rPr>
                <w:rFonts w:ascii="Times New Roman" w:hAnsi="Times New Roman" w:cs="Times New Roman"/>
                <w:noProof/>
                <w:color w:val="006100"/>
                <w:sz w:val="20"/>
                <w:szCs w:val="20"/>
                <w:lang w:val="ru-RU"/>
              </w:rPr>
            </w:pPr>
          </w:p>
        </w:tc>
        <w:tc>
          <w:tcPr>
            <w:tcW w:w="937" w:type="dxa"/>
            <w:tcBorders>
              <w:top w:val="nil"/>
              <w:left w:val="nil"/>
              <w:bottom w:val="single" w:sz="4" w:space="0" w:color="auto"/>
              <w:right w:val="single" w:sz="4" w:space="0" w:color="auto"/>
            </w:tcBorders>
            <w:shd w:val="clear" w:color="auto" w:fill="C6EFCE"/>
            <w:noWrap/>
          </w:tcPr>
          <w:p w14:paraId="739155C7" w14:textId="77777777" w:rsidR="00895175" w:rsidRPr="0051384F" w:rsidRDefault="00895175" w:rsidP="0066695B">
            <w:pPr>
              <w:spacing w:after="0"/>
              <w:jc w:val="center"/>
              <w:rPr>
                <w:rFonts w:ascii="Times New Roman" w:hAnsi="Times New Roman" w:cs="Times New Roman"/>
                <w:noProof/>
                <w:color w:val="006100"/>
                <w:sz w:val="20"/>
                <w:szCs w:val="20"/>
              </w:rPr>
            </w:pPr>
            <w:r>
              <w:rPr>
                <w:rFonts w:ascii="Times New Roman" w:hAnsi="Times New Roman"/>
                <w:noProof/>
                <w:color w:val="006100"/>
                <w:sz w:val="20"/>
              </w:rPr>
              <w:t>Брой</w:t>
            </w:r>
          </w:p>
        </w:tc>
        <w:tc>
          <w:tcPr>
            <w:tcW w:w="850" w:type="dxa"/>
            <w:tcBorders>
              <w:top w:val="nil"/>
              <w:left w:val="nil"/>
              <w:bottom w:val="single" w:sz="4" w:space="0" w:color="auto"/>
              <w:right w:val="single" w:sz="4" w:space="0" w:color="auto"/>
            </w:tcBorders>
            <w:shd w:val="clear" w:color="auto" w:fill="C6EFCE"/>
            <w:noWrap/>
          </w:tcPr>
          <w:p w14:paraId="2994B572" w14:textId="77777777" w:rsidR="00895175" w:rsidRPr="0051384F" w:rsidRDefault="00895175" w:rsidP="0066695B">
            <w:pPr>
              <w:spacing w:after="0"/>
              <w:jc w:val="center"/>
              <w:rPr>
                <w:rFonts w:ascii="Times New Roman" w:hAnsi="Times New Roman" w:cs="Times New Roman"/>
                <w:noProof/>
                <w:color w:val="006100"/>
                <w:sz w:val="20"/>
                <w:szCs w:val="20"/>
              </w:rPr>
            </w:pPr>
            <w:r>
              <w:rPr>
                <w:rFonts w:ascii="Times New Roman" w:hAnsi="Times New Roman"/>
                <w:noProof/>
                <w:color w:val="006100"/>
                <w:sz w:val="20"/>
              </w:rPr>
              <w:t>0</w:t>
            </w:r>
          </w:p>
        </w:tc>
        <w:tc>
          <w:tcPr>
            <w:tcW w:w="709" w:type="dxa"/>
            <w:tcBorders>
              <w:top w:val="nil"/>
              <w:left w:val="nil"/>
              <w:bottom w:val="single" w:sz="4" w:space="0" w:color="auto"/>
              <w:right w:val="single" w:sz="4" w:space="0" w:color="auto"/>
            </w:tcBorders>
            <w:shd w:val="clear" w:color="auto" w:fill="C6EFCE"/>
            <w:noWrap/>
          </w:tcPr>
          <w:p w14:paraId="49019D85" w14:textId="77777777" w:rsidR="00895175" w:rsidRPr="0051384F" w:rsidRDefault="00895175" w:rsidP="0066695B">
            <w:pPr>
              <w:spacing w:after="0"/>
              <w:jc w:val="center"/>
              <w:rPr>
                <w:rFonts w:ascii="Times New Roman" w:hAnsi="Times New Roman" w:cs="Times New Roman"/>
                <w:noProof/>
                <w:color w:val="006100"/>
                <w:sz w:val="20"/>
                <w:szCs w:val="20"/>
              </w:rPr>
            </w:pPr>
            <w:r>
              <w:rPr>
                <w:rFonts w:ascii="Times New Roman" w:hAnsi="Times New Roman"/>
                <w:noProof/>
                <w:color w:val="006100"/>
                <w:sz w:val="20"/>
              </w:rPr>
              <w:t>5</w:t>
            </w:r>
          </w:p>
        </w:tc>
        <w:tc>
          <w:tcPr>
            <w:tcW w:w="850" w:type="dxa"/>
            <w:tcBorders>
              <w:top w:val="nil"/>
              <w:left w:val="nil"/>
              <w:bottom w:val="single" w:sz="4" w:space="0" w:color="auto"/>
              <w:right w:val="single" w:sz="4" w:space="0" w:color="auto"/>
            </w:tcBorders>
            <w:shd w:val="clear" w:color="auto" w:fill="C6EFCE"/>
            <w:noWrap/>
          </w:tcPr>
          <w:p w14:paraId="5E04DF9D" w14:textId="77777777" w:rsidR="00895175" w:rsidRPr="0051384F" w:rsidRDefault="00895175" w:rsidP="0066695B">
            <w:pPr>
              <w:spacing w:after="0"/>
              <w:jc w:val="center"/>
              <w:rPr>
                <w:rFonts w:ascii="Times New Roman" w:hAnsi="Times New Roman" w:cs="Times New Roman"/>
                <w:noProof/>
                <w:color w:val="006100"/>
                <w:sz w:val="20"/>
                <w:szCs w:val="20"/>
              </w:rPr>
            </w:pPr>
            <w:r>
              <w:rPr>
                <w:rFonts w:ascii="Times New Roman" w:hAnsi="Times New Roman"/>
                <w:noProof/>
                <w:color w:val="006100"/>
                <w:sz w:val="20"/>
              </w:rPr>
              <w:t>T2</w:t>
            </w:r>
          </w:p>
        </w:tc>
        <w:tc>
          <w:tcPr>
            <w:tcW w:w="851" w:type="dxa"/>
            <w:tcBorders>
              <w:top w:val="nil"/>
              <w:left w:val="nil"/>
              <w:bottom w:val="single" w:sz="4" w:space="0" w:color="auto"/>
              <w:right w:val="single" w:sz="4" w:space="0" w:color="auto"/>
            </w:tcBorders>
            <w:shd w:val="clear" w:color="auto" w:fill="C6EFCE"/>
            <w:noWrap/>
          </w:tcPr>
          <w:p w14:paraId="7C03843D" w14:textId="77777777" w:rsidR="00895175" w:rsidRPr="0051384F" w:rsidRDefault="00895175" w:rsidP="0066695B">
            <w:pPr>
              <w:spacing w:after="0"/>
              <w:jc w:val="center"/>
              <w:rPr>
                <w:rFonts w:ascii="Times New Roman" w:hAnsi="Times New Roman" w:cs="Times New Roman"/>
                <w:noProof/>
                <w:color w:val="006100"/>
                <w:sz w:val="20"/>
                <w:szCs w:val="20"/>
              </w:rPr>
            </w:pPr>
            <w:r>
              <w:rPr>
                <w:rFonts w:ascii="Times New Roman" w:hAnsi="Times New Roman"/>
                <w:noProof/>
                <w:color w:val="006100"/>
                <w:sz w:val="20"/>
              </w:rPr>
              <w:t>2026</w:t>
            </w:r>
          </w:p>
        </w:tc>
        <w:tc>
          <w:tcPr>
            <w:tcW w:w="4450" w:type="dxa"/>
            <w:tcBorders>
              <w:top w:val="nil"/>
              <w:left w:val="nil"/>
              <w:bottom w:val="single" w:sz="4" w:space="0" w:color="auto"/>
              <w:right w:val="single" w:sz="4" w:space="0" w:color="auto"/>
            </w:tcBorders>
            <w:shd w:val="clear" w:color="auto" w:fill="C6EFCE"/>
            <w:noWrap/>
          </w:tcPr>
          <w:p w14:paraId="2DF5222E" w14:textId="1E6A0CD7" w:rsidR="00895175" w:rsidRPr="0051384F" w:rsidRDefault="00895175"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 xml:space="preserve">След сключването на договори (ключов етап 336) се доставят пет вертолета с необходимото медицинско оборудване. </w:t>
            </w:r>
          </w:p>
          <w:p w14:paraId="302D08AB" w14:textId="77777777" w:rsidR="00895175" w:rsidRPr="008A0F8A" w:rsidRDefault="00895175" w:rsidP="0066695B">
            <w:pPr>
              <w:spacing w:after="0"/>
              <w:rPr>
                <w:rFonts w:ascii="Times New Roman" w:hAnsi="Times New Roman" w:cs="Times New Roman"/>
                <w:noProof/>
                <w:color w:val="006100"/>
                <w:sz w:val="20"/>
                <w:szCs w:val="20"/>
                <w:lang w:val="ru-RU"/>
              </w:rPr>
            </w:pPr>
          </w:p>
          <w:p w14:paraId="4AB24650" w14:textId="77777777" w:rsidR="00895175" w:rsidRPr="0051384F" w:rsidRDefault="00895175"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Успешната доставка се потвърждава с подписването на съответните приемно-предавателни протоколи.</w:t>
            </w:r>
          </w:p>
        </w:tc>
      </w:tr>
      <w:tr w:rsidR="00895175" w:rsidRPr="005241FC" w14:paraId="4D4E7C38" w14:textId="77777777" w:rsidTr="0DF4F0A1">
        <w:trPr>
          <w:trHeight w:val="309"/>
          <w:jc w:val="center"/>
        </w:trPr>
        <w:tc>
          <w:tcPr>
            <w:tcW w:w="595" w:type="dxa"/>
            <w:tcBorders>
              <w:top w:val="nil"/>
              <w:left w:val="single" w:sz="4" w:space="0" w:color="auto"/>
              <w:bottom w:val="single" w:sz="4" w:space="0" w:color="auto"/>
              <w:right w:val="single" w:sz="4" w:space="0" w:color="auto"/>
            </w:tcBorders>
            <w:shd w:val="clear" w:color="auto" w:fill="C6EFCE"/>
            <w:noWrap/>
          </w:tcPr>
          <w:p w14:paraId="1F41735F" w14:textId="7BAABA89" w:rsidR="00895175" w:rsidRPr="0051384F" w:rsidRDefault="00992016" w:rsidP="0066695B">
            <w:pPr>
              <w:spacing w:after="0"/>
              <w:jc w:val="center"/>
              <w:rPr>
                <w:rFonts w:ascii="Times New Roman" w:hAnsi="Times New Roman" w:cs="Times New Roman"/>
                <w:noProof/>
                <w:color w:val="006100"/>
                <w:sz w:val="20"/>
                <w:szCs w:val="20"/>
              </w:rPr>
            </w:pPr>
            <w:r>
              <w:rPr>
                <w:rFonts w:ascii="Times New Roman" w:hAnsi="Times New Roman"/>
                <w:noProof/>
                <w:color w:val="006100"/>
                <w:sz w:val="20"/>
              </w:rPr>
              <w:t>338</w:t>
            </w:r>
          </w:p>
        </w:tc>
        <w:tc>
          <w:tcPr>
            <w:tcW w:w="1701" w:type="dxa"/>
            <w:tcBorders>
              <w:top w:val="nil"/>
              <w:left w:val="nil"/>
              <w:bottom w:val="single" w:sz="4" w:space="0" w:color="auto"/>
              <w:right w:val="single" w:sz="4" w:space="0" w:color="auto"/>
            </w:tcBorders>
            <w:shd w:val="clear" w:color="auto" w:fill="C6EFCE"/>
            <w:noWrap/>
          </w:tcPr>
          <w:p w14:paraId="2CF3BA96" w14:textId="77777777" w:rsidR="00895175" w:rsidRPr="0051384F" w:rsidRDefault="00895175" w:rsidP="003B02A1">
            <w:pPr>
              <w:spacing w:after="0"/>
              <w:rPr>
                <w:rFonts w:ascii="Times New Roman" w:hAnsi="Times New Roman" w:cs="Times New Roman"/>
                <w:noProof/>
                <w:color w:val="006100"/>
                <w:sz w:val="20"/>
                <w:szCs w:val="20"/>
              </w:rPr>
            </w:pPr>
            <w:r>
              <w:rPr>
                <w:rFonts w:ascii="Times New Roman" w:hAnsi="Times New Roman"/>
                <w:noProof/>
                <w:color w:val="006100"/>
                <w:sz w:val="20"/>
              </w:rPr>
              <w:t>C12.I4:</w:t>
            </w:r>
          </w:p>
          <w:p w14:paraId="1D49D360" w14:textId="77777777" w:rsidR="00895175" w:rsidRPr="0051384F" w:rsidRDefault="00895175" w:rsidP="003B02A1">
            <w:pPr>
              <w:spacing w:after="0"/>
              <w:rPr>
                <w:rFonts w:ascii="Times New Roman" w:hAnsi="Times New Roman" w:cs="Times New Roman"/>
                <w:noProof/>
                <w:color w:val="006100"/>
                <w:sz w:val="20"/>
                <w:szCs w:val="20"/>
              </w:rPr>
            </w:pPr>
            <w:r>
              <w:rPr>
                <w:rFonts w:ascii="Times New Roman" w:hAnsi="Times New Roman"/>
                <w:noProof/>
                <w:color w:val="006100"/>
                <w:sz w:val="20"/>
              </w:rPr>
              <w:t>Създаване на система за оказване на спешна медицинска помощ по въздуха</w:t>
            </w:r>
          </w:p>
        </w:tc>
        <w:tc>
          <w:tcPr>
            <w:tcW w:w="993" w:type="dxa"/>
            <w:tcBorders>
              <w:top w:val="nil"/>
              <w:left w:val="nil"/>
              <w:bottom w:val="single" w:sz="4" w:space="0" w:color="auto"/>
              <w:right w:val="single" w:sz="4" w:space="0" w:color="auto"/>
            </w:tcBorders>
            <w:shd w:val="clear" w:color="auto" w:fill="C6EFCE"/>
            <w:noWrap/>
          </w:tcPr>
          <w:p w14:paraId="343EDD45" w14:textId="77777777" w:rsidR="00895175" w:rsidRPr="0051384F" w:rsidRDefault="00895175" w:rsidP="0066695B">
            <w:pPr>
              <w:spacing w:after="0"/>
              <w:jc w:val="center"/>
              <w:rPr>
                <w:rFonts w:ascii="Times New Roman" w:hAnsi="Times New Roman" w:cs="Times New Roman"/>
                <w:noProof/>
                <w:color w:val="006100"/>
                <w:sz w:val="20"/>
                <w:szCs w:val="20"/>
              </w:rPr>
            </w:pPr>
            <w:r>
              <w:rPr>
                <w:rFonts w:ascii="Times New Roman" w:hAnsi="Times New Roman"/>
                <w:noProof/>
                <w:color w:val="006100"/>
                <w:sz w:val="20"/>
              </w:rPr>
              <w:t>Цел</w:t>
            </w:r>
          </w:p>
        </w:tc>
        <w:tc>
          <w:tcPr>
            <w:tcW w:w="1901" w:type="dxa"/>
            <w:tcBorders>
              <w:top w:val="nil"/>
              <w:left w:val="nil"/>
              <w:bottom w:val="single" w:sz="4" w:space="0" w:color="auto"/>
              <w:right w:val="single" w:sz="4" w:space="0" w:color="auto"/>
            </w:tcBorders>
            <w:shd w:val="clear" w:color="auto" w:fill="C6EFCE"/>
            <w:noWrap/>
          </w:tcPr>
          <w:p w14:paraId="6ABB8046" w14:textId="77777777" w:rsidR="00895175" w:rsidRPr="0051384F" w:rsidRDefault="00895175"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Хангари за системата за оказване на спешна медицинска помощ по въздуха</w:t>
            </w:r>
          </w:p>
        </w:tc>
        <w:tc>
          <w:tcPr>
            <w:tcW w:w="1473" w:type="dxa"/>
            <w:tcBorders>
              <w:top w:val="nil"/>
              <w:left w:val="nil"/>
              <w:bottom w:val="single" w:sz="4" w:space="0" w:color="auto"/>
              <w:right w:val="single" w:sz="4" w:space="0" w:color="auto"/>
            </w:tcBorders>
            <w:shd w:val="clear" w:color="auto" w:fill="C6EFCE"/>
            <w:noWrap/>
          </w:tcPr>
          <w:p w14:paraId="3634DFF6" w14:textId="77777777" w:rsidR="00895175" w:rsidRPr="008A0F8A" w:rsidRDefault="00895175" w:rsidP="0066695B">
            <w:pPr>
              <w:spacing w:after="0"/>
              <w:jc w:val="center"/>
              <w:rPr>
                <w:rFonts w:ascii="Times New Roman" w:hAnsi="Times New Roman" w:cs="Times New Roman"/>
                <w:noProof/>
                <w:color w:val="006100"/>
                <w:sz w:val="20"/>
                <w:szCs w:val="20"/>
                <w:lang w:val="ru-RU"/>
              </w:rPr>
            </w:pPr>
          </w:p>
        </w:tc>
        <w:tc>
          <w:tcPr>
            <w:tcW w:w="937" w:type="dxa"/>
            <w:tcBorders>
              <w:top w:val="nil"/>
              <w:left w:val="nil"/>
              <w:bottom w:val="single" w:sz="4" w:space="0" w:color="auto"/>
              <w:right w:val="single" w:sz="4" w:space="0" w:color="auto"/>
            </w:tcBorders>
            <w:shd w:val="clear" w:color="auto" w:fill="C6EFCE"/>
            <w:noWrap/>
          </w:tcPr>
          <w:p w14:paraId="2580B4BD" w14:textId="77777777" w:rsidR="00895175" w:rsidRPr="0051384F" w:rsidRDefault="00895175" w:rsidP="0066695B">
            <w:pPr>
              <w:spacing w:after="0"/>
              <w:jc w:val="center"/>
              <w:rPr>
                <w:rFonts w:ascii="Times New Roman" w:hAnsi="Times New Roman" w:cs="Times New Roman"/>
                <w:noProof/>
                <w:color w:val="006100"/>
                <w:sz w:val="20"/>
                <w:szCs w:val="20"/>
              </w:rPr>
            </w:pPr>
            <w:r>
              <w:rPr>
                <w:rFonts w:ascii="Times New Roman" w:hAnsi="Times New Roman"/>
                <w:noProof/>
                <w:color w:val="006100"/>
                <w:sz w:val="20"/>
              </w:rPr>
              <w:t>Брой</w:t>
            </w:r>
          </w:p>
        </w:tc>
        <w:tc>
          <w:tcPr>
            <w:tcW w:w="850" w:type="dxa"/>
            <w:tcBorders>
              <w:top w:val="nil"/>
              <w:left w:val="nil"/>
              <w:bottom w:val="single" w:sz="4" w:space="0" w:color="auto"/>
              <w:right w:val="single" w:sz="4" w:space="0" w:color="auto"/>
            </w:tcBorders>
            <w:shd w:val="clear" w:color="auto" w:fill="C6EFCE"/>
            <w:noWrap/>
          </w:tcPr>
          <w:p w14:paraId="55A27E5E" w14:textId="77777777" w:rsidR="00895175" w:rsidRPr="0051384F" w:rsidRDefault="00895175" w:rsidP="0066695B">
            <w:pPr>
              <w:spacing w:after="0"/>
              <w:jc w:val="center"/>
              <w:rPr>
                <w:rFonts w:ascii="Times New Roman" w:hAnsi="Times New Roman" w:cs="Times New Roman"/>
                <w:noProof/>
                <w:color w:val="006100"/>
                <w:sz w:val="20"/>
                <w:szCs w:val="20"/>
              </w:rPr>
            </w:pPr>
            <w:r>
              <w:rPr>
                <w:rFonts w:ascii="Times New Roman" w:hAnsi="Times New Roman"/>
                <w:noProof/>
                <w:color w:val="006100"/>
                <w:sz w:val="20"/>
              </w:rPr>
              <w:t>0</w:t>
            </w:r>
          </w:p>
        </w:tc>
        <w:tc>
          <w:tcPr>
            <w:tcW w:w="709" w:type="dxa"/>
            <w:tcBorders>
              <w:top w:val="nil"/>
              <w:left w:val="nil"/>
              <w:bottom w:val="single" w:sz="4" w:space="0" w:color="auto"/>
              <w:right w:val="single" w:sz="4" w:space="0" w:color="auto"/>
            </w:tcBorders>
            <w:shd w:val="clear" w:color="auto" w:fill="C6EFCE"/>
            <w:noWrap/>
          </w:tcPr>
          <w:p w14:paraId="55D6AF78" w14:textId="77777777" w:rsidR="00895175" w:rsidRPr="0051384F" w:rsidRDefault="00895175" w:rsidP="0066695B">
            <w:pPr>
              <w:spacing w:after="0"/>
              <w:jc w:val="center"/>
              <w:rPr>
                <w:rFonts w:ascii="Times New Roman" w:hAnsi="Times New Roman" w:cs="Times New Roman"/>
                <w:noProof/>
                <w:color w:val="006100"/>
                <w:sz w:val="20"/>
                <w:szCs w:val="20"/>
              </w:rPr>
            </w:pPr>
            <w:r>
              <w:rPr>
                <w:rFonts w:ascii="Times New Roman" w:hAnsi="Times New Roman"/>
                <w:noProof/>
                <w:color w:val="006100"/>
                <w:sz w:val="20"/>
              </w:rPr>
              <w:t>6</w:t>
            </w:r>
          </w:p>
        </w:tc>
        <w:tc>
          <w:tcPr>
            <w:tcW w:w="850" w:type="dxa"/>
            <w:tcBorders>
              <w:top w:val="nil"/>
              <w:left w:val="nil"/>
              <w:bottom w:val="single" w:sz="4" w:space="0" w:color="auto"/>
              <w:right w:val="single" w:sz="4" w:space="0" w:color="auto"/>
            </w:tcBorders>
            <w:shd w:val="clear" w:color="auto" w:fill="C6EFCE"/>
            <w:noWrap/>
          </w:tcPr>
          <w:p w14:paraId="281667D6" w14:textId="77777777" w:rsidR="00895175" w:rsidRPr="0051384F" w:rsidRDefault="00895175" w:rsidP="0066695B">
            <w:pPr>
              <w:spacing w:after="0"/>
              <w:jc w:val="center"/>
              <w:rPr>
                <w:rFonts w:ascii="Times New Roman" w:hAnsi="Times New Roman" w:cs="Times New Roman"/>
                <w:noProof/>
                <w:color w:val="006100"/>
                <w:sz w:val="20"/>
                <w:szCs w:val="20"/>
              </w:rPr>
            </w:pPr>
            <w:r>
              <w:rPr>
                <w:rFonts w:ascii="Times New Roman" w:hAnsi="Times New Roman"/>
                <w:noProof/>
                <w:color w:val="006100"/>
                <w:sz w:val="20"/>
              </w:rPr>
              <w:t>T2</w:t>
            </w:r>
          </w:p>
        </w:tc>
        <w:tc>
          <w:tcPr>
            <w:tcW w:w="851" w:type="dxa"/>
            <w:tcBorders>
              <w:top w:val="nil"/>
              <w:left w:val="nil"/>
              <w:bottom w:val="single" w:sz="4" w:space="0" w:color="auto"/>
              <w:right w:val="single" w:sz="4" w:space="0" w:color="auto"/>
            </w:tcBorders>
            <w:shd w:val="clear" w:color="auto" w:fill="C6EFCE"/>
            <w:noWrap/>
          </w:tcPr>
          <w:p w14:paraId="7E9A3D07" w14:textId="77777777" w:rsidR="00895175" w:rsidRPr="0051384F" w:rsidRDefault="00895175" w:rsidP="0066695B">
            <w:pPr>
              <w:spacing w:after="0"/>
              <w:jc w:val="center"/>
              <w:rPr>
                <w:rFonts w:ascii="Times New Roman" w:hAnsi="Times New Roman" w:cs="Times New Roman"/>
                <w:noProof/>
                <w:color w:val="006100"/>
                <w:sz w:val="20"/>
                <w:szCs w:val="20"/>
              </w:rPr>
            </w:pPr>
            <w:r>
              <w:rPr>
                <w:rFonts w:ascii="Times New Roman" w:hAnsi="Times New Roman"/>
                <w:noProof/>
                <w:color w:val="006100"/>
                <w:sz w:val="20"/>
              </w:rPr>
              <w:t>2026</w:t>
            </w:r>
          </w:p>
        </w:tc>
        <w:tc>
          <w:tcPr>
            <w:tcW w:w="4450" w:type="dxa"/>
            <w:tcBorders>
              <w:top w:val="nil"/>
              <w:left w:val="nil"/>
              <w:bottom w:val="single" w:sz="4" w:space="0" w:color="auto"/>
              <w:right w:val="single" w:sz="4" w:space="0" w:color="auto"/>
            </w:tcBorders>
            <w:shd w:val="clear" w:color="auto" w:fill="C6EFCE"/>
            <w:noWrap/>
          </w:tcPr>
          <w:p w14:paraId="7E242FE6" w14:textId="567BC6E2" w:rsidR="00895175" w:rsidRPr="0051384F" w:rsidRDefault="00895175" w:rsidP="00FD4934">
            <w:pPr>
              <w:spacing w:after="0"/>
              <w:rPr>
                <w:rFonts w:ascii="Times New Roman" w:hAnsi="Times New Roman" w:cs="Times New Roman"/>
                <w:noProof/>
                <w:color w:val="006100"/>
                <w:sz w:val="20"/>
                <w:szCs w:val="20"/>
              </w:rPr>
            </w:pPr>
            <w:r>
              <w:rPr>
                <w:rFonts w:ascii="Times New Roman" w:hAnsi="Times New Roman"/>
                <w:noProof/>
                <w:color w:val="006100"/>
                <w:sz w:val="20"/>
              </w:rPr>
              <w:t xml:space="preserve">След сключването на договори (ключов етап 336) се изпълняват строителните работи за оперативните площадки за системата за оказване спешна медицинска помощ по въздуха. В допълнение на тези оперативни площадки се доставя и монтира оборудване. </w:t>
            </w:r>
          </w:p>
        </w:tc>
      </w:tr>
      <w:tr w:rsidR="00895175" w:rsidRPr="005241FC" w14:paraId="74D147A1" w14:textId="77777777" w:rsidTr="0DF4F0A1">
        <w:trPr>
          <w:trHeight w:val="309"/>
          <w:jc w:val="center"/>
        </w:trPr>
        <w:tc>
          <w:tcPr>
            <w:tcW w:w="595" w:type="dxa"/>
            <w:tcBorders>
              <w:top w:val="nil"/>
              <w:left w:val="single" w:sz="4" w:space="0" w:color="auto"/>
              <w:bottom w:val="single" w:sz="4" w:space="0" w:color="auto"/>
              <w:right w:val="single" w:sz="4" w:space="0" w:color="auto"/>
            </w:tcBorders>
            <w:shd w:val="clear" w:color="auto" w:fill="C6EFCE"/>
            <w:noWrap/>
          </w:tcPr>
          <w:p w14:paraId="57005F50" w14:textId="07C3F84B" w:rsidR="00895175" w:rsidRPr="0051384F" w:rsidRDefault="00992016" w:rsidP="006A7CD4">
            <w:pPr>
              <w:spacing w:after="0"/>
              <w:jc w:val="center"/>
              <w:rPr>
                <w:rFonts w:ascii="Times New Roman" w:hAnsi="Times New Roman" w:cs="Times New Roman"/>
                <w:noProof/>
                <w:color w:val="006100"/>
                <w:sz w:val="20"/>
                <w:szCs w:val="20"/>
              </w:rPr>
            </w:pPr>
            <w:r>
              <w:rPr>
                <w:rFonts w:ascii="Times New Roman" w:hAnsi="Times New Roman"/>
                <w:noProof/>
                <w:color w:val="006100"/>
                <w:sz w:val="20"/>
              </w:rPr>
              <w:t>339</w:t>
            </w:r>
          </w:p>
        </w:tc>
        <w:tc>
          <w:tcPr>
            <w:tcW w:w="1701" w:type="dxa"/>
            <w:tcBorders>
              <w:top w:val="nil"/>
              <w:left w:val="nil"/>
              <w:bottom w:val="single" w:sz="4" w:space="0" w:color="auto"/>
              <w:right w:val="single" w:sz="4" w:space="0" w:color="auto"/>
            </w:tcBorders>
            <w:shd w:val="clear" w:color="auto" w:fill="C6EFCE"/>
            <w:noWrap/>
          </w:tcPr>
          <w:p w14:paraId="44555A47" w14:textId="77777777" w:rsidR="00895175" w:rsidRPr="0051384F" w:rsidRDefault="00895175" w:rsidP="003B02A1">
            <w:pPr>
              <w:spacing w:after="0"/>
              <w:rPr>
                <w:rFonts w:ascii="Times New Roman" w:hAnsi="Times New Roman" w:cs="Times New Roman"/>
                <w:noProof/>
                <w:color w:val="006100"/>
                <w:sz w:val="20"/>
                <w:szCs w:val="20"/>
              </w:rPr>
            </w:pPr>
            <w:r>
              <w:rPr>
                <w:rFonts w:ascii="Times New Roman" w:hAnsi="Times New Roman"/>
                <w:noProof/>
                <w:color w:val="006100"/>
                <w:sz w:val="20"/>
              </w:rPr>
              <w:t>C12.I5:</w:t>
            </w:r>
          </w:p>
          <w:p w14:paraId="197523F2" w14:textId="77777777" w:rsidR="00895175" w:rsidRPr="0051384F" w:rsidRDefault="00895175" w:rsidP="003B02A1">
            <w:pPr>
              <w:spacing w:after="0"/>
              <w:rPr>
                <w:rFonts w:ascii="Times New Roman" w:hAnsi="Times New Roman" w:cs="Times New Roman"/>
                <w:noProof/>
                <w:color w:val="006100"/>
                <w:sz w:val="20"/>
                <w:szCs w:val="20"/>
              </w:rPr>
            </w:pPr>
            <w:r>
              <w:rPr>
                <w:rFonts w:ascii="Times New Roman" w:hAnsi="Times New Roman"/>
                <w:noProof/>
                <w:color w:val="006100"/>
                <w:sz w:val="20"/>
              </w:rPr>
              <w:t>Национална цифрова платформа за медицинска диагностика</w:t>
            </w:r>
          </w:p>
        </w:tc>
        <w:tc>
          <w:tcPr>
            <w:tcW w:w="993" w:type="dxa"/>
            <w:tcBorders>
              <w:top w:val="nil"/>
              <w:left w:val="nil"/>
              <w:bottom w:val="single" w:sz="4" w:space="0" w:color="auto"/>
              <w:right w:val="single" w:sz="4" w:space="0" w:color="auto"/>
            </w:tcBorders>
            <w:shd w:val="clear" w:color="auto" w:fill="C6EFCE"/>
            <w:noWrap/>
          </w:tcPr>
          <w:p w14:paraId="3DF0BFB3" w14:textId="77777777" w:rsidR="00895175" w:rsidRPr="0051384F" w:rsidRDefault="00895175" w:rsidP="0066695B">
            <w:pPr>
              <w:spacing w:after="0"/>
              <w:jc w:val="center"/>
              <w:rPr>
                <w:rFonts w:ascii="Times New Roman" w:hAnsi="Times New Roman" w:cs="Times New Roman"/>
                <w:noProof/>
                <w:color w:val="006100"/>
                <w:sz w:val="20"/>
                <w:szCs w:val="20"/>
              </w:rPr>
            </w:pPr>
            <w:r>
              <w:rPr>
                <w:rFonts w:ascii="Times New Roman" w:hAnsi="Times New Roman"/>
                <w:noProof/>
                <w:color w:val="006100"/>
                <w:sz w:val="20"/>
              </w:rPr>
              <w:t>Ключов етап</w:t>
            </w:r>
          </w:p>
        </w:tc>
        <w:tc>
          <w:tcPr>
            <w:tcW w:w="1901" w:type="dxa"/>
            <w:tcBorders>
              <w:top w:val="nil"/>
              <w:left w:val="nil"/>
              <w:bottom w:val="single" w:sz="4" w:space="0" w:color="auto"/>
              <w:right w:val="single" w:sz="4" w:space="0" w:color="auto"/>
            </w:tcBorders>
            <w:shd w:val="clear" w:color="auto" w:fill="C6EFCE"/>
            <w:noWrap/>
          </w:tcPr>
          <w:p w14:paraId="57F70620" w14:textId="77777777" w:rsidR="00895175" w:rsidRPr="0051384F" w:rsidRDefault="00895175"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Сключване на договори за разработването на Националната цифрова платформа за медицинска диагностика</w:t>
            </w:r>
          </w:p>
        </w:tc>
        <w:tc>
          <w:tcPr>
            <w:tcW w:w="1473" w:type="dxa"/>
            <w:tcBorders>
              <w:top w:val="nil"/>
              <w:left w:val="nil"/>
              <w:bottom w:val="single" w:sz="4" w:space="0" w:color="auto"/>
              <w:right w:val="single" w:sz="4" w:space="0" w:color="auto"/>
            </w:tcBorders>
            <w:shd w:val="clear" w:color="auto" w:fill="C6EFCE"/>
            <w:noWrap/>
          </w:tcPr>
          <w:p w14:paraId="3AB2DA22" w14:textId="77777777" w:rsidR="00895175" w:rsidRPr="0051384F" w:rsidRDefault="00895175" w:rsidP="0066695B">
            <w:pPr>
              <w:spacing w:after="0"/>
              <w:jc w:val="center"/>
              <w:rPr>
                <w:rFonts w:ascii="Times New Roman" w:hAnsi="Times New Roman" w:cs="Times New Roman"/>
                <w:noProof/>
                <w:color w:val="006100"/>
                <w:sz w:val="20"/>
                <w:szCs w:val="20"/>
              </w:rPr>
            </w:pPr>
            <w:r>
              <w:rPr>
                <w:rFonts w:ascii="Times New Roman" w:hAnsi="Times New Roman"/>
                <w:noProof/>
                <w:color w:val="006100"/>
                <w:sz w:val="20"/>
              </w:rPr>
              <w:t>Сключени договори</w:t>
            </w:r>
          </w:p>
        </w:tc>
        <w:tc>
          <w:tcPr>
            <w:tcW w:w="937" w:type="dxa"/>
            <w:tcBorders>
              <w:top w:val="nil"/>
              <w:left w:val="nil"/>
              <w:bottom w:val="single" w:sz="4" w:space="0" w:color="auto"/>
              <w:right w:val="single" w:sz="4" w:space="0" w:color="auto"/>
            </w:tcBorders>
            <w:shd w:val="clear" w:color="auto" w:fill="C6EFCE"/>
            <w:noWrap/>
          </w:tcPr>
          <w:p w14:paraId="7A672264" w14:textId="77777777" w:rsidR="00895175" w:rsidRPr="0051384F" w:rsidRDefault="00895175" w:rsidP="0066695B">
            <w:pPr>
              <w:spacing w:after="0"/>
              <w:jc w:val="center"/>
              <w:rPr>
                <w:rFonts w:ascii="Times New Roman" w:hAnsi="Times New Roman" w:cs="Times New Roman"/>
                <w:noProof/>
                <w:color w:val="006100"/>
                <w:sz w:val="20"/>
                <w:szCs w:val="20"/>
                <w:lang w:val="en-US"/>
              </w:rPr>
            </w:pPr>
          </w:p>
        </w:tc>
        <w:tc>
          <w:tcPr>
            <w:tcW w:w="850" w:type="dxa"/>
            <w:tcBorders>
              <w:top w:val="nil"/>
              <w:left w:val="nil"/>
              <w:bottom w:val="single" w:sz="4" w:space="0" w:color="auto"/>
              <w:right w:val="single" w:sz="4" w:space="0" w:color="auto"/>
            </w:tcBorders>
            <w:shd w:val="clear" w:color="auto" w:fill="C6EFCE"/>
            <w:noWrap/>
          </w:tcPr>
          <w:p w14:paraId="619F4093" w14:textId="77777777" w:rsidR="00895175" w:rsidRPr="0051384F" w:rsidRDefault="00895175" w:rsidP="0066695B">
            <w:pPr>
              <w:spacing w:after="0"/>
              <w:jc w:val="center"/>
              <w:rPr>
                <w:rFonts w:ascii="Times New Roman" w:hAnsi="Times New Roman" w:cs="Times New Roman"/>
                <w:noProof/>
                <w:color w:val="006100"/>
                <w:sz w:val="20"/>
                <w:szCs w:val="20"/>
                <w:lang w:val="en-US"/>
              </w:rPr>
            </w:pPr>
          </w:p>
        </w:tc>
        <w:tc>
          <w:tcPr>
            <w:tcW w:w="709" w:type="dxa"/>
            <w:tcBorders>
              <w:top w:val="nil"/>
              <w:left w:val="nil"/>
              <w:bottom w:val="single" w:sz="4" w:space="0" w:color="auto"/>
              <w:right w:val="single" w:sz="4" w:space="0" w:color="auto"/>
            </w:tcBorders>
            <w:shd w:val="clear" w:color="auto" w:fill="C6EFCE"/>
            <w:noWrap/>
          </w:tcPr>
          <w:p w14:paraId="357D371F" w14:textId="77777777" w:rsidR="00895175" w:rsidRPr="0051384F" w:rsidRDefault="00895175" w:rsidP="0066695B">
            <w:pPr>
              <w:spacing w:after="0"/>
              <w:jc w:val="center"/>
              <w:rPr>
                <w:rFonts w:ascii="Times New Roman" w:hAnsi="Times New Roman" w:cs="Times New Roman"/>
                <w:noProof/>
                <w:color w:val="006100"/>
                <w:sz w:val="20"/>
                <w:szCs w:val="20"/>
                <w:lang w:val="en-US"/>
              </w:rPr>
            </w:pPr>
          </w:p>
        </w:tc>
        <w:tc>
          <w:tcPr>
            <w:tcW w:w="850" w:type="dxa"/>
            <w:tcBorders>
              <w:top w:val="nil"/>
              <w:left w:val="nil"/>
              <w:bottom w:val="single" w:sz="4" w:space="0" w:color="auto"/>
              <w:right w:val="single" w:sz="4" w:space="0" w:color="auto"/>
            </w:tcBorders>
            <w:shd w:val="clear" w:color="auto" w:fill="C6EFCE"/>
            <w:noWrap/>
          </w:tcPr>
          <w:p w14:paraId="1FB8736F" w14:textId="77777777" w:rsidR="00895175" w:rsidRPr="0051384F" w:rsidRDefault="00895175" w:rsidP="0066695B">
            <w:pPr>
              <w:spacing w:after="0"/>
              <w:jc w:val="center"/>
              <w:rPr>
                <w:rFonts w:ascii="Times New Roman" w:hAnsi="Times New Roman" w:cs="Times New Roman"/>
                <w:noProof/>
                <w:color w:val="006100"/>
                <w:sz w:val="20"/>
                <w:szCs w:val="20"/>
              </w:rPr>
            </w:pPr>
            <w:r>
              <w:rPr>
                <w:rFonts w:ascii="Times New Roman" w:hAnsi="Times New Roman"/>
                <w:noProof/>
                <w:color w:val="006100"/>
                <w:sz w:val="20"/>
              </w:rPr>
              <w:t>T4</w:t>
            </w:r>
          </w:p>
        </w:tc>
        <w:tc>
          <w:tcPr>
            <w:tcW w:w="851" w:type="dxa"/>
            <w:tcBorders>
              <w:top w:val="nil"/>
              <w:left w:val="nil"/>
              <w:bottom w:val="single" w:sz="4" w:space="0" w:color="auto"/>
              <w:right w:val="single" w:sz="4" w:space="0" w:color="auto"/>
            </w:tcBorders>
            <w:shd w:val="clear" w:color="auto" w:fill="C6EFCE"/>
            <w:noWrap/>
          </w:tcPr>
          <w:p w14:paraId="023134A2" w14:textId="142DA03A" w:rsidR="00895175" w:rsidRPr="0051384F" w:rsidRDefault="00895175" w:rsidP="0066695B">
            <w:pPr>
              <w:spacing w:after="0"/>
              <w:jc w:val="center"/>
              <w:rPr>
                <w:rFonts w:ascii="Times New Roman" w:hAnsi="Times New Roman" w:cs="Times New Roman"/>
                <w:noProof/>
                <w:color w:val="006100"/>
                <w:sz w:val="20"/>
                <w:szCs w:val="20"/>
              </w:rPr>
            </w:pPr>
            <w:r>
              <w:rPr>
                <w:rFonts w:ascii="Times New Roman" w:hAnsi="Times New Roman"/>
                <w:noProof/>
                <w:color w:val="006100"/>
                <w:sz w:val="20"/>
              </w:rPr>
              <w:t>2023</w:t>
            </w:r>
          </w:p>
        </w:tc>
        <w:tc>
          <w:tcPr>
            <w:tcW w:w="4450" w:type="dxa"/>
            <w:tcBorders>
              <w:top w:val="nil"/>
              <w:left w:val="nil"/>
              <w:bottom w:val="single" w:sz="4" w:space="0" w:color="auto"/>
              <w:right w:val="single" w:sz="4" w:space="0" w:color="auto"/>
            </w:tcBorders>
            <w:shd w:val="clear" w:color="auto" w:fill="C6EFCE"/>
            <w:noWrap/>
          </w:tcPr>
          <w:p w14:paraId="34BCCD05" w14:textId="78DE650A" w:rsidR="00895175" w:rsidRPr="0051384F" w:rsidRDefault="00895175"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 xml:space="preserve">За избора на изпълнители се провеждат процедури за възлагане на обществени поръчки. Договорите обхващат разработването на Националната цифрова платформа за медицинска диагностика. </w:t>
            </w:r>
          </w:p>
          <w:p w14:paraId="4A120C10" w14:textId="77777777" w:rsidR="00895175" w:rsidRPr="008A0F8A" w:rsidRDefault="00895175" w:rsidP="0066695B">
            <w:pPr>
              <w:spacing w:after="0"/>
              <w:rPr>
                <w:rFonts w:ascii="Times New Roman" w:hAnsi="Times New Roman" w:cs="Times New Roman"/>
                <w:noProof/>
                <w:color w:val="006100"/>
                <w:sz w:val="20"/>
                <w:szCs w:val="20"/>
                <w:lang w:val="ru-RU"/>
              </w:rPr>
            </w:pPr>
          </w:p>
          <w:p w14:paraId="3165AB17" w14:textId="77777777" w:rsidR="00895175" w:rsidRPr="0051384F" w:rsidRDefault="00895175"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Тази платформа позволява:</w:t>
            </w:r>
          </w:p>
          <w:p w14:paraId="24614CB3" w14:textId="77777777" w:rsidR="00895175" w:rsidRPr="0051384F" w:rsidRDefault="00895175" w:rsidP="002E73ED">
            <w:pPr>
              <w:pStyle w:val="ListParagraph"/>
              <w:numPr>
                <w:ilvl w:val="0"/>
                <w:numId w:val="11"/>
              </w:numPr>
              <w:spacing w:after="0"/>
              <w:ind w:left="360"/>
              <w:rPr>
                <w:rFonts w:ascii="Times New Roman" w:hAnsi="Times New Roman" w:cs="Times New Roman"/>
                <w:noProof/>
                <w:color w:val="006100"/>
                <w:sz w:val="20"/>
                <w:szCs w:val="20"/>
              </w:rPr>
            </w:pPr>
            <w:r>
              <w:rPr>
                <w:rFonts w:ascii="Times New Roman" w:hAnsi="Times New Roman"/>
                <w:noProof/>
                <w:color w:val="006100"/>
                <w:sz w:val="20"/>
              </w:rPr>
              <w:t xml:space="preserve">на медицинския персонал да качва медицински изображения; </w:t>
            </w:r>
          </w:p>
          <w:p w14:paraId="43C84379" w14:textId="6589B72C" w:rsidR="00895175" w:rsidRPr="0051384F" w:rsidRDefault="00895175" w:rsidP="002E73ED">
            <w:pPr>
              <w:pStyle w:val="ListParagraph"/>
              <w:numPr>
                <w:ilvl w:val="0"/>
                <w:numId w:val="11"/>
              </w:numPr>
              <w:spacing w:after="0"/>
              <w:ind w:left="360"/>
              <w:rPr>
                <w:rFonts w:ascii="Times New Roman" w:hAnsi="Times New Roman" w:cs="Times New Roman"/>
                <w:noProof/>
                <w:color w:val="006100"/>
                <w:sz w:val="20"/>
                <w:szCs w:val="20"/>
              </w:rPr>
            </w:pPr>
            <w:r>
              <w:rPr>
                <w:rFonts w:ascii="Times New Roman" w:hAnsi="Times New Roman"/>
                <w:noProof/>
                <w:color w:val="006100"/>
                <w:sz w:val="20"/>
              </w:rPr>
              <w:t>обработването на медицински изображения чрез изкуствен интелект и алгоритъм за машинно самообучение, което се очаква да подобри медицинската диагноза.</w:t>
            </w:r>
          </w:p>
        </w:tc>
      </w:tr>
      <w:tr w:rsidR="00895175" w:rsidRPr="005241FC" w14:paraId="33885ED0" w14:textId="77777777" w:rsidTr="0DF4F0A1">
        <w:trPr>
          <w:trHeight w:val="309"/>
          <w:jc w:val="center"/>
        </w:trPr>
        <w:tc>
          <w:tcPr>
            <w:tcW w:w="595" w:type="dxa"/>
            <w:tcBorders>
              <w:top w:val="nil"/>
              <w:left w:val="single" w:sz="4" w:space="0" w:color="auto"/>
              <w:bottom w:val="single" w:sz="4" w:space="0" w:color="auto"/>
              <w:right w:val="single" w:sz="4" w:space="0" w:color="auto"/>
            </w:tcBorders>
            <w:shd w:val="clear" w:color="auto" w:fill="C6EFCE"/>
            <w:noWrap/>
          </w:tcPr>
          <w:p w14:paraId="1BB5E10E" w14:textId="11CFC163" w:rsidR="00895175" w:rsidRPr="0051384F" w:rsidRDefault="00992016" w:rsidP="0066695B">
            <w:pPr>
              <w:spacing w:after="0"/>
              <w:jc w:val="center"/>
              <w:rPr>
                <w:rFonts w:ascii="Times New Roman" w:hAnsi="Times New Roman" w:cs="Times New Roman"/>
                <w:noProof/>
                <w:color w:val="006100"/>
                <w:sz w:val="20"/>
                <w:szCs w:val="20"/>
              </w:rPr>
            </w:pPr>
            <w:r>
              <w:rPr>
                <w:rFonts w:ascii="Times New Roman" w:hAnsi="Times New Roman"/>
                <w:noProof/>
                <w:color w:val="006100"/>
                <w:sz w:val="20"/>
              </w:rPr>
              <w:t>340</w:t>
            </w:r>
          </w:p>
        </w:tc>
        <w:tc>
          <w:tcPr>
            <w:tcW w:w="1701" w:type="dxa"/>
            <w:tcBorders>
              <w:top w:val="nil"/>
              <w:left w:val="nil"/>
              <w:bottom w:val="single" w:sz="4" w:space="0" w:color="auto"/>
              <w:right w:val="single" w:sz="4" w:space="0" w:color="auto"/>
            </w:tcBorders>
            <w:shd w:val="clear" w:color="auto" w:fill="C6EFCE"/>
            <w:noWrap/>
          </w:tcPr>
          <w:p w14:paraId="2B87896A" w14:textId="77777777" w:rsidR="00895175" w:rsidRPr="0051384F" w:rsidRDefault="00895175" w:rsidP="003B02A1">
            <w:pPr>
              <w:spacing w:after="0"/>
              <w:rPr>
                <w:rFonts w:ascii="Times New Roman" w:hAnsi="Times New Roman" w:cs="Times New Roman"/>
                <w:noProof/>
                <w:color w:val="006100"/>
                <w:sz w:val="20"/>
                <w:szCs w:val="20"/>
              </w:rPr>
            </w:pPr>
            <w:r>
              <w:rPr>
                <w:rFonts w:ascii="Times New Roman" w:hAnsi="Times New Roman"/>
                <w:noProof/>
                <w:color w:val="006100"/>
                <w:sz w:val="20"/>
              </w:rPr>
              <w:t>C12.I5:</w:t>
            </w:r>
          </w:p>
          <w:p w14:paraId="09AF6B3F" w14:textId="77777777" w:rsidR="00895175" w:rsidRPr="0051384F" w:rsidRDefault="00895175" w:rsidP="003B02A1">
            <w:pPr>
              <w:spacing w:after="0"/>
              <w:rPr>
                <w:rFonts w:ascii="Times New Roman" w:hAnsi="Times New Roman" w:cs="Times New Roman"/>
                <w:noProof/>
                <w:color w:val="006100"/>
                <w:sz w:val="20"/>
                <w:szCs w:val="20"/>
              </w:rPr>
            </w:pPr>
            <w:r>
              <w:rPr>
                <w:rFonts w:ascii="Times New Roman" w:hAnsi="Times New Roman"/>
                <w:noProof/>
                <w:color w:val="006100"/>
                <w:sz w:val="20"/>
              </w:rPr>
              <w:t>Национална цифрова платформа за медицинска диагностика</w:t>
            </w:r>
          </w:p>
        </w:tc>
        <w:tc>
          <w:tcPr>
            <w:tcW w:w="993" w:type="dxa"/>
            <w:tcBorders>
              <w:top w:val="nil"/>
              <w:left w:val="nil"/>
              <w:bottom w:val="single" w:sz="4" w:space="0" w:color="auto"/>
              <w:right w:val="single" w:sz="4" w:space="0" w:color="auto"/>
            </w:tcBorders>
            <w:shd w:val="clear" w:color="auto" w:fill="C6EFCE"/>
            <w:noWrap/>
          </w:tcPr>
          <w:p w14:paraId="29B20B28" w14:textId="77777777" w:rsidR="00895175" w:rsidRPr="0051384F" w:rsidRDefault="00895175" w:rsidP="0066695B">
            <w:pPr>
              <w:spacing w:after="0"/>
              <w:jc w:val="center"/>
              <w:rPr>
                <w:rFonts w:ascii="Times New Roman" w:hAnsi="Times New Roman" w:cs="Times New Roman"/>
                <w:noProof/>
                <w:color w:val="006100"/>
                <w:sz w:val="20"/>
                <w:szCs w:val="20"/>
              </w:rPr>
            </w:pPr>
            <w:r>
              <w:rPr>
                <w:rFonts w:ascii="Times New Roman" w:hAnsi="Times New Roman"/>
                <w:noProof/>
                <w:color w:val="006100"/>
                <w:sz w:val="20"/>
              </w:rPr>
              <w:t>Цел</w:t>
            </w:r>
          </w:p>
        </w:tc>
        <w:tc>
          <w:tcPr>
            <w:tcW w:w="1901" w:type="dxa"/>
            <w:tcBorders>
              <w:top w:val="nil"/>
              <w:left w:val="nil"/>
              <w:bottom w:val="single" w:sz="4" w:space="0" w:color="auto"/>
              <w:right w:val="single" w:sz="4" w:space="0" w:color="auto"/>
            </w:tcBorders>
            <w:shd w:val="clear" w:color="auto" w:fill="C6EFCE"/>
            <w:noWrap/>
          </w:tcPr>
          <w:p w14:paraId="2E62CB02" w14:textId="77777777" w:rsidR="00895175" w:rsidRPr="0051384F" w:rsidRDefault="00895175"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Здравни заведения, внедряващи Националната цифрова платформа за медицинска диагностика</w:t>
            </w:r>
          </w:p>
        </w:tc>
        <w:tc>
          <w:tcPr>
            <w:tcW w:w="1473" w:type="dxa"/>
            <w:tcBorders>
              <w:top w:val="nil"/>
              <w:left w:val="nil"/>
              <w:bottom w:val="single" w:sz="4" w:space="0" w:color="auto"/>
              <w:right w:val="single" w:sz="4" w:space="0" w:color="auto"/>
            </w:tcBorders>
            <w:shd w:val="clear" w:color="auto" w:fill="C6EFCE"/>
            <w:noWrap/>
          </w:tcPr>
          <w:p w14:paraId="1F12DE86" w14:textId="77777777" w:rsidR="00895175" w:rsidRPr="008A0F8A" w:rsidRDefault="00895175" w:rsidP="0066695B">
            <w:pPr>
              <w:spacing w:after="0"/>
              <w:jc w:val="center"/>
              <w:rPr>
                <w:rFonts w:ascii="Times New Roman" w:hAnsi="Times New Roman" w:cs="Times New Roman"/>
                <w:noProof/>
                <w:color w:val="006100"/>
                <w:sz w:val="20"/>
                <w:szCs w:val="20"/>
                <w:lang w:val="ru-RU"/>
              </w:rPr>
            </w:pPr>
          </w:p>
        </w:tc>
        <w:tc>
          <w:tcPr>
            <w:tcW w:w="937" w:type="dxa"/>
            <w:tcBorders>
              <w:top w:val="nil"/>
              <w:left w:val="nil"/>
              <w:bottom w:val="single" w:sz="4" w:space="0" w:color="auto"/>
              <w:right w:val="single" w:sz="4" w:space="0" w:color="auto"/>
            </w:tcBorders>
            <w:shd w:val="clear" w:color="auto" w:fill="C6EFCE"/>
            <w:noWrap/>
          </w:tcPr>
          <w:p w14:paraId="31EF8981" w14:textId="77777777" w:rsidR="00895175" w:rsidRPr="0051384F" w:rsidRDefault="00895175" w:rsidP="0066695B">
            <w:pPr>
              <w:spacing w:after="0"/>
              <w:jc w:val="center"/>
              <w:rPr>
                <w:rFonts w:ascii="Times New Roman" w:hAnsi="Times New Roman" w:cs="Times New Roman"/>
                <w:noProof/>
                <w:color w:val="006100"/>
                <w:sz w:val="20"/>
                <w:szCs w:val="20"/>
              </w:rPr>
            </w:pPr>
            <w:r>
              <w:rPr>
                <w:rFonts w:ascii="Times New Roman" w:hAnsi="Times New Roman"/>
                <w:noProof/>
                <w:color w:val="006100"/>
                <w:sz w:val="20"/>
              </w:rPr>
              <w:t>Брой</w:t>
            </w:r>
          </w:p>
        </w:tc>
        <w:tc>
          <w:tcPr>
            <w:tcW w:w="850" w:type="dxa"/>
            <w:tcBorders>
              <w:top w:val="nil"/>
              <w:left w:val="nil"/>
              <w:bottom w:val="single" w:sz="4" w:space="0" w:color="auto"/>
              <w:right w:val="single" w:sz="4" w:space="0" w:color="auto"/>
            </w:tcBorders>
            <w:shd w:val="clear" w:color="auto" w:fill="C6EFCE"/>
            <w:noWrap/>
          </w:tcPr>
          <w:p w14:paraId="4D7AF700" w14:textId="77777777" w:rsidR="00895175" w:rsidRPr="0051384F" w:rsidRDefault="00895175" w:rsidP="0066695B">
            <w:pPr>
              <w:spacing w:after="0"/>
              <w:jc w:val="center"/>
              <w:rPr>
                <w:rFonts w:ascii="Times New Roman" w:hAnsi="Times New Roman" w:cs="Times New Roman"/>
                <w:noProof/>
                <w:color w:val="006100"/>
                <w:sz w:val="20"/>
                <w:szCs w:val="20"/>
              </w:rPr>
            </w:pPr>
            <w:r>
              <w:rPr>
                <w:rFonts w:ascii="Times New Roman" w:hAnsi="Times New Roman"/>
                <w:noProof/>
                <w:color w:val="006100"/>
                <w:sz w:val="20"/>
              </w:rPr>
              <w:t>0</w:t>
            </w:r>
          </w:p>
        </w:tc>
        <w:tc>
          <w:tcPr>
            <w:tcW w:w="709" w:type="dxa"/>
            <w:tcBorders>
              <w:top w:val="nil"/>
              <w:left w:val="nil"/>
              <w:bottom w:val="single" w:sz="4" w:space="0" w:color="auto"/>
              <w:right w:val="single" w:sz="4" w:space="0" w:color="auto"/>
            </w:tcBorders>
            <w:shd w:val="clear" w:color="auto" w:fill="C6EFCE"/>
            <w:noWrap/>
          </w:tcPr>
          <w:p w14:paraId="01628C60" w14:textId="77777777" w:rsidR="00895175" w:rsidRPr="0051384F" w:rsidRDefault="00895175" w:rsidP="0066695B">
            <w:pPr>
              <w:spacing w:after="0"/>
              <w:jc w:val="center"/>
              <w:rPr>
                <w:rFonts w:ascii="Times New Roman" w:hAnsi="Times New Roman" w:cs="Times New Roman"/>
                <w:noProof/>
                <w:color w:val="006100"/>
                <w:sz w:val="20"/>
                <w:szCs w:val="20"/>
              </w:rPr>
            </w:pPr>
            <w:r>
              <w:rPr>
                <w:rFonts w:ascii="Times New Roman" w:hAnsi="Times New Roman"/>
                <w:noProof/>
                <w:color w:val="006100"/>
                <w:sz w:val="20"/>
              </w:rPr>
              <w:t>20</w:t>
            </w:r>
          </w:p>
        </w:tc>
        <w:tc>
          <w:tcPr>
            <w:tcW w:w="850" w:type="dxa"/>
            <w:tcBorders>
              <w:top w:val="nil"/>
              <w:left w:val="nil"/>
              <w:bottom w:val="single" w:sz="4" w:space="0" w:color="auto"/>
              <w:right w:val="single" w:sz="4" w:space="0" w:color="auto"/>
            </w:tcBorders>
            <w:shd w:val="clear" w:color="auto" w:fill="C6EFCE"/>
            <w:noWrap/>
          </w:tcPr>
          <w:p w14:paraId="3CAFFC64" w14:textId="3568897E" w:rsidR="00895175" w:rsidRPr="0051384F" w:rsidRDefault="00895175" w:rsidP="0066695B">
            <w:pPr>
              <w:spacing w:after="0"/>
              <w:jc w:val="center"/>
              <w:rPr>
                <w:rFonts w:ascii="Times New Roman" w:hAnsi="Times New Roman" w:cs="Times New Roman"/>
                <w:noProof/>
                <w:color w:val="006100"/>
                <w:sz w:val="20"/>
                <w:szCs w:val="20"/>
              </w:rPr>
            </w:pPr>
            <w:r>
              <w:rPr>
                <w:rFonts w:ascii="Times New Roman" w:hAnsi="Times New Roman"/>
                <w:noProof/>
                <w:color w:val="006100"/>
                <w:sz w:val="20"/>
              </w:rPr>
              <w:t>T2</w:t>
            </w:r>
          </w:p>
        </w:tc>
        <w:tc>
          <w:tcPr>
            <w:tcW w:w="851" w:type="dxa"/>
            <w:tcBorders>
              <w:top w:val="nil"/>
              <w:left w:val="nil"/>
              <w:bottom w:val="single" w:sz="4" w:space="0" w:color="auto"/>
              <w:right w:val="single" w:sz="4" w:space="0" w:color="auto"/>
            </w:tcBorders>
            <w:shd w:val="clear" w:color="auto" w:fill="C6EFCE"/>
            <w:noWrap/>
          </w:tcPr>
          <w:p w14:paraId="4672670A" w14:textId="066F7800" w:rsidR="00895175" w:rsidRPr="0051384F" w:rsidRDefault="00895175" w:rsidP="0066695B">
            <w:pPr>
              <w:spacing w:after="0"/>
              <w:jc w:val="center"/>
              <w:rPr>
                <w:rFonts w:ascii="Times New Roman" w:hAnsi="Times New Roman" w:cs="Times New Roman"/>
                <w:noProof/>
                <w:color w:val="006100"/>
                <w:sz w:val="20"/>
                <w:szCs w:val="20"/>
              </w:rPr>
            </w:pPr>
            <w:r>
              <w:rPr>
                <w:rFonts w:ascii="Times New Roman" w:hAnsi="Times New Roman"/>
                <w:noProof/>
                <w:color w:val="006100"/>
                <w:sz w:val="20"/>
              </w:rPr>
              <w:t>2026</w:t>
            </w:r>
          </w:p>
        </w:tc>
        <w:tc>
          <w:tcPr>
            <w:tcW w:w="4450" w:type="dxa"/>
            <w:tcBorders>
              <w:top w:val="nil"/>
              <w:left w:val="nil"/>
              <w:bottom w:val="single" w:sz="4" w:space="0" w:color="auto"/>
              <w:right w:val="single" w:sz="4" w:space="0" w:color="auto"/>
            </w:tcBorders>
            <w:shd w:val="clear" w:color="auto" w:fill="C6EFCE"/>
            <w:noWrap/>
          </w:tcPr>
          <w:p w14:paraId="2DE7C05A" w14:textId="0835AADF" w:rsidR="00895175" w:rsidRPr="0051384F" w:rsidRDefault="00895175"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 xml:space="preserve">Достъп до Националната цифрова платформа за медицинска диагностика, създадена след сключването на договори (ключов етап 339), се предоставя на 20 здравни заведения, включващи болници, клиники, лаборатории и амбулатории, които работят в областта на онкологията, диагностичната радиология, дерматологията и патологията. </w:t>
            </w:r>
          </w:p>
          <w:p w14:paraId="2ECB0EBE" w14:textId="77777777" w:rsidR="00895175" w:rsidRPr="008A0F8A" w:rsidRDefault="00895175" w:rsidP="0066695B">
            <w:pPr>
              <w:spacing w:after="0"/>
              <w:rPr>
                <w:rFonts w:ascii="Times New Roman" w:hAnsi="Times New Roman" w:cs="Times New Roman"/>
                <w:noProof/>
                <w:color w:val="006100"/>
                <w:sz w:val="20"/>
                <w:szCs w:val="20"/>
                <w:lang w:val="ru-RU"/>
              </w:rPr>
            </w:pPr>
          </w:p>
          <w:p w14:paraId="3F0164E4" w14:textId="77777777" w:rsidR="00895175" w:rsidRPr="0051384F" w:rsidRDefault="00895175"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За да бъде причислено към целта, всяко здравно заведение трябва да е качило медицински изображения на платформата.</w:t>
            </w:r>
          </w:p>
        </w:tc>
      </w:tr>
      <w:tr w:rsidR="00895175" w:rsidRPr="005241FC" w14:paraId="075DB985" w14:textId="77777777" w:rsidTr="0DF4F0A1">
        <w:trPr>
          <w:trHeight w:val="309"/>
          <w:jc w:val="center"/>
        </w:trPr>
        <w:tc>
          <w:tcPr>
            <w:tcW w:w="595" w:type="dxa"/>
            <w:tcBorders>
              <w:top w:val="nil"/>
              <w:left w:val="single" w:sz="4" w:space="0" w:color="auto"/>
              <w:bottom w:val="single" w:sz="4" w:space="0" w:color="auto"/>
              <w:right w:val="single" w:sz="4" w:space="0" w:color="auto"/>
            </w:tcBorders>
            <w:shd w:val="clear" w:color="auto" w:fill="C6EFCE"/>
            <w:noWrap/>
          </w:tcPr>
          <w:p w14:paraId="11AA1F31" w14:textId="0894BD12" w:rsidR="00895175" w:rsidRPr="0051384F" w:rsidRDefault="00992016" w:rsidP="0066695B">
            <w:pPr>
              <w:spacing w:after="0"/>
              <w:jc w:val="center"/>
              <w:rPr>
                <w:rFonts w:ascii="Times New Roman" w:hAnsi="Times New Roman" w:cs="Times New Roman"/>
                <w:noProof/>
                <w:color w:val="006100"/>
                <w:sz w:val="20"/>
                <w:szCs w:val="20"/>
              </w:rPr>
            </w:pPr>
            <w:r>
              <w:rPr>
                <w:rFonts w:ascii="Times New Roman" w:hAnsi="Times New Roman"/>
                <w:noProof/>
                <w:color w:val="006100"/>
                <w:sz w:val="20"/>
              </w:rPr>
              <w:t>341</w:t>
            </w:r>
          </w:p>
        </w:tc>
        <w:tc>
          <w:tcPr>
            <w:tcW w:w="1701" w:type="dxa"/>
            <w:tcBorders>
              <w:top w:val="nil"/>
              <w:left w:val="nil"/>
              <w:bottom w:val="single" w:sz="4" w:space="0" w:color="auto"/>
              <w:right w:val="single" w:sz="4" w:space="0" w:color="auto"/>
            </w:tcBorders>
            <w:shd w:val="clear" w:color="auto" w:fill="C6EFCE"/>
            <w:noWrap/>
          </w:tcPr>
          <w:p w14:paraId="467B552B" w14:textId="77777777" w:rsidR="00895175" w:rsidRPr="0051384F" w:rsidRDefault="00895175" w:rsidP="003B02A1">
            <w:pPr>
              <w:spacing w:after="0"/>
              <w:rPr>
                <w:rFonts w:ascii="Times New Roman" w:hAnsi="Times New Roman" w:cs="Times New Roman"/>
                <w:noProof/>
                <w:color w:val="006100"/>
                <w:sz w:val="20"/>
                <w:szCs w:val="20"/>
              </w:rPr>
            </w:pPr>
            <w:r>
              <w:rPr>
                <w:rFonts w:ascii="Times New Roman" w:hAnsi="Times New Roman"/>
                <w:noProof/>
                <w:color w:val="006100"/>
                <w:sz w:val="20"/>
              </w:rPr>
              <w:t>C12.I6:</w:t>
            </w:r>
          </w:p>
          <w:p w14:paraId="047F3F92" w14:textId="480A21EA" w:rsidR="00895175" w:rsidRPr="0051384F" w:rsidRDefault="00895175" w:rsidP="003B02A1">
            <w:pPr>
              <w:spacing w:after="0"/>
              <w:rPr>
                <w:rFonts w:ascii="Times New Roman" w:hAnsi="Times New Roman" w:cs="Times New Roman"/>
                <w:noProof/>
                <w:color w:val="006100"/>
                <w:sz w:val="20"/>
                <w:szCs w:val="20"/>
              </w:rPr>
            </w:pPr>
            <w:r>
              <w:rPr>
                <w:rFonts w:ascii="Times New Roman" w:hAnsi="Times New Roman"/>
                <w:noProof/>
                <w:color w:val="006100"/>
                <w:sz w:val="20"/>
              </w:rPr>
              <w:t>Подобряване на националната система за спешни комуникации на номер 112</w:t>
            </w:r>
          </w:p>
        </w:tc>
        <w:tc>
          <w:tcPr>
            <w:tcW w:w="993" w:type="dxa"/>
            <w:tcBorders>
              <w:top w:val="nil"/>
              <w:left w:val="nil"/>
              <w:bottom w:val="single" w:sz="4" w:space="0" w:color="auto"/>
              <w:right w:val="single" w:sz="4" w:space="0" w:color="auto"/>
            </w:tcBorders>
            <w:shd w:val="clear" w:color="auto" w:fill="C6EFCE"/>
            <w:noWrap/>
          </w:tcPr>
          <w:p w14:paraId="20B67B90" w14:textId="77777777" w:rsidR="00895175" w:rsidRPr="0051384F" w:rsidRDefault="00895175" w:rsidP="0066695B">
            <w:pPr>
              <w:spacing w:after="0"/>
              <w:jc w:val="center"/>
              <w:rPr>
                <w:rFonts w:ascii="Times New Roman" w:hAnsi="Times New Roman" w:cs="Times New Roman"/>
                <w:noProof/>
                <w:color w:val="006100"/>
                <w:sz w:val="20"/>
                <w:szCs w:val="20"/>
              </w:rPr>
            </w:pPr>
            <w:r>
              <w:rPr>
                <w:rFonts w:ascii="Times New Roman" w:hAnsi="Times New Roman"/>
                <w:noProof/>
                <w:color w:val="006100"/>
                <w:sz w:val="20"/>
              </w:rPr>
              <w:t>Ключов етап</w:t>
            </w:r>
          </w:p>
        </w:tc>
        <w:tc>
          <w:tcPr>
            <w:tcW w:w="1901" w:type="dxa"/>
            <w:tcBorders>
              <w:top w:val="nil"/>
              <w:left w:val="nil"/>
              <w:bottom w:val="single" w:sz="4" w:space="0" w:color="auto"/>
              <w:right w:val="single" w:sz="4" w:space="0" w:color="auto"/>
            </w:tcBorders>
            <w:shd w:val="clear" w:color="auto" w:fill="C6EFCE"/>
            <w:noWrap/>
          </w:tcPr>
          <w:p w14:paraId="13AF0DA5" w14:textId="77777777" w:rsidR="00895175" w:rsidRPr="0051384F" w:rsidRDefault="00895175"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Влизане в сила на измененията на законодателната рамка за Единния европейски номер 112</w:t>
            </w:r>
          </w:p>
        </w:tc>
        <w:tc>
          <w:tcPr>
            <w:tcW w:w="1473" w:type="dxa"/>
            <w:tcBorders>
              <w:top w:val="nil"/>
              <w:left w:val="nil"/>
              <w:bottom w:val="single" w:sz="4" w:space="0" w:color="auto"/>
              <w:right w:val="single" w:sz="4" w:space="0" w:color="auto"/>
            </w:tcBorders>
            <w:shd w:val="clear" w:color="auto" w:fill="C6EFCE"/>
            <w:noWrap/>
          </w:tcPr>
          <w:p w14:paraId="3DAB2D9C" w14:textId="77777777" w:rsidR="00895175" w:rsidRPr="0051384F" w:rsidRDefault="00895175" w:rsidP="0066695B">
            <w:pPr>
              <w:spacing w:after="0"/>
              <w:jc w:val="center"/>
              <w:rPr>
                <w:rFonts w:ascii="Times New Roman" w:hAnsi="Times New Roman" w:cs="Times New Roman"/>
                <w:noProof/>
                <w:color w:val="006100"/>
                <w:sz w:val="20"/>
                <w:szCs w:val="20"/>
              </w:rPr>
            </w:pPr>
            <w:r>
              <w:rPr>
                <w:rFonts w:ascii="Times New Roman" w:hAnsi="Times New Roman"/>
                <w:noProof/>
                <w:color w:val="006100"/>
                <w:sz w:val="20"/>
              </w:rPr>
              <w:t>Разпоредба в закона, указваща влизането в сила на изменението на законодателната рамка на Единния европейски номер 112</w:t>
            </w:r>
          </w:p>
        </w:tc>
        <w:tc>
          <w:tcPr>
            <w:tcW w:w="937" w:type="dxa"/>
            <w:tcBorders>
              <w:top w:val="nil"/>
              <w:left w:val="nil"/>
              <w:bottom w:val="single" w:sz="4" w:space="0" w:color="auto"/>
              <w:right w:val="single" w:sz="4" w:space="0" w:color="auto"/>
            </w:tcBorders>
            <w:shd w:val="clear" w:color="auto" w:fill="C6EFCE"/>
            <w:noWrap/>
          </w:tcPr>
          <w:p w14:paraId="6B019C20" w14:textId="77777777" w:rsidR="00895175" w:rsidRPr="0051384F" w:rsidRDefault="00895175" w:rsidP="0066695B">
            <w:pPr>
              <w:spacing w:after="0"/>
              <w:jc w:val="center"/>
              <w:rPr>
                <w:rFonts w:ascii="Times New Roman" w:hAnsi="Times New Roman" w:cs="Times New Roman"/>
                <w:noProof/>
                <w:color w:val="006100"/>
                <w:sz w:val="20"/>
                <w:szCs w:val="20"/>
              </w:rPr>
            </w:pPr>
            <w:r>
              <w:rPr>
                <w:rFonts w:ascii="Times New Roman" w:hAnsi="Times New Roman"/>
                <w:noProof/>
                <w:color w:val="006100"/>
                <w:sz w:val="20"/>
              </w:rPr>
              <w:t> </w:t>
            </w:r>
          </w:p>
        </w:tc>
        <w:tc>
          <w:tcPr>
            <w:tcW w:w="850" w:type="dxa"/>
            <w:tcBorders>
              <w:top w:val="nil"/>
              <w:left w:val="nil"/>
              <w:bottom w:val="single" w:sz="4" w:space="0" w:color="auto"/>
              <w:right w:val="single" w:sz="4" w:space="0" w:color="auto"/>
            </w:tcBorders>
            <w:shd w:val="clear" w:color="auto" w:fill="C6EFCE"/>
            <w:noWrap/>
          </w:tcPr>
          <w:p w14:paraId="37CF6B64" w14:textId="77777777" w:rsidR="00895175" w:rsidRPr="0051384F" w:rsidRDefault="00895175" w:rsidP="0066695B">
            <w:pPr>
              <w:spacing w:after="0"/>
              <w:jc w:val="center"/>
              <w:rPr>
                <w:rFonts w:ascii="Times New Roman" w:hAnsi="Times New Roman" w:cs="Times New Roman"/>
                <w:noProof/>
                <w:color w:val="006100"/>
                <w:sz w:val="20"/>
                <w:szCs w:val="20"/>
              </w:rPr>
            </w:pPr>
            <w:r>
              <w:rPr>
                <w:rFonts w:ascii="Times New Roman" w:hAnsi="Times New Roman"/>
                <w:noProof/>
                <w:color w:val="006100"/>
                <w:sz w:val="20"/>
              </w:rPr>
              <w:t> </w:t>
            </w:r>
          </w:p>
        </w:tc>
        <w:tc>
          <w:tcPr>
            <w:tcW w:w="709" w:type="dxa"/>
            <w:tcBorders>
              <w:top w:val="nil"/>
              <w:left w:val="nil"/>
              <w:bottom w:val="single" w:sz="4" w:space="0" w:color="auto"/>
              <w:right w:val="single" w:sz="4" w:space="0" w:color="auto"/>
            </w:tcBorders>
            <w:shd w:val="clear" w:color="auto" w:fill="C6EFCE"/>
            <w:noWrap/>
          </w:tcPr>
          <w:p w14:paraId="2B57A73B" w14:textId="77777777" w:rsidR="00895175" w:rsidRPr="0051384F" w:rsidRDefault="00895175" w:rsidP="0066695B">
            <w:pPr>
              <w:spacing w:after="0"/>
              <w:jc w:val="center"/>
              <w:rPr>
                <w:rFonts w:ascii="Times New Roman" w:hAnsi="Times New Roman" w:cs="Times New Roman"/>
                <w:noProof/>
                <w:color w:val="006100"/>
                <w:sz w:val="20"/>
                <w:szCs w:val="20"/>
              </w:rPr>
            </w:pPr>
            <w:r>
              <w:rPr>
                <w:rFonts w:ascii="Times New Roman" w:hAnsi="Times New Roman"/>
                <w:noProof/>
                <w:color w:val="006100"/>
                <w:sz w:val="20"/>
              </w:rPr>
              <w:t> </w:t>
            </w:r>
          </w:p>
        </w:tc>
        <w:tc>
          <w:tcPr>
            <w:tcW w:w="850" w:type="dxa"/>
            <w:tcBorders>
              <w:top w:val="nil"/>
              <w:left w:val="nil"/>
              <w:bottom w:val="single" w:sz="4" w:space="0" w:color="auto"/>
              <w:right w:val="single" w:sz="4" w:space="0" w:color="auto"/>
            </w:tcBorders>
            <w:shd w:val="clear" w:color="auto" w:fill="C6EFCE"/>
            <w:noWrap/>
          </w:tcPr>
          <w:p w14:paraId="5CB75C59" w14:textId="77777777" w:rsidR="00895175" w:rsidRPr="0051384F" w:rsidRDefault="00895175" w:rsidP="0066695B">
            <w:pPr>
              <w:spacing w:after="0"/>
              <w:jc w:val="center"/>
              <w:rPr>
                <w:rFonts w:ascii="Times New Roman" w:hAnsi="Times New Roman" w:cs="Times New Roman"/>
                <w:noProof/>
                <w:color w:val="006100"/>
                <w:sz w:val="20"/>
                <w:szCs w:val="20"/>
              </w:rPr>
            </w:pPr>
            <w:r>
              <w:rPr>
                <w:rFonts w:ascii="Times New Roman" w:hAnsi="Times New Roman"/>
                <w:noProof/>
                <w:color w:val="006100"/>
                <w:sz w:val="20"/>
              </w:rPr>
              <w:t>T1</w:t>
            </w:r>
          </w:p>
        </w:tc>
        <w:tc>
          <w:tcPr>
            <w:tcW w:w="851" w:type="dxa"/>
            <w:tcBorders>
              <w:top w:val="nil"/>
              <w:left w:val="nil"/>
              <w:bottom w:val="single" w:sz="4" w:space="0" w:color="auto"/>
              <w:right w:val="single" w:sz="4" w:space="0" w:color="auto"/>
            </w:tcBorders>
            <w:shd w:val="clear" w:color="auto" w:fill="C6EFCE"/>
            <w:noWrap/>
          </w:tcPr>
          <w:p w14:paraId="015E9AFA" w14:textId="77777777" w:rsidR="00895175" w:rsidRPr="0051384F" w:rsidRDefault="00895175" w:rsidP="0066695B">
            <w:pPr>
              <w:spacing w:after="0"/>
              <w:jc w:val="center"/>
              <w:rPr>
                <w:rFonts w:ascii="Times New Roman" w:hAnsi="Times New Roman" w:cs="Times New Roman"/>
                <w:noProof/>
                <w:color w:val="006100"/>
                <w:sz w:val="20"/>
                <w:szCs w:val="20"/>
              </w:rPr>
            </w:pPr>
            <w:r>
              <w:rPr>
                <w:rFonts w:ascii="Times New Roman" w:hAnsi="Times New Roman"/>
                <w:noProof/>
                <w:color w:val="006100"/>
                <w:sz w:val="20"/>
              </w:rPr>
              <w:t>2024</w:t>
            </w:r>
          </w:p>
        </w:tc>
        <w:tc>
          <w:tcPr>
            <w:tcW w:w="4450" w:type="dxa"/>
            <w:tcBorders>
              <w:top w:val="nil"/>
              <w:left w:val="nil"/>
              <w:bottom w:val="single" w:sz="4" w:space="0" w:color="auto"/>
              <w:right w:val="single" w:sz="4" w:space="0" w:color="auto"/>
            </w:tcBorders>
            <w:shd w:val="clear" w:color="auto" w:fill="C6EFCE"/>
            <w:noWrap/>
          </w:tcPr>
          <w:p w14:paraId="256C17BA" w14:textId="77777777" w:rsidR="00895175" w:rsidRPr="0051384F" w:rsidRDefault="00895175"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Измененията определят оперативните процедури и функции на платформата NextGen 112, включително:</w:t>
            </w:r>
          </w:p>
          <w:p w14:paraId="3ED7092C" w14:textId="77777777" w:rsidR="00895175" w:rsidRPr="0051384F" w:rsidRDefault="00895175" w:rsidP="002E73ED">
            <w:pPr>
              <w:pStyle w:val="ListParagraph"/>
              <w:numPr>
                <w:ilvl w:val="0"/>
                <w:numId w:val="64"/>
              </w:numPr>
              <w:spacing w:after="0"/>
              <w:ind w:left="360"/>
              <w:rPr>
                <w:rFonts w:ascii="Times New Roman" w:hAnsi="Times New Roman" w:cs="Times New Roman"/>
                <w:noProof/>
                <w:color w:val="006100"/>
                <w:sz w:val="20"/>
                <w:szCs w:val="20"/>
              </w:rPr>
            </w:pPr>
            <w:r>
              <w:rPr>
                <w:rFonts w:ascii="Times New Roman" w:hAnsi="Times New Roman"/>
                <w:noProof/>
                <w:color w:val="006100"/>
                <w:sz w:val="20"/>
              </w:rPr>
              <w:t>координацията, интегрирането и управлението посредством платформата на процесите на организациите за спешно реагиране;</w:t>
            </w:r>
          </w:p>
          <w:p w14:paraId="5A87B0B7" w14:textId="77777777" w:rsidR="00895175" w:rsidRPr="0051384F" w:rsidRDefault="00895175" w:rsidP="002E73ED">
            <w:pPr>
              <w:pStyle w:val="ListParagraph"/>
              <w:numPr>
                <w:ilvl w:val="0"/>
                <w:numId w:val="64"/>
              </w:numPr>
              <w:spacing w:after="0"/>
              <w:ind w:left="360"/>
              <w:rPr>
                <w:rFonts w:ascii="Times New Roman" w:hAnsi="Times New Roman" w:cs="Times New Roman"/>
                <w:noProof/>
                <w:color w:val="006100"/>
                <w:sz w:val="20"/>
                <w:szCs w:val="20"/>
              </w:rPr>
            </w:pPr>
            <w:r>
              <w:rPr>
                <w:rFonts w:ascii="Times New Roman" w:hAnsi="Times New Roman"/>
                <w:noProof/>
                <w:color w:val="006100"/>
                <w:sz w:val="20"/>
              </w:rPr>
              <w:t>интегриране в платформата на специални ресурси от други държави в случай на извънредни ситуации.</w:t>
            </w:r>
          </w:p>
          <w:p w14:paraId="229348D4" w14:textId="77777777" w:rsidR="00895175" w:rsidRPr="008A0F8A" w:rsidRDefault="00895175" w:rsidP="0066695B">
            <w:pPr>
              <w:spacing w:after="0"/>
              <w:rPr>
                <w:rFonts w:ascii="Times New Roman" w:hAnsi="Times New Roman" w:cs="Times New Roman"/>
                <w:noProof/>
                <w:color w:val="006100"/>
                <w:sz w:val="20"/>
                <w:szCs w:val="20"/>
                <w:lang w:val="ru-RU"/>
              </w:rPr>
            </w:pPr>
          </w:p>
        </w:tc>
      </w:tr>
      <w:tr w:rsidR="00895175" w:rsidRPr="005241FC" w14:paraId="75459267" w14:textId="77777777" w:rsidTr="0DF4F0A1">
        <w:trPr>
          <w:trHeight w:val="309"/>
          <w:jc w:val="center"/>
        </w:trPr>
        <w:tc>
          <w:tcPr>
            <w:tcW w:w="595" w:type="dxa"/>
            <w:tcBorders>
              <w:top w:val="nil"/>
              <w:left w:val="single" w:sz="4" w:space="0" w:color="auto"/>
              <w:bottom w:val="single" w:sz="4" w:space="0" w:color="auto"/>
              <w:right w:val="single" w:sz="4" w:space="0" w:color="auto"/>
            </w:tcBorders>
            <w:shd w:val="clear" w:color="auto" w:fill="C6EFCE"/>
            <w:noWrap/>
          </w:tcPr>
          <w:p w14:paraId="31A2E840" w14:textId="1DE19364" w:rsidR="00895175" w:rsidRPr="0051384F" w:rsidRDefault="006A7CD4" w:rsidP="00401D06">
            <w:pPr>
              <w:spacing w:after="0"/>
              <w:jc w:val="center"/>
              <w:rPr>
                <w:rFonts w:ascii="Times New Roman" w:hAnsi="Times New Roman" w:cs="Times New Roman"/>
                <w:noProof/>
                <w:color w:val="006100"/>
                <w:sz w:val="20"/>
                <w:szCs w:val="20"/>
              </w:rPr>
            </w:pPr>
            <w:r>
              <w:rPr>
                <w:rFonts w:ascii="Times New Roman" w:hAnsi="Times New Roman"/>
                <w:noProof/>
                <w:color w:val="006100"/>
                <w:sz w:val="20"/>
              </w:rPr>
              <w:t>342</w:t>
            </w:r>
          </w:p>
        </w:tc>
        <w:tc>
          <w:tcPr>
            <w:tcW w:w="1701" w:type="dxa"/>
            <w:tcBorders>
              <w:top w:val="nil"/>
              <w:left w:val="nil"/>
              <w:bottom w:val="single" w:sz="4" w:space="0" w:color="auto"/>
              <w:right w:val="single" w:sz="4" w:space="0" w:color="auto"/>
            </w:tcBorders>
            <w:shd w:val="clear" w:color="auto" w:fill="C6EFCE"/>
            <w:noWrap/>
          </w:tcPr>
          <w:p w14:paraId="51B4BD49" w14:textId="77777777" w:rsidR="00895175" w:rsidRPr="0051384F" w:rsidRDefault="00895175" w:rsidP="003B02A1">
            <w:pPr>
              <w:spacing w:after="0"/>
              <w:rPr>
                <w:rFonts w:ascii="Times New Roman" w:hAnsi="Times New Roman" w:cs="Times New Roman"/>
                <w:noProof/>
                <w:color w:val="006100"/>
                <w:sz w:val="20"/>
                <w:szCs w:val="20"/>
              </w:rPr>
            </w:pPr>
            <w:r>
              <w:rPr>
                <w:rFonts w:ascii="Times New Roman" w:hAnsi="Times New Roman"/>
                <w:noProof/>
                <w:color w:val="006100"/>
                <w:sz w:val="20"/>
              </w:rPr>
              <w:t>C12.I6:</w:t>
            </w:r>
          </w:p>
          <w:p w14:paraId="1DCE71CA" w14:textId="793B20B5" w:rsidR="00895175" w:rsidRPr="0051384F" w:rsidRDefault="00895175" w:rsidP="003B02A1">
            <w:pPr>
              <w:spacing w:after="0"/>
              <w:rPr>
                <w:rFonts w:ascii="Times New Roman" w:hAnsi="Times New Roman" w:cs="Times New Roman"/>
                <w:noProof/>
                <w:color w:val="006100"/>
                <w:sz w:val="20"/>
                <w:szCs w:val="20"/>
              </w:rPr>
            </w:pPr>
            <w:r>
              <w:rPr>
                <w:rFonts w:ascii="Times New Roman" w:hAnsi="Times New Roman"/>
                <w:noProof/>
                <w:color w:val="006100"/>
                <w:sz w:val="20"/>
              </w:rPr>
              <w:t>Подобряване на националната система за спешни комуникации на номер 112</w:t>
            </w:r>
          </w:p>
        </w:tc>
        <w:tc>
          <w:tcPr>
            <w:tcW w:w="993" w:type="dxa"/>
            <w:tcBorders>
              <w:top w:val="nil"/>
              <w:left w:val="nil"/>
              <w:bottom w:val="single" w:sz="4" w:space="0" w:color="auto"/>
              <w:right w:val="single" w:sz="4" w:space="0" w:color="auto"/>
            </w:tcBorders>
            <w:shd w:val="clear" w:color="auto" w:fill="C6EFCE"/>
            <w:noWrap/>
          </w:tcPr>
          <w:p w14:paraId="13F004D0" w14:textId="77777777" w:rsidR="00895175" w:rsidRPr="0051384F" w:rsidRDefault="00895175" w:rsidP="0066695B">
            <w:pPr>
              <w:spacing w:after="0"/>
              <w:jc w:val="center"/>
              <w:rPr>
                <w:rFonts w:ascii="Times New Roman" w:hAnsi="Times New Roman" w:cs="Times New Roman"/>
                <w:noProof/>
                <w:color w:val="006100"/>
                <w:sz w:val="20"/>
                <w:szCs w:val="20"/>
              </w:rPr>
            </w:pPr>
            <w:r>
              <w:rPr>
                <w:rFonts w:ascii="Times New Roman" w:hAnsi="Times New Roman"/>
                <w:noProof/>
                <w:color w:val="006100"/>
                <w:sz w:val="20"/>
              </w:rPr>
              <w:t>Ключов етап</w:t>
            </w:r>
          </w:p>
        </w:tc>
        <w:tc>
          <w:tcPr>
            <w:tcW w:w="1901" w:type="dxa"/>
            <w:tcBorders>
              <w:top w:val="nil"/>
              <w:left w:val="nil"/>
              <w:bottom w:val="single" w:sz="4" w:space="0" w:color="auto"/>
              <w:right w:val="single" w:sz="4" w:space="0" w:color="auto"/>
            </w:tcBorders>
            <w:shd w:val="clear" w:color="auto" w:fill="C6EFCE"/>
            <w:noWrap/>
          </w:tcPr>
          <w:p w14:paraId="79F55C67" w14:textId="7D5B4793" w:rsidR="00895175" w:rsidRPr="0051384F" w:rsidRDefault="00895175" w:rsidP="00F55169">
            <w:pPr>
              <w:spacing w:after="0"/>
              <w:rPr>
                <w:rFonts w:ascii="Times New Roman" w:hAnsi="Times New Roman" w:cs="Times New Roman"/>
                <w:noProof/>
                <w:color w:val="006100"/>
                <w:sz w:val="20"/>
                <w:szCs w:val="20"/>
              </w:rPr>
            </w:pPr>
            <w:r>
              <w:rPr>
                <w:rFonts w:ascii="Times New Roman" w:hAnsi="Times New Roman"/>
                <w:noProof/>
                <w:color w:val="006100"/>
                <w:sz w:val="20"/>
              </w:rPr>
              <w:t>Модернизиране на Националната система за комуникация за спешни комуникации на номер 112</w:t>
            </w:r>
          </w:p>
        </w:tc>
        <w:tc>
          <w:tcPr>
            <w:tcW w:w="1473" w:type="dxa"/>
            <w:tcBorders>
              <w:top w:val="nil"/>
              <w:left w:val="nil"/>
              <w:bottom w:val="single" w:sz="4" w:space="0" w:color="auto"/>
              <w:right w:val="single" w:sz="4" w:space="0" w:color="auto"/>
            </w:tcBorders>
            <w:shd w:val="clear" w:color="auto" w:fill="C6EFCE"/>
            <w:noWrap/>
          </w:tcPr>
          <w:p w14:paraId="54E6C823" w14:textId="77777777" w:rsidR="00895175" w:rsidRPr="0051384F" w:rsidRDefault="00895175" w:rsidP="0066695B">
            <w:pPr>
              <w:spacing w:after="0"/>
              <w:jc w:val="center"/>
              <w:rPr>
                <w:rFonts w:ascii="Times New Roman" w:hAnsi="Times New Roman" w:cs="Times New Roman"/>
                <w:noProof/>
                <w:color w:val="006100"/>
                <w:sz w:val="20"/>
                <w:szCs w:val="20"/>
              </w:rPr>
            </w:pPr>
            <w:r>
              <w:rPr>
                <w:rFonts w:ascii="Times New Roman" w:hAnsi="Times New Roman"/>
                <w:noProof/>
                <w:color w:val="006100"/>
                <w:sz w:val="20"/>
              </w:rPr>
              <w:t>Пускане в действие на модернизираната система и инсталираните работни станции</w:t>
            </w:r>
          </w:p>
        </w:tc>
        <w:tc>
          <w:tcPr>
            <w:tcW w:w="937" w:type="dxa"/>
            <w:tcBorders>
              <w:top w:val="nil"/>
              <w:left w:val="nil"/>
              <w:bottom w:val="single" w:sz="4" w:space="0" w:color="auto"/>
              <w:right w:val="single" w:sz="4" w:space="0" w:color="auto"/>
            </w:tcBorders>
            <w:shd w:val="clear" w:color="auto" w:fill="C6EFCE"/>
            <w:noWrap/>
          </w:tcPr>
          <w:p w14:paraId="3498D622" w14:textId="77777777" w:rsidR="00895175" w:rsidRPr="008A0F8A" w:rsidRDefault="00895175" w:rsidP="0066695B">
            <w:pPr>
              <w:spacing w:after="0"/>
              <w:jc w:val="center"/>
              <w:rPr>
                <w:rFonts w:ascii="Times New Roman" w:hAnsi="Times New Roman" w:cs="Times New Roman"/>
                <w:noProof/>
                <w:color w:val="006100"/>
                <w:sz w:val="20"/>
                <w:szCs w:val="20"/>
                <w:lang w:val="ru-RU"/>
              </w:rPr>
            </w:pPr>
          </w:p>
        </w:tc>
        <w:tc>
          <w:tcPr>
            <w:tcW w:w="850" w:type="dxa"/>
            <w:tcBorders>
              <w:top w:val="nil"/>
              <w:left w:val="nil"/>
              <w:bottom w:val="single" w:sz="4" w:space="0" w:color="auto"/>
              <w:right w:val="single" w:sz="4" w:space="0" w:color="auto"/>
            </w:tcBorders>
            <w:shd w:val="clear" w:color="auto" w:fill="C6EFCE"/>
            <w:noWrap/>
          </w:tcPr>
          <w:p w14:paraId="665BB403" w14:textId="77777777" w:rsidR="00895175" w:rsidRPr="008A0F8A" w:rsidRDefault="00895175" w:rsidP="0066695B">
            <w:pPr>
              <w:spacing w:after="0"/>
              <w:jc w:val="center"/>
              <w:rPr>
                <w:rFonts w:ascii="Times New Roman" w:hAnsi="Times New Roman" w:cs="Times New Roman"/>
                <w:noProof/>
                <w:color w:val="006100"/>
                <w:sz w:val="20"/>
                <w:szCs w:val="20"/>
                <w:lang w:val="ru-RU"/>
              </w:rPr>
            </w:pPr>
          </w:p>
        </w:tc>
        <w:tc>
          <w:tcPr>
            <w:tcW w:w="709" w:type="dxa"/>
            <w:tcBorders>
              <w:top w:val="nil"/>
              <w:left w:val="nil"/>
              <w:bottom w:val="single" w:sz="4" w:space="0" w:color="auto"/>
              <w:right w:val="single" w:sz="4" w:space="0" w:color="auto"/>
            </w:tcBorders>
            <w:shd w:val="clear" w:color="auto" w:fill="C6EFCE"/>
            <w:noWrap/>
          </w:tcPr>
          <w:p w14:paraId="6715B2E0" w14:textId="77777777" w:rsidR="00895175" w:rsidRPr="008A0F8A" w:rsidRDefault="00895175" w:rsidP="0066695B">
            <w:pPr>
              <w:spacing w:after="0"/>
              <w:jc w:val="center"/>
              <w:rPr>
                <w:rFonts w:ascii="Times New Roman" w:hAnsi="Times New Roman" w:cs="Times New Roman"/>
                <w:noProof/>
                <w:color w:val="006100"/>
                <w:sz w:val="20"/>
                <w:szCs w:val="20"/>
                <w:lang w:val="ru-RU"/>
              </w:rPr>
            </w:pPr>
          </w:p>
        </w:tc>
        <w:tc>
          <w:tcPr>
            <w:tcW w:w="850" w:type="dxa"/>
            <w:tcBorders>
              <w:top w:val="nil"/>
              <w:left w:val="nil"/>
              <w:bottom w:val="single" w:sz="4" w:space="0" w:color="auto"/>
              <w:right w:val="single" w:sz="4" w:space="0" w:color="auto"/>
            </w:tcBorders>
            <w:shd w:val="clear" w:color="auto" w:fill="C6EFCE"/>
            <w:noWrap/>
          </w:tcPr>
          <w:p w14:paraId="467C28C5" w14:textId="77777777" w:rsidR="00895175" w:rsidRPr="0051384F" w:rsidRDefault="00895175" w:rsidP="0066695B">
            <w:pPr>
              <w:spacing w:after="0"/>
              <w:jc w:val="center"/>
              <w:rPr>
                <w:rFonts w:ascii="Times New Roman" w:hAnsi="Times New Roman" w:cs="Times New Roman"/>
                <w:noProof/>
                <w:color w:val="006100"/>
                <w:sz w:val="20"/>
                <w:szCs w:val="20"/>
              </w:rPr>
            </w:pPr>
            <w:r>
              <w:rPr>
                <w:rFonts w:ascii="Times New Roman" w:hAnsi="Times New Roman"/>
                <w:noProof/>
                <w:color w:val="006100"/>
                <w:sz w:val="20"/>
              </w:rPr>
              <w:t xml:space="preserve">T3 </w:t>
            </w:r>
          </w:p>
        </w:tc>
        <w:tc>
          <w:tcPr>
            <w:tcW w:w="851" w:type="dxa"/>
            <w:tcBorders>
              <w:top w:val="nil"/>
              <w:left w:val="nil"/>
              <w:bottom w:val="single" w:sz="4" w:space="0" w:color="auto"/>
              <w:right w:val="single" w:sz="4" w:space="0" w:color="auto"/>
            </w:tcBorders>
            <w:shd w:val="clear" w:color="auto" w:fill="C6EFCE"/>
            <w:noWrap/>
          </w:tcPr>
          <w:p w14:paraId="2434EEE6" w14:textId="77777777" w:rsidR="00895175" w:rsidRPr="0051384F" w:rsidRDefault="00895175" w:rsidP="0066695B">
            <w:pPr>
              <w:spacing w:after="0"/>
              <w:jc w:val="center"/>
              <w:rPr>
                <w:rFonts w:ascii="Times New Roman" w:hAnsi="Times New Roman" w:cs="Times New Roman"/>
                <w:noProof/>
                <w:color w:val="006100"/>
                <w:sz w:val="20"/>
                <w:szCs w:val="20"/>
              </w:rPr>
            </w:pPr>
            <w:r>
              <w:rPr>
                <w:rFonts w:ascii="Times New Roman" w:hAnsi="Times New Roman"/>
                <w:noProof/>
                <w:color w:val="006100"/>
                <w:sz w:val="20"/>
              </w:rPr>
              <w:t>2024</w:t>
            </w:r>
          </w:p>
        </w:tc>
        <w:tc>
          <w:tcPr>
            <w:tcW w:w="4450" w:type="dxa"/>
            <w:tcBorders>
              <w:top w:val="nil"/>
              <w:left w:val="nil"/>
              <w:bottom w:val="single" w:sz="4" w:space="0" w:color="auto"/>
              <w:right w:val="single" w:sz="4" w:space="0" w:color="auto"/>
            </w:tcBorders>
            <w:shd w:val="clear" w:color="auto" w:fill="C6EFCE"/>
            <w:noWrap/>
          </w:tcPr>
          <w:p w14:paraId="1DBDC586" w14:textId="31D5DFB8" w:rsidR="00895175" w:rsidRPr="0051384F" w:rsidRDefault="00895175"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Стартиране на усъвършенстваната Национална система за спешни комуникации на номер 112.</w:t>
            </w:r>
          </w:p>
          <w:p w14:paraId="144F6299" w14:textId="77777777" w:rsidR="00895175" w:rsidRPr="008A0F8A" w:rsidRDefault="00895175" w:rsidP="0066695B">
            <w:pPr>
              <w:spacing w:after="0"/>
              <w:rPr>
                <w:rFonts w:ascii="Times New Roman" w:hAnsi="Times New Roman" w:cs="Times New Roman"/>
                <w:noProof/>
                <w:color w:val="006100"/>
                <w:sz w:val="20"/>
                <w:szCs w:val="20"/>
                <w:lang w:val="ru-RU"/>
              </w:rPr>
            </w:pPr>
          </w:p>
          <w:p w14:paraId="448654E8" w14:textId="4DC680FB" w:rsidR="00895175" w:rsidRPr="0051384F" w:rsidRDefault="00895175"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 xml:space="preserve">В резултат Националната система за спешни комуникации на номер 112 трябва да: </w:t>
            </w:r>
          </w:p>
          <w:p w14:paraId="70743380" w14:textId="0B5876EA" w:rsidR="00895175" w:rsidRPr="0051384F" w:rsidRDefault="00895175" w:rsidP="002E73ED">
            <w:pPr>
              <w:pStyle w:val="ListParagraph"/>
              <w:numPr>
                <w:ilvl w:val="0"/>
                <w:numId w:val="11"/>
              </w:numPr>
              <w:spacing w:after="0"/>
              <w:ind w:left="360"/>
              <w:rPr>
                <w:rFonts w:ascii="Times New Roman" w:hAnsi="Times New Roman" w:cs="Times New Roman"/>
                <w:noProof/>
                <w:color w:val="006100"/>
                <w:sz w:val="20"/>
                <w:szCs w:val="20"/>
              </w:rPr>
            </w:pPr>
            <w:r>
              <w:rPr>
                <w:rFonts w:ascii="Times New Roman" w:hAnsi="Times New Roman"/>
                <w:noProof/>
                <w:color w:val="006100"/>
                <w:sz w:val="20"/>
              </w:rPr>
              <w:t xml:space="preserve">дава възможност за предаване на глас, текст в реално време, видео и данни; </w:t>
            </w:r>
          </w:p>
          <w:p w14:paraId="34E8B2EE" w14:textId="77777777" w:rsidR="00895175" w:rsidRPr="0051384F" w:rsidRDefault="00895175" w:rsidP="002E73ED">
            <w:pPr>
              <w:pStyle w:val="ListParagraph"/>
              <w:numPr>
                <w:ilvl w:val="0"/>
                <w:numId w:val="11"/>
              </w:numPr>
              <w:spacing w:after="0"/>
              <w:ind w:left="360"/>
              <w:rPr>
                <w:rFonts w:ascii="Times New Roman" w:hAnsi="Times New Roman" w:cs="Times New Roman"/>
                <w:noProof/>
                <w:color w:val="006100"/>
                <w:sz w:val="20"/>
                <w:szCs w:val="20"/>
              </w:rPr>
            </w:pPr>
            <w:r>
              <w:rPr>
                <w:rFonts w:ascii="Times New Roman" w:hAnsi="Times New Roman"/>
                <w:noProof/>
                <w:color w:val="006100"/>
                <w:sz w:val="20"/>
              </w:rPr>
              <w:t xml:space="preserve">интегрира различни видове звена за реагиране, включително екипите за спешна медицинска помощ, полицията, противопожарната служба, планински и морски спасителни служби; </w:t>
            </w:r>
          </w:p>
          <w:p w14:paraId="5E2530FF" w14:textId="77777777" w:rsidR="00895175" w:rsidRPr="0051384F" w:rsidRDefault="00895175" w:rsidP="002E73ED">
            <w:pPr>
              <w:pStyle w:val="ListParagraph"/>
              <w:numPr>
                <w:ilvl w:val="0"/>
                <w:numId w:val="11"/>
              </w:numPr>
              <w:spacing w:after="0"/>
              <w:ind w:left="360"/>
              <w:rPr>
                <w:rFonts w:ascii="Times New Roman" w:hAnsi="Times New Roman" w:cs="Times New Roman"/>
                <w:noProof/>
                <w:color w:val="006100"/>
                <w:sz w:val="20"/>
                <w:szCs w:val="20"/>
              </w:rPr>
            </w:pPr>
            <w:r>
              <w:rPr>
                <w:rFonts w:ascii="Times New Roman" w:hAnsi="Times New Roman"/>
                <w:noProof/>
                <w:color w:val="006100"/>
                <w:sz w:val="20"/>
              </w:rPr>
              <w:t xml:space="preserve">бъде интегрирана със системите за видео, радио и за геолокализация на Министерството на вътрешните работи и с Националната здравно информационна система. </w:t>
            </w:r>
          </w:p>
          <w:p w14:paraId="53D58CFD" w14:textId="77777777" w:rsidR="00895175" w:rsidRPr="008A0F8A" w:rsidRDefault="00895175" w:rsidP="0066695B">
            <w:pPr>
              <w:spacing w:after="0"/>
              <w:rPr>
                <w:rFonts w:ascii="Times New Roman" w:hAnsi="Times New Roman" w:cs="Times New Roman"/>
                <w:noProof/>
                <w:color w:val="006100"/>
                <w:sz w:val="20"/>
                <w:szCs w:val="20"/>
                <w:lang w:val="ru-RU"/>
              </w:rPr>
            </w:pPr>
          </w:p>
          <w:p w14:paraId="428EA465" w14:textId="77777777" w:rsidR="00895175" w:rsidRPr="0051384F" w:rsidRDefault="00895175"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 xml:space="preserve">Модернизирането включва доставката и монтирането на 1012 стационарни и 830 мобилни работни станции. </w:t>
            </w:r>
          </w:p>
        </w:tc>
      </w:tr>
      <w:tr w:rsidR="00895175" w:rsidRPr="005241FC" w14:paraId="415C98A6" w14:textId="77777777" w:rsidTr="0DF4F0A1">
        <w:trPr>
          <w:trHeight w:val="309"/>
          <w:jc w:val="center"/>
        </w:trPr>
        <w:tc>
          <w:tcPr>
            <w:tcW w:w="595" w:type="dxa"/>
            <w:tcBorders>
              <w:top w:val="nil"/>
              <w:left w:val="single" w:sz="4" w:space="0" w:color="auto"/>
              <w:bottom w:val="single" w:sz="4" w:space="0" w:color="auto"/>
              <w:right w:val="single" w:sz="4" w:space="0" w:color="auto"/>
            </w:tcBorders>
            <w:shd w:val="clear" w:color="auto" w:fill="C6EFCE"/>
            <w:noWrap/>
          </w:tcPr>
          <w:p w14:paraId="090E5FD9" w14:textId="56103D24" w:rsidR="00895175" w:rsidRPr="0051384F" w:rsidRDefault="00992016" w:rsidP="0066695B">
            <w:pPr>
              <w:spacing w:after="0"/>
              <w:jc w:val="center"/>
              <w:rPr>
                <w:rFonts w:ascii="Times New Roman" w:hAnsi="Times New Roman" w:cs="Times New Roman"/>
                <w:noProof/>
                <w:color w:val="006100"/>
                <w:sz w:val="20"/>
                <w:szCs w:val="20"/>
              </w:rPr>
            </w:pPr>
            <w:r>
              <w:rPr>
                <w:rFonts w:ascii="Times New Roman" w:hAnsi="Times New Roman"/>
                <w:noProof/>
                <w:color w:val="006100"/>
                <w:sz w:val="20"/>
              </w:rPr>
              <w:t>343</w:t>
            </w:r>
          </w:p>
        </w:tc>
        <w:tc>
          <w:tcPr>
            <w:tcW w:w="1701" w:type="dxa"/>
            <w:tcBorders>
              <w:top w:val="nil"/>
              <w:left w:val="nil"/>
              <w:bottom w:val="single" w:sz="4" w:space="0" w:color="auto"/>
              <w:right w:val="single" w:sz="4" w:space="0" w:color="auto"/>
            </w:tcBorders>
            <w:shd w:val="clear" w:color="auto" w:fill="C6EFCE"/>
            <w:noWrap/>
          </w:tcPr>
          <w:p w14:paraId="077FC700" w14:textId="77777777" w:rsidR="00895175" w:rsidRPr="0051384F" w:rsidRDefault="00895175" w:rsidP="003B02A1">
            <w:pPr>
              <w:spacing w:after="0"/>
              <w:rPr>
                <w:rFonts w:ascii="Times New Roman" w:hAnsi="Times New Roman" w:cs="Times New Roman"/>
                <w:noProof/>
                <w:color w:val="006100"/>
                <w:sz w:val="20"/>
                <w:szCs w:val="20"/>
              </w:rPr>
            </w:pPr>
            <w:r>
              <w:rPr>
                <w:rFonts w:ascii="Times New Roman" w:hAnsi="Times New Roman"/>
                <w:noProof/>
                <w:color w:val="006100"/>
                <w:sz w:val="20"/>
              </w:rPr>
              <w:t>C12.I7:</w:t>
            </w:r>
          </w:p>
          <w:p w14:paraId="4C020332" w14:textId="77777777" w:rsidR="00895175" w:rsidRPr="0051384F" w:rsidRDefault="00895175" w:rsidP="003B02A1">
            <w:pPr>
              <w:spacing w:after="0"/>
              <w:rPr>
                <w:rFonts w:ascii="Times New Roman" w:hAnsi="Times New Roman" w:cs="Times New Roman"/>
                <w:noProof/>
                <w:color w:val="006100"/>
                <w:sz w:val="20"/>
                <w:szCs w:val="20"/>
              </w:rPr>
            </w:pPr>
            <w:r>
              <w:rPr>
                <w:rFonts w:ascii="Times New Roman" w:hAnsi="Times New Roman"/>
                <w:noProof/>
                <w:color w:val="006100"/>
                <w:sz w:val="20"/>
              </w:rPr>
              <w:t xml:space="preserve">Развитие на амбулаторните грижи </w:t>
            </w:r>
          </w:p>
        </w:tc>
        <w:tc>
          <w:tcPr>
            <w:tcW w:w="993" w:type="dxa"/>
            <w:tcBorders>
              <w:top w:val="nil"/>
              <w:left w:val="nil"/>
              <w:bottom w:val="single" w:sz="4" w:space="0" w:color="auto"/>
              <w:right w:val="single" w:sz="4" w:space="0" w:color="auto"/>
            </w:tcBorders>
            <w:shd w:val="clear" w:color="auto" w:fill="C6EFCE"/>
            <w:noWrap/>
          </w:tcPr>
          <w:p w14:paraId="044177D9" w14:textId="77777777" w:rsidR="00895175" w:rsidRPr="0051384F" w:rsidRDefault="00895175" w:rsidP="0066695B">
            <w:pPr>
              <w:spacing w:after="0"/>
              <w:jc w:val="center"/>
              <w:rPr>
                <w:rFonts w:ascii="Times New Roman" w:hAnsi="Times New Roman" w:cs="Times New Roman"/>
                <w:noProof/>
                <w:color w:val="006100"/>
                <w:sz w:val="20"/>
                <w:szCs w:val="20"/>
              </w:rPr>
            </w:pPr>
            <w:r>
              <w:rPr>
                <w:rFonts w:ascii="Times New Roman" w:hAnsi="Times New Roman"/>
                <w:noProof/>
                <w:color w:val="006100"/>
                <w:sz w:val="20"/>
              </w:rPr>
              <w:t>Ключов етап</w:t>
            </w:r>
          </w:p>
        </w:tc>
        <w:tc>
          <w:tcPr>
            <w:tcW w:w="1901" w:type="dxa"/>
            <w:tcBorders>
              <w:top w:val="nil"/>
              <w:left w:val="nil"/>
              <w:bottom w:val="single" w:sz="4" w:space="0" w:color="auto"/>
              <w:right w:val="single" w:sz="4" w:space="0" w:color="auto"/>
            </w:tcBorders>
            <w:shd w:val="clear" w:color="auto" w:fill="C6EFCE"/>
            <w:noWrap/>
          </w:tcPr>
          <w:p w14:paraId="5E9F7BC6" w14:textId="77777777" w:rsidR="00895175" w:rsidRPr="0051384F" w:rsidRDefault="00895175"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Сключване на договори за строителство и за ремонтни работи за амбулатории и за Националния интердисциплинарен център за скрининг;</w:t>
            </w:r>
          </w:p>
        </w:tc>
        <w:tc>
          <w:tcPr>
            <w:tcW w:w="1473" w:type="dxa"/>
            <w:tcBorders>
              <w:top w:val="nil"/>
              <w:left w:val="nil"/>
              <w:bottom w:val="single" w:sz="4" w:space="0" w:color="auto"/>
              <w:right w:val="single" w:sz="4" w:space="0" w:color="auto"/>
            </w:tcBorders>
            <w:shd w:val="clear" w:color="auto" w:fill="C6EFCE"/>
            <w:noWrap/>
          </w:tcPr>
          <w:p w14:paraId="275C40C2" w14:textId="77777777" w:rsidR="00895175" w:rsidRPr="0051384F" w:rsidRDefault="00895175" w:rsidP="0066695B">
            <w:pPr>
              <w:spacing w:after="0"/>
              <w:jc w:val="center"/>
              <w:rPr>
                <w:rFonts w:ascii="Times New Roman" w:hAnsi="Times New Roman" w:cs="Times New Roman"/>
                <w:noProof/>
                <w:color w:val="006100"/>
                <w:sz w:val="20"/>
                <w:szCs w:val="20"/>
              </w:rPr>
            </w:pPr>
            <w:r>
              <w:rPr>
                <w:rFonts w:ascii="Times New Roman" w:hAnsi="Times New Roman"/>
                <w:noProof/>
                <w:color w:val="006100"/>
                <w:sz w:val="20"/>
              </w:rPr>
              <w:t>Сключени договори</w:t>
            </w:r>
          </w:p>
        </w:tc>
        <w:tc>
          <w:tcPr>
            <w:tcW w:w="937" w:type="dxa"/>
            <w:tcBorders>
              <w:top w:val="nil"/>
              <w:left w:val="nil"/>
              <w:bottom w:val="single" w:sz="4" w:space="0" w:color="auto"/>
              <w:right w:val="single" w:sz="4" w:space="0" w:color="auto"/>
            </w:tcBorders>
            <w:shd w:val="clear" w:color="auto" w:fill="C6EFCE"/>
            <w:noWrap/>
          </w:tcPr>
          <w:p w14:paraId="192D268C" w14:textId="77777777" w:rsidR="00895175" w:rsidRPr="0051384F" w:rsidRDefault="00895175" w:rsidP="0066695B">
            <w:pPr>
              <w:spacing w:after="0"/>
              <w:jc w:val="center"/>
              <w:rPr>
                <w:rFonts w:ascii="Times New Roman" w:hAnsi="Times New Roman" w:cs="Times New Roman"/>
                <w:noProof/>
                <w:color w:val="006100"/>
                <w:sz w:val="20"/>
                <w:szCs w:val="20"/>
                <w:lang w:val="en-US"/>
              </w:rPr>
            </w:pPr>
          </w:p>
        </w:tc>
        <w:tc>
          <w:tcPr>
            <w:tcW w:w="850" w:type="dxa"/>
            <w:tcBorders>
              <w:top w:val="nil"/>
              <w:left w:val="nil"/>
              <w:bottom w:val="single" w:sz="4" w:space="0" w:color="auto"/>
              <w:right w:val="single" w:sz="4" w:space="0" w:color="auto"/>
            </w:tcBorders>
            <w:shd w:val="clear" w:color="auto" w:fill="C6EFCE"/>
            <w:noWrap/>
          </w:tcPr>
          <w:p w14:paraId="742C9B0E" w14:textId="77777777" w:rsidR="00895175" w:rsidRPr="0051384F" w:rsidRDefault="00895175" w:rsidP="0066695B">
            <w:pPr>
              <w:spacing w:after="0"/>
              <w:jc w:val="center"/>
              <w:rPr>
                <w:rFonts w:ascii="Times New Roman" w:hAnsi="Times New Roman" w:cs="Times New Roman"/>
                <w:noProof/>
                <w:color w:val="006100"/>
                <w:sz w:val="20"/>
                <w:szCs w:val="20"/>
                <w:lang w:val="en-US"/>
              </w:rPr>
            </w:pPr>
          </w:p>
        </w:tc>
        <w:tc>
          <w:tcPr>
            <w:tcW w:w="709" w:type="dxa"/>
            <w:tcBorders>
              <w:top w:val="nil"/>
              <w:left w:val="nil"/>
              <w:bottom w:val="single" w:sz="4" w:space="0" w:color="auto"/>
              <w:right w:val="single" w:sz="4" w:space="0" w:color="auto"/>
            </w:tcBorders>
            <w:shd w:val="clear" w:color="auto" w:fill="C6EFCE"/>
            <w:noWrap/>
          </w:tcPr>
          <w:p w14:paraId="6E454BE3" w14:textId="77777777" w:rsidR="00895175" w:rsidRPr="0051384F" w:rsidRDefault="00895175" w:rsidP="0066695B">
            <w:pPr>
              <w:spacing w:after="0"/>
              <w:jc w:val="center"/>
              <w:rPr>
                <w:rFonts w:ascii="Times New Roman" w:hAnsi="Times New Roman" w:cs="Times New Roman"/>
                <w:noProof/>
                <w:color w:val="006100"/>
                <w:sz w:val="20"/>
                <w:szCs w:val="20"/>
                <w:lang w:val="en-US"/>
              </w:rPr>
            </w:pPr>
          </w:p>
        </w:tc>
        <w:tc>
          <w:tcPr>
            <w:tcW w:w="850" w:type="dxa"/>
            <w:tcBorders>
              <w:top w:val="nil"/>
              <w:left w:val="nil"/>
              <w:bottom w:val="single" w:sz="4" w:space="0" w:color="auto"/>
              <w:right w:val="single" w:sz="4" w:space="0" w:color="auto"/>
            </w:tcBorders>
            <w:shd w:val="clear" w:color="auto" w:fill="C6EFCE"/>
            <w:noWrap/>
          </w:tcPr>
          <w:p w14:paraId="737D4191" w14:textId="5E007A2E" w:rsidR="00895175" w:rsidRPr="0051384F" w:rsidRDefault="00895175" w:rsidP="00994572">
            <w:pPr>
              <w:spacing w:after="0"/>
              <w:jc w:val="center"/>
              <w:rPr>
                <w:rFonts w:ascii="Times New Roman" w:hAnsi="Times New Roman" w:cs="Times New Roman"/>
                <w:noProof/>
                <w:color w:val="006100"/>
                <w:sz w:val="20"/>
                <w:szCs w:val="20"/>
              </w:rPr>
            </w:pPr>
            <w:r>
              <w:rPr>
                <w:rFonts w:ascii="Times New Roman" w:hAnsi="Times New Roman"/>
                <w:noProof/>
                <w:color w:val="006100"/>
                <w:sz w:val="20"/>
              </w:rPr>
              <w:t>T4</w:t>
            </w:r>
          </w:p>
        </w:tc>
        <w:tc>
          <w:tcPr>
            <w:tcW w:w="851" w:type="dxa"/>
            <w:tcBorders>
              <w:top w:val="nil"/>
              <w:left w:val="nil"/>
              <w:bottom w:val="single" w:sz="4" w:space="0" w:color="auto"/>
              <w:right w:val="single" w:sz="4" w:space="0" w:color="auto"/>
            </w:tcBorders>
            <w:shd w:val="clear" w:color="auto" w:fill="C6EFCE"/>
            <w:noWrap/>
          </w:tcPr>
          <w:p w14:paraId="27494C7E" w14:textId="77777777" w:rsidR="00895175" w:rsidRPr="0051384F" w:rsidRDefault="00895175" w:rsidP="0066695B">
            <w:pPr>
              <w:spacing w:after="0"/>
              <w:jc w:val="center"/>
              <w:rPr>
                <w:rFonts w:ascii="Times New Roman" w:hAnsi="Times New Roman" w:cs="Times New Roman"/>
                <w:noProof/>
                <w:color w:val="006100"/>
                <w:sz w:val="20"/>
                <w:szCs w:val="20"/>
              </w:rPr>
            </w:pPr>
            <w:r>
              <w:rPr>
                <w:rFonts w:ascii="Times New Roman" w:hAnsi="Times New Roman"/>
                <w:noProof/>
                <w:color w:val="006100"/>
                <w:sz w:val="20"/>
              </w:rPr>
              <w:t>2023</w:t>
            </w:r>
          </w:p>
        </w:tc>
        <w:tc>
          <w:tcPr>
            <w:tcW w:w="4450" w:type="dxa"/>
            <w:tcBorders>
              <w:top w:val="nil"/>
              <w:left w:val="nil"/>
              <w:bottom w:val="single" w:sz="4" w:space="0" w:color="auto"/>
              <w:right w:val="single" w:sz="4" w:space="0" w:color="auto"/>
            </w:tcBorders>
            <w:shd w:val="clear" w:color="auto" w:fill="C6EFCE"/>
            <w:noWrap/>
          </w:tcPr>
          <w:p w14:paraId="42083825" w14:textId="06D72719" w:rsidR="00895175" w:rsidRPr="0051384F" w:rsidRDefault="00895175"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 xml:space="preserve">За избора на изпълнители се провеждат процедури за възлагане на обществени поръчки. </w:t>
            </w:r>
          </w:p>
          <w:p w14:paraId="505EAA06" w14:textId="77777777" w:rsidR="00895175" w:rsidRPr="008A0F8A" w:rsidRDefault="00895175" w:rsidP="0066695B">
            <w:pPr>
              <w:spacing w:after="0"/>
              <w:rPr>
                <w:rFonts w:ascii="Times New Roman" w:hAnsi="Times New Roman" w:cs="Times New Roman"/>
                <w:noProof/>
                <w:color w:val="006100"/>
                <w:sz w:val="20"/>
                <w:szCs w:val="20"/>
                <w:lang w:val="ru-RU"/>
              </w:rPr>
            </w:pPr>
          </w:p>
          <w:p w14:paraId="5AAD8610" w14:textId="77777777" w:rsidR="00895175" w:rsidRPr="0051384F" w:rsidRDefault="00895175"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Договорите обхващат строителни и/или ремонтни работи за амбулатории и за Националния интердисциплинарен център за скрининг;</w:t>
            </w:r>
          </w:p>
          <w:p w14:paraId="4DFD0481" w14:textId="77777777" w:rsidR="00895175" w:rsidRPr="008A0F8A" w:rsidRDefault="00895175" w:rsidP="0066695B">
            <w:pPr>
              <w:spacing w:after="0"/>
              <w:rPr>
                <w:rFonts w:ascii="Times New Roman" w:hAnsi="Times New Roman" w:cs="Times New Roman"/>
                <w:noProof/>
                <w:color w:val="006100"/>
                <w:sz w:val="20"/>
                <w:szCs w:val="20"/>
                <w:lang w:val="ru-RU"/>
              </w:rPr>
            </w:pPr>
          </w:p>
          <w:p w14:paraId="7EA2A9E4" w14:textId="77777777" w:rsidR="00895175" w:rsidRPr="0051384F" w:rsidRDefault="00895175"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В допълнение договорите обхващат разработването на цифрова платформа за телемедицина, диагностика и лечение на социалнозначими заболявания. Платформата трябва да дава възможност за предоставяне на услуги за телемедицина, като например телеконсултации и телемониторинг и трябва да включва модули за разполагането на ресурси в подкрепа на медицинската диагностика и лечение.</w:t>
            </w:r>
          </w:p>
        </w:tc>
      </w:tr>
      <w:tr w:rsidR="00895175" w:rsidRPr="005241FC" w14:paraId="138CB8B6" w14:textId="77777777" w:rsidTr="0DF4F0A1">
        <w:trPr>
          <w:trHeight w:val="309"/>
          <w:jc w:val="center"/>
        </w:trPr>
        <w:tc>
          <w:tcPr>
            <w:tcW w:w="595" w:type="dxa"/>
            <w:tcBorders>
              <w:top w:val="nil"/>
              <w:left w:val="single" w:sz="4" w:space="0" w:color="auto"/>
              <w:bottom w:val="single" w:sz="4" w:space="0" w:color="auto"/>
              <w:right w:val="single" w:sz="4" w:space="0" w:color="auto"/>
            </w:tcBorders>
            <w:shd w:val="clear" w:color="auto" w:fill="C6EFCE"/>
            <w:noWrap/>
          </w:tcPr>
          <w:p w14:paraId="1858E5DC" w14:textId="09106A7B" w:rsidR="00895175" w:rsidRPr="0051384F" w:rsidRDefault="00992016" w:rsidP="006A7CD4">
            <w:pPr>
              <w:spacing w:after="0"/>
              <w:jc w:val="center"/>
              <w:rPr>
                <w:rFonts w:ascii="Times New Roman" w:eastAsia="Times New Roman" w:hAnsi="Times New Roman" w:cs="Times New Roman"/>
                <w:noProof/>
                <w:sz w:val="20"/>
                <w:szCs w:val="20"/>
              </w:rPr>
            </w:pPr>
            <w:r>
              <w:rPr>
                <w:rFonts w:ascii="Times New Roman" w:hAnsi="Times New Roman"/>
                <w:noProof/>
                <w:color w:val="006100"/>
                <w:sz w:val="20"/>
              </w:rPr>
              <w:t>344</w:t>
            </w:r>
          </w:p>
        </w:tc>
        <w:tc>
          <w:tcPr>
            <w:tcW w:w="1701" w:type="dxa"/>
            <w:tcBorders>
              <w:top w:val="nil"/>
              <w:left w:val="nil"/>
              <w:bottom w:val="single" w:sz="4" w:space="0" w:color="auto"/>
              <w:right w:val="single" w:sz="4" w:space="0" w:color="auto"/>
            </w:tcBorders>
            <w:shd w:val="clear" w:color="auto" w:fill="C6EFCE"/>
            <w:noWrap/>
          </w:tcPr>
          <w:p w14:paraId="2576DC53" w14:textId="77777777" w:rsidR="00895175" w:rsidRPr="0051384F" w:rsidRDefault="00895175" w:rsidP="003B02A1">
            <w:pPr>
              <w:spacing w:after="0"/>
              <w:rPr>
                <w:rFonts w:ascii="Times New Roman" w:hAnsi="Times New Roman" w:cs="Times New Roman"/>
                <w:noProof/>
                <w:color w:val="006100"/>
                <w:sz w:val="20"/>
                <w:szCs w:val="20"/>
              </w:rPr>
            </w:pPr>
            <w:r>
              <w:rPr>
                <w:rFonts w:ascii="Times New Roman" w:hAnsi="Times New Roman"/>
                <w:noProof/>
                <w:color w:val="006100"/>
                <w:sz w:val="20"/>
              </w:rPr>
              <w:t>C12.I7:</w:t>
            </w:r>
          </w:p>
          <w:p w14:paraId="5BEF26DB" w14:textId="77777777" w:rsidR="00895175" w:rsidRPr="0051384F" w:rsidRDefault="00895175" w:rsidP="003B02A1">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Развитие на амбулаторните грижи</w:t>
            </w:r>
          </w:p>
        </w:tc>
        <w:tc>
          <w:tcPr>
            <w:tcW w:w="993" w:type="dxa"/>
            <w:tcBorders>
              <w:top w:val="nil"/>
              <w:left w:val="nil"/>
              <w:bottom w:val="single" w:sz="4" w:space="0" w:color="auto"/>
              <w:right w:val="single" w:sz="4" w:space="0" w:color="auto"/>
            </w:tcBorders>
            <w:shd w:val="clear" w:color="auto" w:fill="C6EFCE"/>
            <w:noWrap/>
          </w:tcPr>
          <w:p w14:paraId="00B27D13" w14:textId="77777777" w:rsidR="00895175" w:rsidRPr="0051384F" w:rsidRDefault="00895175" w:rsidP="0066695B">
            <w:pPr>
              <w:spacing w:after="0"/>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Цел</w:t>
            </w:r>
          </w:p>
        </w:tc>
        <w:tc>
          <w:tcPr>
            <w:tcW w:w="1901" w:type="dxa"/>
            <w:tcBorders>
              <w:top w:val="nil"/>
              <w:left w:val="nil"/>
              <w:bottom w:val="single" w:sz="4" w:space="0" w:color="auto"/>
              <w:right w:val="single" w:sz="4" w:space="0" w:color="auto"/>
            </w:tcBorders>
            <w:shd w:val="clear" w:color="auto" w:fill="C6EFCE"/>
            <w:noWrap/>
          </w:tcPr>
          <w:p w14:paraId="5A74E963" w14:textId="77777777" w:rsidR="00895175" w:rsidRPr="0051384F" w:rsidRDefault="00895175" w:rsidP="0066695B">
            <w:pPr>
              <w:spacing w:after="0"/>
              <w:rPr>
                <w:rFonts w:ascii="Times New Roman" w:eastAsia="Times New Roman" w:hAnsi="Times New Roman" w:cs="Times New Roman"/>
                <w:noProof/>
                <w:color w:val="006100"/>
                <w:sz w:val="20"/>
                <w:szCs w:val="20"/>
              </w:rPr>
            </w:pPr>
            <w:r>
              <w:rPr>
                <w:rFonts w:ascii="Times New Roman" w:hAnsi="Times New Roman"/>
                <w:noProof/>
                <w:color w:val="006100"/>
                <w:sz w:val="20"/>
              </w:rPr>
              <w:t>Строителни/ремонтни работи, оборудване и осигуряване на персонал за амбулатории в отдалечени населени места в цялата страна</w:t>
            </w:r>
          </w:p>
        </w:tc>
        <w:tc>
          <w:tcPr>
            <w:tcW w:w="1473" w:type="dxa"/>
            <w:tcBorders>
              <w:top w:val="nil"/>
              <w:left w:val="nil"/>
              <w:bottom w:val="single" w:sz="4" w:space="0" w:color="auto"/>
              <w:right w:val="single" w:sz="4" w:space="0" w:color="auto"/>
            </w:tcBorders>
            <w:shd w:val="clear" w:color="auto" w:fill="C6EFCE"/>
            <w:noWrap/>
          </w:tcPr>
          <w:p w14:paraId="522A709A" w14:textId="77777777" w:rsidR="00895175" w:rsidRPr="0051384F" w:rsidRDefault="00895175" w:rsidP="0066695B">
            <w:pPr>
              <w:spacing w:after="0"/>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 </w:t>
            </w:r>
          </w:p>
        </w:tc>
        <w:tc>
          <w:tcPr>
            <w:tcW w:w="937" w:type="dxa"/>
            <w:tcBorders>
              <w:top w:val="nil"/>
              <w:left w:val="nil"/>
              <w:bottom w:val="single" w:sz="4" w:space="0" w:color="auto"/>
              <w:right w:val="single" w:sz="4" w:space="0" w:color="auto"/>
            </w:tcBorders>
            <w:shd w:val="clear" w:color="auto" w:fill="C6EFCE"/>
            <w:noWrap/>
          </w:tcPr>
          <w:p w14:paraId="412EAFFE" w14:textId="77777777" w:rsidR="00895175" w:rsidRPr="0051384F" w:rsidRDefault="00895175" w:rsidP="0066695B">
            <w:pPr>
              <w:spacing w:after="0"/>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Брой</w:t>
            </w:r>
          </w:p>
        </w:tc>
        <w:tc>
          <w:tcPr>
            <w:tcW w:w="850" w:type="dxa"/>
            <w:tcBorders>
              <w:top w:val="nil"/>
              <w:left w:val="nil"/>
              <w:bottom w:val="single" w:sz="4" w:space="0" w:color="auto"/>
              <w:right w:val="single" w:sz="4" w:space="0" w:color="auto"/>
            </w:tcBorders>
            <w:shd w:val="clear" w:color="auto" w:fill="C6EFCE"/>
            <w:noWrap/>
          </w:tcPr>
          <w:p w14:paraId="37227A44" w14:textId="77777777" w:rsidR="00895175" w:rsidRPr="0051384F" w:rsidRDefault="00895175" w:rsidP="0066695B">
            <w:pPr>
              <w:spacing w:after="0"/>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0</w:t>
            </w:r>
          </w:p>
        </w:tc>
        <w:tc>
          <w:tcPr>
            <w:tcW w:w="709" w:type="dxa"/>
            <w:tcBorders>
              <w:top w:val="nil"/>
              <w:left w:val="nil"/>
              <w:bottom w:val="single" w:sz="4" w:space="0" w:color="auto"/>
              <w:right w:val="single" w:sz="4" w:space="0" w:color="auto"/>
            </w:tcBorders>
            <w:shd w:val="clear" w:color="auto" w:fill="C6EFCE"/>
            <w:noWrap/>
          </w:tcPr>
          <w:p w14:paraId="40B9581F" w14:textId="77777777" w:rsidR="00895175" w:rsidRPr="0051384F" w:rsidRDefault="00895175" w:rsidP="0066695B">
            <w:pPr>
              <w:spacing w:after="0"/>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100</w:t>
            </w:r>
          </w:p>
        </w:tc>
        <w:tc>
          <w:tcPr>
            <w:tcW w:w="850" w:type="dxa"/>
            <w:tcBorders>
              <w:top w:val="nil"/>
              <w:left w:val="nil"/>
              <w:bottom w:val="single" w:sz="4" w:space="0" w:color="auto"/>
              <w:right w:val="single" w:sz="4" w:space="0" w:color="auto"/>
            </w:tcBorders>
            <w:shd w:val="clear" w:color="auto" w:fill="C6EFCE"/>
            <w:noWrap/>
          </w:tcPr>
          <w:p w14:paraId="217679CD" w14:textId="535C180B" w:rsidR="00895175" w:rsidRPr="0051384F" w:rsidRDefault="00895175" w:rsidP="0066695B">
            <w:pPr>
              <w:spacing w:after="0"/>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T4</w:t>
            </w:r>
          </w:p>
        </w:tc>
        <w:tc>
          <w:tcPr>
            <w:tcW w:w="851" w:type="dxa"/>
            <w:tcBorders>
              <w:top w:val="nil"/>
              <w:left w:val="nil"/>
              <w:bottom w:val="single" w:sz="4" w:space="0" w:color="auto"/>
              <w:right w:val="single" w:sz="4" w:space="0" w:color="auto"/>
            </w:tcBorders>
            <w:shd w:val="clear" w:color="auto" w:fill="C6EFCE"/>
            <w:noWrap/>
          </w:tcPr>
          <w:p w14:paraId="592B6D76" w14:textId="77777777" w:rsidR="00895175" w:rsidRPr="0051384F" w:rsidRDefault="00895175" w:rsidP="0066695B">
            <w:pPr>
              <w:spacing w:after="0"/>
              <w:jc w:val="center"/>
              <w:rPr>
                <w:rFonts w:ascii="Times New Roman" w:eastAsia="Times New Roman" w:hAnsi="Times New Roman" w:cs="Times New Roman"/>
                <w:noProof/>
                <w:color w:val="006100"/>
                <w:sz w:val="20"/>
                <w:szCs w:val="20"/>
              </w:rPr>
            </w:pPr>
            <w:r>
              <w:rPr>
                <w:rFonts w:ascii="Times New Roman" w:hAnsi="Times New Roman"/>
                <w:noProof/>
                <w:color w:val="006100"/>
                <w:sz w:val="20"/>
              </w:rPr>
              <w:t>2024</w:t>
            </w:r>
          </w:p>
        </w:tc>
        <w:tc>
          <w:tcPr>
            <w:tcW w:w="4450" w:type="dxa"/>
            <w:tcBorders>
              <w:top w:val="nil"/>
              <w:left w:val="nil"/>
              <w:bottom w:val="single" w:sz="4" w:space="0" w:color="auto"/>
              <w:right w:val="single" w:sz="4" w:space="0" w:color="auto"/>
            </w:tcBorders>
            <w:shd w:val="clear" w:color="auto" w:fill="C6EFCE"/>
            <w:noWrap/>
          </w:tcPr>
          <w:p w14:paraId="72132659" w14:textId="0703AFD8" w:rsidR="00895175" w:rsidRPr="0051384F" w:rsidRDefault="00895175"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 xml:space="preserve">След сключването на договори (ключов етап 343) се изпълняват строителните или ремонтните работи за 100 амбулатории в отдалечени населени места в цялата страна. В допълнение в тях се доставя и монтира необходимото медицинско оборудване. </w:t>
            </w:r>
          </w:p>
          <w:p w14:paraId="63B32668" w14:textId="77777777" w:rsidR="00895175" w:rsidRPr="008A0F8A" w:rsidRDefault="00895175" w:rsidP="0066695B">
            <w:pPr>
              <w:spacing w:after="0"/>
              <w:rPr>
                <w:rFonts w:ascii="Times New Roman" w:hAnsi="Times New Roman" w:cs="Times New Roman"/>
                <w:noProof/>
                <w:color w:val="006100"/>
                <w:sz w:val="20"/>
                <w:szCs w:val="20"/>
                <w:lang w:val="ru-RU"/>
              </w:rPr>
            </w:pPr>
          </w:p>
          <w:p w14:paraId="6AD54A35" w14:textId="77777777" w:rsidR="00895175" w:rsidRPr="0051384F" w:rsidRDefault="00895175"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За да бъде причислена към целта, всяка амбулатория се окомплектова с персонал, състоящ се от общопрактикуващ лекар или от медицинска сестра, или от акушерка или от друг медицински специалист.</w:t>
            </w:r>
          </w:p>
        </w:tc>
      </w:tr>
      <w:tr w:rsidR="00895175" w:rsidRPr="005241FC" w14:paraId="0D60428E" w14:textId="77777777" w:rsidTr="0DF4F0A1">
        <w:trPr>
          <w:trHeight w:val="309"/>
          <w:jc w:val="center"/>
        </w:trPr>
        <w:tc>
          <w:tcPr>
            <w:tcW w:w="595" w:type="dxa"/>
            <w:tcBorders>
              <w:top w:val="nil"/>
              <w:left w:val="single" w:sz="4" w:space="0" w:color="auto"/>
              <w:bottom w:val="single" w:sz="4" w:space="0" w:color="auto"/>
              <w:right w:val="single" w:sz="4" w:space="0" w:color="auto"/>
            </w:tcBorders>
            <w:shd w:val="clear" w:color="auto" w:fill="C6EFCE"/>
            <w:noWrap/>
          </w:tcPr>
          <w:p w14:paraId="1896CF7F" w14:textId="3AFBC62F" w:rsidR="00895175" w:rsidRPr="0051384F" w:rsidRDefault="00992016" w:rsidP="0066695B">
            <w:pPr>
              <w:spacing w:after="0"/>
              <w:jc w:val="center"/>
              <w:rPr>
                <w:rFonts w:ascii="Times New Roman" w:hAnsi="Times New Roman" w:cs="Times New Roman"/>
                <w:noProof/>
                <w:color w:val="006100"/>
                <w:sz w:val="20"/>
                <w:szCs w:val="20"/>
              </w:rPr>
            </w:pPr>
            <w:r>
              <w:rPr>
                <w:rFonts w:ascii="Times New Roman" w:hAnsi="Times New Roman"/>
                <w:noProof/>
                <w:color w:val="006100"/>
                <w:sz w:val="20"/>
              </w:rPr>
              <w:t>345</w:t>
            </w:r>
          </w:p>
        </w:tc>
        <w:tc>
          <w:tcPr>
            <w:tcW w:w="1701" w:type="dxa"/>
            <w:tcBorders>
              <w:top w:val="nil"/>
              <w:left w:val="nil"/>
              <w:bottom w:val="single" w:sz="4" w:space="0" w:color="auto"/>
              <w:right w:val="single" w:sz="4" w:space="0" w:color="auto"/>
            </w:tcBorders>
            <w:shd w:val="clear" w:color="auto" w:fill="C6EFCE"/>
            <w:noWrap/>
          </w:tcPr>
          <w:p w14:paraId="6CA30982" w14:textId="77777777" w:rsidR="00895175" w:rsidRPr="0051384F" w:rsidRDefault="00895175" w:rsidP="003B02A1">
            <w:pPr>
              <w:spacing w:after="0"/>
              <w:rPr>
                <w:rFonts w:ascii="Times New Roman" w:hAnsi="Times New Roman" w:cs="Times New Roman"/>
                <w:noProof/>
                <w:color w:val="006100"/>
                <w:sz w:val="20"/>
                <w:szCs w:val="20"/>
              </w:rPr>
            </w:pPr>
            <w:r>
              <w:rPr>
                <w:rFonts w:ascii="Times New Roman" w:hAnsi="Times New Roman"/>
                <w:noProof/>
                <w:color w:val="006100"/>
                <w:sz w:val="20"/>
              </w:rPr>
              <w:t>C12.I7:</w:t>
            </w:r>
          </w:p>
          <w:p w14:paraId="45B0C047" w14:textId="77777777" w:rsidR="00895175" w:rsidRPr="0051384F" w:rsidRDefault="00895175" w:rsidP="003B02A1">
            <w:pPr>
              <w:spacing w:after="0"/>
              <w:rPr>
                <w:rFonts w:ascii="Times New Roman" w:hAnsi="Times New Roman" w:cs="Times New Roman"/>
                <w:noProof/>
                <w:color w:val="006100"/>
                <w:sz w:val="20"/>
                <w:szCs w:val="20"/>
              </w:rPr>
            </w:pPr>
            <w:r>
              <w:rPr>
                <w:rFonts w:ascii="Times New Roman" w:hAnsi="Times New Roman"/>
                <w:noProof/>
                <w:color w:val="006100"/>
                <w:sz w:val="20"/>
              </w:rPr>
              <w:t>Развитие на амбулаторните грижи</w:t>
            </w:r>
          </w:p>
        </w:tc>
        <w:tc>
          <w:tcPr>
            <w:tcW w:w="993" w:type="dxa"/>
            <w:tcBorders>
              <w:top w:val="nil"/>
              <w:left w:val="nil"/>
              <w:bottom w:val="single" w:sz="4" w:space="0" w:color="auto"/>
              <w:right w:val="single" w:sz="4" w:space="0" w:color="auto"/>
            </w:tcBorders>
            <w:shd w:val="clear" w:color="auto" w:fill="C6EFCE"/>
            <w:noWrap/>
          </w:tcPr>
          <w:p w14:paraId="28CD4DF8" w14:textId="77777777" w:rsidR="00895175" w:rsidRPr="0051384F" w:rsidRDefault="00895175" w:rsidP="0066695B">
            <w:pPr>
              <w:spacing w:after="0"/>
              <w:jc w:val="center"/>
              <w:rPr>
                <w:rFonts w:ascii="Times New Roman" w:hAnsi="Times New Roman" w:cs="Times New Roman"/>
                <w:noProof/>
                <w:color w:val="006100"/>
                <w:sz w:val="20"/>
                <w:szCs w:val="20"/>
              </w:rPr>
            </w:pPr>
            <w:r>
              <w:rPr>
                <w:rFonts w:ascii="Times New Roman" w:hAnsi="Times New Roman"/>
                <w:noProof/>
                <w:color w:val="006100"/>
                <w:sz w:val="20"/>
              </w:rPr>
              <w:t>Цел</w:t>
            </w:r>
          </w:p>
        </w:tc>
        <w:tc>
          <w:tcPr>
            <w:tcW w:w="1901" w:type="dxa"/>
            <w:tcBorders>
              <w:top w:val="nil"/>
              <w:left w:val="nil"/>
              <w:bottom w:val="single" w:sz="4" w:space="0" w:color="auto"/>
              <w:right w:val="single" w:sz="4" w:space="0" w:color="auto"/>
            </w:tcBorders>
            <w:shd w:val="clear" w:color="auto" w:fill="C6EFCE"/>
            <w:noWrap/>
          </w:tcPr>
          <w:p w14:paraId="6734E554" w14:textId="1FA7DDA4" w:rsidR="00895175" w:rsidRPr="0051384F" w:rsidRDefault="00895175"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Строителни/ремонтни работи, оборудване и осигуряване на персонал за амбулатории в отдалечени населени места в цялата страна</w:t>
            </w:r>
          </w:p>
        </w:tc>
        <w:tc>
          <w:tcPr>
            <w:tcW w:w="1473" w:type="dxa"/>
            <w:tcBorders>
              <w:top w:val="nil"/>
              <w:left w:val="nil"/>
              <w:bottom w:val="single" w:sz="4" w:space="0" w:color="auto"/>
              <w:right w:val="single" w:sz="4" w:space="0" w:color="auto"/>
            </w:tcBorders>
            <w:shd w:val="clear" w:color="auto" w:fill="C6EFCE"/>
            <w:noWrap/>
          </w:tcPr>
          <w:p w14:paraId="734EB73B" w14:textId="77777777" w:rsidR="00895175" w:rsidRPr="0051384F" w:rsidRDefault="00895175" w:rsidP="0066695B">
            <w:pPr>
              <w:spacing w:after="0"/>
              <w:jc w:val="center"/>
              <w:rPr>
                <w:rFonts w:ascii="Times New Roman" w:hAnsi="Times New Roman" w:cs="Times New Roman"/>
                <w:noProof/>
                <w:color w:val="006100"/>
                <w:sz w:val="20"/>
                <w:szCs w:val="20"/>
              </w:rPr>
            </w:pPr>
            <w:r>
              <w:rPr>
                <w:rFonts w:ascii="Times New Roman" w:hAnsi="Times New Roman"/>
                <w:noProof/>
                <w:color w:val="006100"/>
                <w:sz w:val="20"/>
              </w:rPr>
              <w:t> </w:t>
            </w:r>
          </w:p>
        </w:tc>
        <w:tc>
          <w:tcPr>
            <w:tcW w:w="937" w:type="dxa"/>
            <w:tcBorders>
              <w:top w:val="nil"/>
              <w:left w:val="nil"/>
              <w:bottom w:val="single" w:sz="4" w:space="0" w:color="auto"/>
              <w:right w:val="single" w:sz="4" w:space="0" w:color="auto"/>
            </w:tcBorders>
            <w:shd w:val="clear" w:color="auto" w:fill="C6EFCE"/>
            <w:noWrap/>
          </w:tcPr>
          <w:p w14:paraId="2DD84BF8" w14:textId="77777777" w:rsidR="00895175" w:rsidRPr="0051384F" w:rsidRDefault="00895175" w:rsidP="0066695B">
            <w:pPr>
              <w:spacing w:after="0"/>
              <w:jc w:val="center"/>
              <w:rPr>
                <w:rFonts w:ascii="Times New Roman" w:hAnsi="Times New Roman" w:cs="Times New Roman"/>
                <w:noProof/>
                <w:color w:val="006100"/>
                <w:sz w:val="20"/>
                <w:szCs w:val="20"/>
              </w:rPr>
            </w:pPr>
            <w:r>
              <w:rPr>
                <w:rFonts w:ascii="Times New Roman" w:hAnsi="Times New Roman"/>
                <w:noProof/>
                <w:color w:val="006100"/>
                <w:sz w:val="20"/>
              </w:rPr>
              <w:t>Брой</w:t>
            </w:r>
          </w:p>
        </w:tc>
        <w:tc>
          <w:tcPr>
            <w:tcW w:w="850" w:type="dxa"/>
            <w:tcBorders>
              <w:top w:val="nil"/>
              <w:left w:val="nil"/>
              <w:bottom w:val="single" w:sz="4" w:space="0" w:color="auto"/>
              <w:right w:val="single" w:sz="4" w:space="0" w:color="auto"/>
            </w:tcBorders>
            <w:shd w:val="clear" w:color="auto" w:fill="C6EFCE"/>
            <w:noWrap/>
          </w:tcPr>
          <w:p w14:paraId="5DE7348C" w14:textId="77777777" w:rsidR="00895175" w:rsidRPr="0051384F" w:rsidRDefault="00895175" w:rsidP="0066695B">
            <w:pPr>
              <w:spacing w:after="0"/>
              <w:jc w:val="center"/>
              <w:rPr>
                <w:rFonts w:ascii="Times New Roman" w:hAnsi="Times New Roman" w:cs="Times New Roman"/>
                <w:noProof/>
                <w:color w:val="006100"/>
                <w:sz w:val="20"/>
                <w:szCs w:val="20"/>
              </w:rPr>
            </w:pPr>
            <w:r>
              <w:rPr>
                <w:rFonts w:ascii="Times New Roman" w:hAnsi="Times New Roman"/>
                <w:noProof/>
                <w:color w:val="006100"/>
                <w:sz w:val="20"/>
              </w:rPr>
              <w:t>100</w:t>
            </w:r>
          </w:p>
        </w:tc>
        <w:tc>
          <w:tcPr>
            <w:tcW w:w="709" w:type="dxa"/>
            <w:tcBorders>
              <w:top w:val="nil"/>
              <w:left w:val="nil"/>
              <w:bottom w:val="single" w:sz="4" w:space="0" w:color="auto"/>
              <w:right w:val="single" w:sz="4" w:space="0" w:color="auto"/>
            </w:tcBorders>
            <w:shd w:val="clear" w:color="auto" w:fill="C6EFCE"/>
            <w:noWrap/>
          </w:tcPr>
          <w:p w14:paraId="09D7B555" w14:textId="77777777" w:rsidR="00895175" w:rsidRPr="0051384F" w:rsidRDefault="00895175" w:rsidP="0066695B">
            <w:pPr>
              <w:spacing w:after="0"/>
              <w:jc w:val="center"/>
              <w:rPr>
                <w:rFonts w:ascii="Times New Roman" w:hAnsi="Times New Roman" w:cs="Times New Roman"/>
                <w:noProof/>
                <w:color w:val="006100"/>
                <w:sz w:val="20"/>
                <w:szCs w:val="20"/>
              </w:rPr>
            </w:pPr>
            <w:r>
              <w:rPr>
                <w:rFonts w:ascii="Times New Roman" w:hAnsi="Times New Roman"/>
                <w:noProof/>
                <w:color w:val="006100"/>
                <w:sz w:val="20"/>
              </w:rPr>
              <w:t>300</w:t>
            </w:r>
          </w:p>
        </w:tc>
        <w:tc>
          <w:tcPr>
            <w:tcW w:w="850" w:type="dxa"/>
            <w:tcBorders>
              <w:top w:val="nil"/>
              <w:left w:val="nil"/>
              <w:bottom w:val="single" w:sz="4" w:space="0" w:color="auto"/>
              <w:right w:val="single" w:sz="4" w:space="0" w:color="auto"/>
            </w:tcBorders>
            <w:shd w:val="clear" w:color="auto" w:fill="C6EFCE"/>
            <w:noWrap/>
          </w:tcPr>
          <w:p w14:paraId="33542285" w14:textId="77777777" w:rsidR="00895175" w:rsidRPr="0051384F" w:rsidRDefault="00895175" w:rsidP="0066695B">
            <w:pPr>
              <w:spacing w:after="0"/>
              <w:jc w:val="center"/>
              <w:rPr>
                <w:rFonts w:ascii="Times New Roman" w:hAnsi="Times New Roman" w:cs="Times New Roman"/>
                <w:noProof/>
                <w:color w:val="006100"/>
                <w:sz w:val="20"/>
                <w:szCs w:val="20"/>
              </w:rPr>
            </w:pPr>
            <w:r>
              <w:rPr>
                <w:rFonts w:ascii="Times New Roman" w:hAnsi="Times New Roman"/>
                <w:noProof/>
                <w:color w:val="006100"/>
                <w:sz w:val="20"/>
              </w:rPr>
              <w:t>T2</w:t>
            </w:r>
          </w:p>
        </w:tc>
        <w:tc>
          <w:tcPr>
            <w:tcW w:w="851" w:type="dxa"/>
            <w:tcBorders>
              <w:top w:val="nil"/>
              <w:left w:val="nil"/>
              <w:bottom w:val="single" w:sz="4" w:space="0" w:color="auto"/>
              <w:right w:val="single" w:sz="4" w:space="0" w:color="auto"/>
            </w:tcBorders>
            <w:shd w:val="clear" w:color="auto" w:fill="C6EFCE"/>
            <w:noWrap/>
          </w:tcPr>
          <w:p w14:paraId="3DBD1B56" w14:textId="77777777" w:rsidR="00895175" w:rsidRPr="0051384F" w:rsidRDefault="00895175" w:rsidP="0066695B">
            <w:pPr>
              <w:spacing w:after="0"/>
              <w:jc w:val="center"/>
              <w:rPr>
                <w:rFonts w:ascii="Times New Roman" w:hAnsi="Times New Roman" w:cs="Times New Roman"/>
                <w:noProof/>
                <w:color w:val="006100"/>
                <w:sz w:val="20"/>
                <w:szCs w:val="20"/>
              </w:rPr>
            </w:pPr>
            <w:r>
              <w:rPr>
                <w:rFonts w:ascii="Times New Roman" w:hAnsi="Times New Roman"/>
                <w:noProof/>
                <w:color w:val="006100"/>
                <w:sz w:val="20"/>
              </w:rPr>
              <w:t>2026</w:t>
            </w:r>
          </w:p>
        </w:tc>
        <w:tc>
          <w:tcPr>
            <w:tcW w:w="4450" w:type="dxa"/>
            <w:tcBorders>
              <w:top w:val="nil"/>
              <w:left w:val="nil"/>
              <w:bottom w:val="single" w:sz="4" w:space="0" w:color="auto"/>
              <w:right w:val="single" w:sz="4" w:space="0" w:color="auto"/>
            </w:tcBorders>
            <w:shd w:val="clear" w:color="auto" w:fill="C6EFCE"/>
            <w:noWrap/>
          </w:tcPr>
          <w:p w14:paraId="1ACE95F9" w14:textId="337DA911" w:rsidR="00895175" w:rsidRPr="0051384F" w:rsidRDefault="00895175"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 xml:space="preserve">След сключването на договори (ключов етап 343) се изпълняват строителните или ремонтните работи за 200 амбулатории в отдалечени населени места в цялата страна. В допълнение в тях се доставя и монтира необходимото медицинско оборудване. </w:t>
            </w:r>
          </w:p>
          <w:p w14:paraId="025C423C" w14:textId="77777777" w:rsidR="00895175" w:rsidRPr="008A0F8A" w:rsidRDefault="00895175" w:rsidP="0066695B">
            <w:pPr>
              <w:spacing w:after="0"/>
              <w:rPr>
                <w:rFonts w:ascii="Times New Roman" w:hAnsi="Times New Roman" w:cs="Times New Roman"/>
                <w:noProof/>
                <w:color w:val="006100"/>
                <w:sz w:val="20"/>
                <w:szCs w:val="20"/>
                <w:lang w:val="ru-RU"/>
              </w:rPr>
            </w:pPr>
          </w:p>
          <w:p w14:paraId="2865A3EE" w14:textId="77777777" w:rsidR="00895175" w:rsidRPr="0051384F" w:rsidRDefault="00895175"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За да бъде причислена към целта, всяка амбулатория се окомплектова с персонал, състоящ се от общопрактикуващ лекар или от медицинска сестра, или от акушерка, или от друг медицински специалист.</w:t>
            </w:r>
          </w:p>
          <w:p w14:paraId="5E4EBAC7" w14:textId="77777777" w:rsidR="00895175" w:rsidRPr="0051384F" w:rsidRDefault="00895175"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В допълнение, най-малко на 60 % от медицинския персонал на амбулаторните се предоставя достъп до цифровата платформа за телемедицина, диагностика и лечение на социалнозначими заболявания, включително диабет, както и сърдечно-съдови и мозъчно-съдови заболявания.</w:t>
            </w:r>
          </w:p>
        </w:tc>
      </w:tr>
      <w:tr w:rsidR="00895175" w:rsidRPr="005241FC" w14:paraId="3FD0CD58" w14:textId="77777777" w:rsidTr="0DF4F0A1">
        <w:trPr>
          <w:trHeight w:val="309"/>
          <w:jc w:val="center"/>
        </w:trPr>
        <w:tc>
          <w:tcPr>
            <w:tcW w:w="595" w:type="dxa"/>
            <w:tcBorders>
              <w:top w:val="nil"/>
              <w:left w:val="single" w:sz="4" w:space="0" w:color="auto"/>
              <w:bottom w:val="single" w:sz="4" w:space="0" w:color="auto"/>
              <w:right w:val="single" w:sz="4" w:space="0" w:color="auto"/>
            </w:tcBorders>
            <w:shd w:val="clear" w:color="auto" w:fill="C6EFCE"/>
            <w:noWrap/>
          </w:tcPr>
          <w:p w14:paraId="40E60865" w14:textId="50516876" w:rsidR="00895175" w:rsidRPr="0051384F" w:rsidRDefault="00992016" w:rsidP="0066695B">
            <w:pPr>
              <w:spacing w:after="0"/>
              <w:jc w:val="center"/>
              <w:rPr>
                <w:rFonts w:ascii="Times New Roman" w:hAnsi="Times New Roman" w:cs="Times New Roman"/>
                <w:noProof/>
                <w:color w:val="006100"/>
                <w:sz w:val="20"/>
                <w:szCs w:val="20"/>
              </w:rPr>
            </w:pPr>
            <w:r>
              <w:rPr>
                <w:rFonts w:ascii="Times New Roman" w:hAnsi="Times New Roman"/>
                <w:noProof/>
                <w:color w:val="006100"/>
                <w:sz w:val="20"/>
              </w:rPr>
              <w:t>346</w:t>
            </w:r>
          </w:p>
        </w:tc>
        <w:tc>
          <w:tcPr>
            <w:tcW w:w="1701" w:type="dxa"/>
            <w:tcBorders>
              <w:top w:val="nil"/>
              <w:left w:val="nil"/>
              <w:bottom w:val="single" w:sz="4" w:space="0" w:color="auto"/>
              <w:right w:val="single" w:sz="4" w:space="0" w:color="auto"/>
            </w:tcBorders>
            <w:shd w:val="clear" w:color="auto" w:fill="C6EFCE"/>
            <w:noWrap/>
          </w:tcPr>
          <w:p w14:paraId="53DCD71E" w14:textId="77777777" w:rsidR="00895175" w:rsidRPr="0051384F" w:rsidRDefault="00895175" w:rsidP="003B02A1">
            <w:pPr>
              <w:spacing w:after="0"/>
              <w:rPr>
                <w:rFonts w:ascii="Times New Roman" w:hAnsi="Times New Roman" w:cs="Times New Roman"/>
                <w:noProof/>
                <w:color w:val="006100"/>
                <w:sz w:val="20"/>
                <w:szCs w:val="20"/>
              </w:rPr>
            </w:pPr>
            <w:r>
              <w:rPr>
                <w:rFonts w:ascii="Times New Roman" w:hAnsi="Times New Roman"/>
                <w:noProof/>
                <w:color w:val="006100"/>
                <w:sz w:val="20"/>
              </w:rPr>
              <w:t>C12.I7:</w:t>
            </w:r>
          </w:p>
          <w:p w14:paraId="5A357E3A" w14:textId="77777777" w:rsidR="00895175" w:rsidRPr="0051384F" w:rsidRDefault="00895175" w:rsidP="003B02A1">
            <w:pPr>
              <w:spacing w:after="0"/>
              <w:rPr>
                <w:rFonts w:ascii="Times New Roman" w:hAnsi="Times New Roman" w:cs="Times New Roman"/>
                <w:noProof/>
                <w:color w:val="006100"/>
                <w:sz w:val="20"/>
                <w:szCs w:val="20"/>
              </w:rPr>
            </w:pPr>
            <w:r>
              <w:rPr>
                <w:rFonts w:ascii="Times New Roman" w:hAnsi="Times New Roman"/>
                <w:noProof/>
                <w:color w:val="006100"/>
                <w:sz w:val="20"/>
              </w:rPr>
              <w:t xml:space="preserve">Развитие на амбулаторните грижи </w:t>
            </w:r>
          </w:p>
        </w:tc>
        <w:tc>
          <w:tcPr>
            <w:tcW w:w="993" w:type="dxa"/>
            <w:tcBorders>
              <w:top w:val="nil"/>
              <w:left w:val="nil"/>
              <w:bottom w:val="single" w:sz="4" w:space="0" w:color="auto"/>
              <w:right w:val="single" w:sz="4" w:space="0" w:color="auto"/>
            </w:tcBorders>
            <w:shd w:val="clear" w:color="auto" w:fill="C6EFCE"/>
            <w:noWrap/>
          </w:tcPr>
          <w:p w14:paraId="5138593A" w14:textId="77777777" w:rsidR="00895175" w:rsidRPr="0051384F" w:rsidRDefault="00895175" w:rsidP="0066695B">
            <w:pPr>
              <w:spacing w:after="0"/>
              <w:jc w:val="center"/>
              <w:rPr>
                <w:rFonts w:ascii="Times New Roman" w:hAnsi="Times New Roman" w:cs="Times New Roman"/>
                <w:noProof/>
                <w:color w:val="006100"/>
                <w:sz w:val="20"/>
                <w:szCs w:val="20"/>
              </w:rPr>
            </w:pPr>
            <w:r>
              <w:rPr>
                <w:rFonts w:ascii="Times New Roman" w:hAnsi="Times New Roman"/>
                <w:noProof/>
                <w:color w:val="006100"/>
                <w:sz w:val="20"/>
              </w:rPr>
              <w:t>Ключов етап</w:t>
            </w:r>
          </w:p>
        </w:tc>
        <w:tc>
          <w:tcPr>
            <w:tcW w:w="1901" w:type="dxa"/>
            <w:tcBorders>
              <w:top w:val="nil"/>
              <w:left w:val="nil"/>
              <w:bottom w:val="single" w:sz="4" w:space="0" w:color="auto"/>
              <w:right w:val="single" w:sz="4" w:space="0" w:color="auto"/>
            </w:tcBorders>
            <w:shd w:val="clear" w:color="auto" w:fill="C6EFCE"/>
            <w:noWrap/>
          </w:tcPr>
          <w:p w14:paraId="79C3DDF5" w14:textId="77777777" w:rsidR="00895175" w:rsidRPr="0051384F" w:rsidRDefault="00895175"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 xml:space="preserve">Създаване на Национален интердисциплинарен център за скрининг </w:t>
            </w:r>
          </w:p>
        </w:tc>
        <w:tc>
          <w:tcPr>
            <w:tcW w:w="1473" w:type="dxa"/>
            <w:tcBorders>
              <w:top w:val="nil"/>
              <w:left w:val="nil"/>
              <w:bottom w:val="single" w:sz="4" w:space="0" w:color="auto"/>
              <w:right w:val="single" w:sz="4" w:space="0" w:color="auto"/>
            </w:tcBorders>
            <w:shd w:val="clear" w:color="auto" w:fill="C6EFCE"/>
            <w:noWrap/>
          </w:tcPr>
          <w:p w14:paraId="6A2702AD" w14:textId="2B0E4D95" w:rsidR="00895175" w:rsidRPr="005D5B03" w:rsidRDefault="68497C09" w:rsidP="0066695B">
            <w:pPr>
              <w:spacing w:after="0"/>
              <w:jc w:val="center"/>
              <w:rPr>
                <w:rFonts w:ascii="Times New Roman" w:hAnsi="Times New Roman" w:cs="Times New Roman"/>
                <w:noProof/>
                <w:color w:val="006100"/>
                <w:sz w:val="20"/>
                <w:szCs w:val="20"/>
              </w:rPr>
            </w:pPr>
            <w:r>
              <w:rPr>
                <w:rFonts w:ascii="Times New Roman" w:hAnsi="Times New Roman"/>
                <w:noProof/>
                <w:color w:val="006100"/>
                <w:sz w:val="20"/>
              </w:rPr>
              <w:t>Националният интердисциплинарен център за скрининг е завършен, а оборудването е доставено и монтирано</w:t>
            </w:r>
          </w:p>
        </w:tc>
        <w:tc>
          <w:tcPr>
            <w:tcW w:w="937" w:type="dxa"/>
            <w:tcBorders>
              <w:top w:val="nil"/>
              <w:left w:val="nil"/>
              <w:bottom w:val="single" w:sz="4" w:space="0" w:color="auto"/>
              <w:right w:val="single" w:sz="4" w:space="0" w:color="auto"/>
            </w:tcBorders>
            <w:shd w:val="clear" w:color="auto" w:fill="C6EFCE"/>
            <w:noWrap/>
          </w:tcPr>
          <w:p w14:paraId="759E9EA8" w14:textId="77777777" w:rsidR="00895175" w:rsidRPr="008A0F8A" w:rsidRDefault="00895175" w:rsidP="0066695B">
            <w:pPr>
              <w:spacing w:after="0"/>
              <w:jc w:val="center"/>
              <w:rPr>
                <w:rFonts w:ascii="Times New Roman" w:hAnsi="Times New Roman" w:cs="Times New Roman"/>
                <w:noProof/>
                <w:color w:val="006100"/>
                <w:sz w:val="20"/>
                <w:szCs w:val="20"/>
                <w:lang w:val="ru-RU"/>
              </w:rPr>
            </w:pPr>
          </w:p>
        </w:tc>
        <w:tc>
          <w:tcPr>
            <w:tcW w:w="850" w:type="dxa"/>
            <w:tcBorders>
              <w:top w:val="nil"/>
              <w:left w:val="nil"/>
              <w:bottom w:val="single" w:sz="4" w:space="0" w:color="auto"/>
              <w:right w:val="single" w:sz="4" w:space="0" w:color="auto"/>
            </w:tcBorders>
            <w:shd w:val="clear" w:color="auto" w:fill="C6EFCE"/>
            <w:noWrap/>
          </w:tcPr>
          <w:p w14:paraId="61397DE1" w14:textId="77777777" w:rsidR="00895175" w:rsidRPr="008A0F8A" w:rsidRDefault="00895175" w:rsidP="0066695B">
            <w:pPr>
              <w:spacing w:after="0"/>
              <w:jc w:val="center"/>
              <w:rPr>
                <w:rFonts w:ascii="Times New Roman" w:hAnsi="Times New Roman" w:cs="Times New Roman"/>
                <w:noProof/>
                <w:color w:val="006100"/>
                <w:sz w:val="20"/>
                <w:szCs w:val="20"/>
                <w:lang w:val="ru-RU"/>
              </w:rPr>
            </w:pPr>
          </w:p>
        </w:tc>
        <w:tc>
          <w:tcPr>
            <w:tcW w:w="709" w:type="dxa"/>
            <w:tcBorders>
              <w:top w:val="nil"/>
              <w:left w:val="nil"/>
              <w:bottom w:val="single" w:sz="4" w:space="0" w:color="auto"/>
              <w:right w:val="single" w:sz="4" w:space="0" w:color="auto"/>
            </w:tcBorders>
            <w:shd w:val="clear" w:color="auto" w:fill="C6EFCE"/>
            <w:noWrap/>
          </w:tcPr>
          <w:p w14:paraId="759EFB79" w14:textId="77777777" w:rsidR="00895175" w:rsidRPr="008A0F8A" w:rsidRDefault="00895175" w:rsidP="0066695B">
            <w:pPr>
              <w:spacing w:after="0"/>
              <w:jc w:val="center"/>
              <w:rPr>
                <w:rFonts w:ascii="Times New Roman" w:hAnsi="Times New Roman" w:cs="Times New Roman"/>
                <w:noProof/>
                <w:color w:val="006100"/>
                <w:sz w:val="20"/>
                <w:szCs w:val="20"/>
                <w:lang w:val="ru-RU"/>
              </w:rPr>
            </w:pPr>
          </w:p>
        </w:tc>
        <w:tc>
          <w:tcPr>
            <w:tcW w:w="850" w:type="dxa"/>
            <w:tcBorders>
              <w:top w:val="nil"/>
              <w:left w:val="nil"/>
              <w:bottom w:val="single" w:sz="4" w:space="0" w:color="auto"/>
              <w:right w:val="single" w:sz="4" w:space="0" w:color="auto"/>
            </w:tcBorders>
            <w:shd w:val="clear" w:color="auto" w:fill="C6EFCE"/>
            <w:noWrap/>
          </w:tcPr>
          <w:p w14:paraId="6F224FE2" w14:textId="77777777" w:rsidR="00895175" w:rsidRPr="0051384F" w:rsidRDefault="00895175" w:rsidP="0066695B">
            <w:pPr>
              <w:spacing w:after="0"/>
              <w:jc w:val="center"/>
              <w:rPr>
                <w:rFonts w:ascii="Times New Roman" w:hAnsi="Times New Roman" w:cs="Times New Roman"/>
                <w:noProof/>
                <w:color w:val="006100"/>
                <w:sz w:val="20"/>
                <w:szCs w:val="20"/>
              </w:rPr>
            </w:pPr>
            <w:r>
              <w:rPr>
                <w:rFonts w:ascii="Times New Roman" w:hAnsi="Times New Roman"/>
                <w:noProof/>
                <w:color w:val="006100"/>
                <w:sz w:val="20"/>
              </w:rPr>
              <w:t>T2</w:t>
            </w:r>
          </w:p>
        </w:tc>
        <w:tc>
          <w:tcPr>
            <w:tcW w:w="851" w:type="dxa"/>
            <w:tcBorders>
              <w:top w:val="nil"/>
              <w:left w:val="nil"/>
              <w:bottom w:val="single" w:sz="4" w:space="0" w:color="auto"/>
              <w:right w:val="single" w:sz="4" w:space="0" w:color="auto"/>
            </w:tcBorders>
            <w:shd w:val="clear" w:color="auto" w:fill="C6EFCE"/>
            <w:noWrap/>
          </w:tcPr>
          <w:p w14:paraId="125F85EB" w14:textId="77777777" w:rsidR="00895175" w:rsidRPr="0051384F" w:rsidRDefault="00895175" w:rsidP="0066695B">
            <w:pPr>
              <w:spacing w:after="0"/>
              <w:jc w:val="center"/>
              <w:rPr>
                <w:rFonts w:ascii="Times New Roman" w:hAnsi="Times New Roman" w:cs="Times New Roman"/>
                <w:noProof/>
                <w:color w:val="006100"/>
                <w:sz w:val="20"/>
                <w:szCs w:val="20"/>
              </w:rPr>
            </w:pPr>
            <w:r>
              <w:rPr>
                <w:rFonts w:ascii="Times New Roman" w:hAnsi="Times New Roman"/>
                <w:noProof/>
                <w:color w:val="006100"/>
                <w:sz w:val="20"/>
              </w:rPr>
              <w:t>2026</w:t>
            </w:r>
          </w:p>
        </w:tc>
        <w:tc>
          <w:tcPr>
            <w:tcW w:w="4450" w:type="dxa"/>
            <w:tcBorders>
              <w:top w:val="nil"/>
              <w:left w:val="nil"/>
              <w:bottom w:val="single" w:sz="4" w:space="0" w:color="auto"/>
              <w:right w:val="single" w:sz="4" w:space="0" w:color="auto"/>
            </w:tcBorders>
            <w:shd w:val="clear" w:color="auto" w:fill="C6EFCE"/>
            <w:noWrap/>
          </w:tcPr>
          <w:p w14:paraId="75A142BD" w14:textId="76CBC278" w:rsidR="00895175" w:rsidRPr="0051384F" w:rsidRDefault="00895175" w:rsidP="0066695B">
            <w:pPr>
              <w:spacing w:after="0"/>
              <w:rPr>
                <w:rFonts w:ascii="Times New Roman" w:hAnsi="Times New Roman" w:cs="Times New Roman"/>
                <w:noProof/>
                <w:color w:val="006100"/>
                <w:sz w:val="20"/>
                <w:szCs w:val="20"/>
              </w:rPr>
            </w:pPr>
            <w:r>
              <w:rPr>
                <w:rFonts w:ascii="Times New Roman" w:hAnsi="Times New Roman"/>
                <w:noProof/>
                <w:color w:val="006100"/>
                <w:sz w:val="20"/>
              </w:rPr>
              <w:t>След сключването на договори (ключов етап 343) се изпълняват строителните работи. Освен това се доставя и инсталира оборудване за създаване на национален интердисциплинарен център за скрининг.</w:t>
            </w:r>
          </w:p>
          <w:p w14:paraId="468A399B" w14:textId="77777777" w:rsidR="00895175" w:rsidRPr="008A0F8A" w:rsidRDefault="00895175" w:rsidP="0066695B">
            <w:pPr>
              <w:spacing w:after="0"/>
              <w:rPr>
                <w:rFonts w:ascii="Times New Roman" w:hAnsi="Times New Roman" w:cs="Times New Roman"/>
                <w:noProof/>
                <w:color w:val="006100"/>
                <w:sz w:val="20"/>
                <w:szCs w:val="20"/>
                <w:lang w:val="ru-RU"/>
              </w:rPr>
            </w:pPr>
          </w:p>
        </w:tc>
      </w:tr>
    </w:tbl>
    <w:p w14:paraId="1AA777B6" w14:textId="77777777" w:rsidR="006E5C60" w:rsidRPr="008A0F8A" w:rsidRDefault="006E5C60">
      <w:pPr>
        <w:rPr>
          <w:rFonts w:ascii="Times New Roman" w:eastAsia="Calibri" w:hAnsi="Times New Roman" w:cs="Times New Roman"/>
          <w:iCs/>
          <w:noProof/>
          <w:color w:val="4F81BD"/>
          <w:sz w:val="24"/>
          <w:lang w:val="ru-RU"/>
        </w:rPr>
        <w:sectPr w:rsidR="006E5C60" w:rsidRPr="008A0F8A" w:rsidSect="00B60432">
          <w:headerReference w:type="even" r:id="rId156"/>
          <w:headerReference w:type="default" r:id="rId157"/>
          <w:footerReference w:type="even" r:id="rId158"/>
          <w:footerReference w:type="default" r:id="rId159"/>
          <w:headerReference w:type="first" r:id="rId160"/>
          <w:footerReference w:type="first" r:id="rId161"/>
          <w:pgSz w:w="16839" w:h="11907" w:orient="landscape"/>
          <w:pgMar w:top="1417" w:right="1134" w:bottom="1417" w:left="1134" w:header="709" w:footer="709" w:gutter="0"/>
          <w:cols w:space="720"/>
          <w:docGrid w:linePitch="360"/>
        </w:sectPr>
      </w:pPr>
    </w:p>
    <w:p w14:paraId="7AEE7B63" w14:textId="2868823C" w:rsidR="009674F2" w:rsidRPr="00457A6A" w:rsidRDefault="009674F2" w:rsidP="2146F73B">
      <w:pPr>
        <w:numPr>
          <w:ilvl w:val="0"/>
          <w:numId w:val="1"/>
        </w:numPr>
        <w:spacing w:before="120" w:after="120" w:line="240" w:lineRule="auto"/>
        <w:jc w:val="both"/>
        <w:rPr>
          <w:rFonts w:ascii="Times New Roman" w:eastAsia="Calibri" w:hAnsi="Times New Roman" w:cs="Times New Roman"/>
          <w:b/>
          <w:bCs/>
          <w:noProof/>
          <w:sz w:val="24"/>
          <w:szCs w:val="24"/>
        </w:rPr>
      </w:pPr>
      <w:r>
        <w:rPr>
          <w:rFonts w:ascii="Times New Roman" w:hAnsi="Times New Roman"/>
          <w:b/>
          <w:noProof/>
          <w:sz w:val="24"/>
        </w:rPr>
        <w:t xml:space="preserve">Прогнозни общи разходи за плана за възстановяване и устойчивост </w:t>
      </w:r>
    </w:p>
    <w:p w14:paraId="72BC4073" w14:textId="3749DF85" w:rsidR="009674F2" w:rsidRDefault="1DCE6FF5" w:rsidP="009674F2">
      <w:p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Прогнозните общи разходи за плана за възстановяване и устойчивост на България са 12 097 344 253 BGN, което е равно на 6 185 273 901 EUR на базата на референтния курс на ЕЦБ за EUR/BGN от 15 октомври 2021 г.</w:t>
      </w:r>
    </w:p>
    <w:p w14:paraId="1DF2A9B3" w14:textId="77777777" w:rsidR="007E0F66" w:rsidRPr="008A0F8A" w:rsidRDefault="007E0F66" w:rsidP="009674F2">
      <w:pPr>
        <w:spacing w:before="120" w:after="120" w:line="240" w:lineRule="auto"/>
        <w:jc w:val="both"/>
        <w:rPr>
          <w:rFonts w:ascii="Times New Roman" w:eastAsia="Calibri" w:hAnsi="Times New Roman" w:cs="Times New Roman"/>
          <w:noProof/>
          <w:sz w:val="24"/>
          <w:lang w:val="ru-RU"/>
        </w:rPr>
      </w:pPr>
    </w:p>
    <w:p w14:paraId="3B016DAB" w14:textId="47CAE662" w:rsidR="009674F2" w:rsidRPr="00457A6A" w:rsidRDefault="009674F2" w:rsidP="2146F73B">
      <w:pPr>
        <w:spacing w:before="120" w:after="120" w:line="240" w:lineRule="auto"/>
        <w:jc w:val="both"/>
        <w:rPr>
          <w:rFonts w:ascii="Times New Roman" w:eastAsia="Calibri" w:hAnsi="Times New Roman" w:cs="Times New Roman"/>
          <w:noProof/>
          <w:sz w:val="24"/>
          <w:szCs w:val="24"/>
        </w:rPr>
      </w:pPr>
      <w:r>
        <w:rPr>
          <w:rFonts w:ascii="Times New Roman" w:hAnsi="Times New Roman"/>
          <w:b/>
          <w:noProof/>
          <w:sz w:val="24"/>
        </w:rPr>
        <w:t xml:space="preserve">РАЗДЕЛ 2: ФИНАНСОВА ПОДКРЕПА </w:t>
      </w:r>
    </w:p>
    <w:p w14:paraId="40D9168F" w14:textId="77777777" w:rsidR="009674F2" w:rsidRPr="009674F2" w:rsidRDefault="009674F2" w:rsidP="009674F2">
      <w:pPr>
        <w:pStyle w:val="NumPar1"/>
        <w:numPr>
          <w:ilvl w:val="0"/>
          <w:numId w:val="98"/>
        </w:numPr>
        <w:rPr>
          <w:rFonts w:eastAsia="Calibri"/>
          <w:b/>
          <w:bCs/>
          <w:smallCaps/>
          <w:noProof/>
          <w:szCs w:val="24"/>
        </w:rPr>
      </w:pPr>
      <w:r>
        <w:rPr>
          <w:b/>
          <w:smallCaps/>
          <w:noProof/>
        </w:rPr>
        <w:t xml:space="preserve">Финансово участие </w:t>
      </w:r>
    </w:p>
    <w:p w14:paraId="634332D4" w14:textId="77777777" w:rsidR="009674F2" w:rsidRDefault="009674F2" w:rsidP="2146F73B">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Вноските, посочени в член 2, параграф 2, се организират по следния начин:</w:t>
      </w:r>
    </w:p>
    <w:p w14:paraId="53AA30C2" w14:textId="77777777" w:rsidR="00D21D80" w:rsidRPr="008A0F8A" w:rsidRDefault="00D21D80" w:rsidP="00D21D80">
      <w:pPr>
        <w:spacing w:before="120" w:after="120" w:line="240" w:lineRule="auto"/>
        <w:jc w:val="both"/>
        <w:rPr>
          <w:rFonts w:ascii="Times New Roman" w:eastAsia="Calibri" w:hAnsi="Times New Roman" w:cs="Times New Roman"/>
          <w:noProof/>
          <w:sz w:val="24"/>
          <w:lang w:val="ru-RU"/>
        </w:rPr>
      </w:pPr>
    </w:p>
    <w:p w14:paraId="431D6049" w14:textId="77777777" w:rsidR="00D21D80" w:rsidRPr="00A41C24" w:rsidRDefault="00D21D80" w:rsidP="00D21D80">
      <w:pPr>
        <w:numPr>
          <w:ilvl w:val="1"/>
          <w:numId w:val="1"/>
        </w:numPr>
        <w:spacing w:before="120" w:after="120" w:line="240" w:lineRule="auto"/>
        <w:jc w:val="both"/>
        <w:rPr>
          <w:rFonts w:ascii="Times New Roman" w:eastAsia="Calibri" w:hAnsi="Times New Roman" w:cs="Times New Roman"/>
          <w:noProof/>
          <w:sz w:val="24"/>
        </w:rPr>
      </w:pPr>
      <w:r>
        <w:rPr>
          <w:rFonts w:ascii="Times New Roman" w:hAnsi="Times New Roman"/>
          <w:noProof/>
          <w:sz w:val="24"/>
        </w:rPr>
        <w:t>Първа вноска (безвъзмездна подкрепа)</w:t>
      </w:r>
    </w:p>
    <w:tbl>
      <w:tblPr>
        <w:tblW w:w="9678" w:type="dxa"/>
        <w:jc w:val="center"/>
        <w:tblLook w:val="04A0" w:firstRow="1" w:lastRow="0" w:firstColumn="1" w:lastColumn="0" w:noHBand="0" w:noVBand="1"/>
      </w:tblPr>
      <w:tblGrid>
        <w:gridCol w:w="1437"/>
        <w:gridCol w:w="3828"/>
        <w:gridCol w:w="1275"/>
        <w:gridCol w:w="3138"/>
      </w:tblGrid>
      <w:tr w:rsidR="00D21D80" w:rsidRPr="00F41C75" w14:paraId="5C92A1E7" w14:textId="77777777" w:rsidTr="00C955DB">
        <w:trPr>
          <w:trHeight w:val="906"/>
          <w:tblHeader/>
          <w:jc w:val="center"/>
        </w:trPr>
        <w:tc>
          <w:tcPr>
            <w:tcW w:w="1437"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14:paraId="5903BA3E" w14:textId="77777777" w:rsidR="00D21D80" w:rsidRPr="00F41C75" w:rsidRDefault="00D21D80" w:rsidP="00C955DB">
            <w:pPr>
              <w:spacing w:after="0" w:line="240" w:lineRule="auto"/>
              <w:jc w:val="center"/>
              <w:rPr>
                <w:rFonts w:ascii="Times New Roman" w:eastAsia="Times New Roman" w:hAnsi="Times New Roman" w:cs="Times New Roman"/>
                <w:b/>
                <w:noProof/>
              </w:rPr>
            </w:pPr>
            <w:r>
              <w:rPr>
                <w:rFonts w:ascii="Times New Roman" w:hAnsi="Times New Roman"/>
                <w:b/>
                <w:noProof/>
              </w:rPr>
              <w:t>Пореден номер</w:t>
            </w:r>
          </w:p>
        </w:tc>
        <w:tc>
          <w:tcPr>
            <w:tcW w:w="3828"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14:paraId="7F0CC1AC" w14:textId="77777777" w:rsidR="00D21D80" w:rsidRPr="00F41C75" w:rsidRDefault="00D21D80" w:rsidP="00C955DB">
            <w:pPr>
              <w:spacing w:after="0" w:line="240" w:lineRule="auto"/>
              <w:jc w:val="center"/>
              <w:rPr>
                <w:rFonts w:ascii="Times New Roman" w:eastAsia="Times New Roman" w:hAnsi="Times New Roman" w:cs="Times New Roman"/>
                <w:b/>
                <w:noProof/>
              </w:rPr>
            </w:pPr>
            <w:r>
              <w:rPr>
                <w:rFonts w:ascii="Times New Roman" w:hAnsi="Times New Roman"/>
                <w:b/>
                <w:noProof/>
              </w:rPr>
              <w:t>Свързана мярка (реформа или инвестиция)</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14:paraId="276EEBEE" w14:textId="77777777" w:rsidR="00D21D80" w:rsidRPr="00F41C75" w:rsidRDefault="00D21D80" w:rsidP="00C955DB">
            <w:pPr>
              <w:spacing w:after="0" w:line="240" w:lineRule="auto"/>
              <w:jc w:val="center"/>
              <w:rPr>
                <w:rFonts w:ascii="Times New Roman" w:eastAsia="Times New Roman" w:hAnsi="Times New Roman" w:cs="Times New Roman"/>
                <w:b/>
                <w:noProof/>
              </w:rPr>
            </w:pPr>
            <w:r>
              <w:rPr>
                <w:rFonts w:ascii="Times New Roman" w:hAnsi="Times New Roman"/>
                <w:b/>
                <w:noProof/>
              </w:rPr>
              <w:t>Ключов етап / Цел</w:t>
            </w:r>
          </w:p>
        </w:tc>
        <w:tc>
          <w:tcPr>
            <w:tcW w:w="3138" w:type="dxa"/>
            <w:vMerge w:val="restart"/>
            <w:tcBorders>
              <w:top w:val="single" w:sz="4" w:space="0" w:color="auto"/>
              <w:left w:val="nil"/>
              <w:bottom w:val="single" w:sz="4" w:space="0" w:color="000000"/>
              <w:right w:val="single" w:sz="4" w:space="0" w:color="auto"/>
            </w:tcBorders>
            <w:shd w:val="clear" w:color="auto" w:fill="BDD7EE"/>
            <w:vAlign w:val="center"/>
            <w:hideMark/>
          </w:tcPr>
          <w:p w14:paraId="655DDA75" w14:textId="77777777" w:rsidR="00D21D80" w:rsidRPr="00F41C75" w:rsidRDefault="00D21D80" w:rsidP="00C955DB">
            <w:pPr>
              <w:spacing w:after="0" w:line="240" w:lineRule="auto"/>
              <w:jc w:val="center"/>
              <w:rPr>
                <w:rFonts w:ascii="Times New Roman" w:eastAsia="Times New Roman" w:hAnsi="Times New Roman" w:cs="Times New Roman"/>
                <w:b/>
                <w:noProof/>
              </w:rPr>
            </w:pPr>
            <w:r>
              <w:rPr>
                <w:rFonts w:ascii="Times New Roman" w:hAnsi="Times New Roman"/>
                <w:b/>
                <w:noProof/>
              </w:rPr>
              <w:t>Наименование</w:t>
            </w:r>
          </w:p>
        </w:tc>
      </w:tr>
      <w:tr w:rsidR="00D21D80" w:rsidRPr="00F41C75" w14:paraId="144467C3" w14:textId="77777777" w:rsidTr="00C955DB">
        <w:trPr>
          <w:trHeight w:val="450"/>
          <w:jc w:val="center"/>
        </w:trPr>
        <w:tc>
          <w:tcPr>
            <w:tcW w:w="1437" w:type="dxa"/>
            <w:vMerge/>
            <w:tcBorders>
              <w:top w:val="single" w:sz="4" w:space="0" w:color="auto"/>
              <w:left w:val="single" w:sz="4" w:space="0" w:color="auto"/>
              <w:bottom w:val="single" w:sz="4" w:space="0" w:color="000000"/>
              <w:right w:val="single" w:sz="4" w:space="0" w:color="auto"/>
            </w:tcBorders>
            <w:vAlign w:val="center"/>
            <w:hideMark/>
          </w:tcPr>
          <w:p w14:paraId="005A0E3D" w14:textId="77777777" w:rsidR="00D21D80" w:rsidRPr="00F41C75" w:rsidRDefault="00D21D80" w:rsidP="00C955DB">
            <w:pPr>
              <w:spacing w:after="0" w:line="240" w:lineRule="auto"/>
              <w:jc w:val="center"/>
              <w:rPr>
                <w:rFonts w:ascii="Times New Roman" w:eastAsia="Times New Roman" w:hAnsi="Times New Roman" w:cs="Times New Roman"/>
                <w:b/>
                <w:bCs/>
                <w:noProof/>
                <w:lang w:val="en-GB" w:eastAsia="en-GB"/>
              </w:rPr>
            </w:pPr>
          </w:p>
        </w:tc>
        <w:tc>
          <w:tcPr>
            <w:tcW w:w="3828" w:type="dxa"/>
            <w:vMerge/>
            <w:tcBorders>
              <w:top w:val="single" w:sz="4" w:space="0" w:color="auto"/>
              <w:left w:val="single" w:sz="4" w:space="0" w:color="auto"/>
              <w:bottom w:val="single" w:sz="4" w:space="0" w:color="000000"/>
              <w:right w:val="single" w:sz="4" w:space="0" w:color="auto"/>
            </w:tcBorders>
            <w:vAlign w:val="center"/>
            <w:hideMark/>
          </w:tcPr>
          <w:p w14:paraId="19E0DC2E" w14:textId="77777777" w:rsidR="00D21D80" w:rsidRPr="00F41C75" w:rsidRDefault="00D21D80" w:rsidP="00C955DB">
            <w:pPr>
              <w:spacing w:after="0" w:line="240" w:lineRule="auto"/>
              <w:jc w:val="both"/>
              <w:rPr>
                <w:rFonts w:ascii="Times New Roman" w:eastAsia="Times New Roman" w:hAnsi="Times New Roman" w:cs="Times New Roman"/>
                <w:b/>
                <w:bCs/>
                <w:noProof/>
                <w:lang w:val="en-GB" w:eastAsia="en-GB"/>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626B9605" w14:textId="77777777" w:rsidR="00D21D80" w:rsidRPr="00F41C75" w:rsidRDefault="00D21D80" w:rsidP="00C955DB">
            <w:pPr>
              <w:spacing w:after="0" w:line="240" w:lineRule="auto"/>
              <w:jc w:val="both"/>
              <w:rPr>
                <w:rFonts w:ascii="Times New Roman" w:eastAsia="Times New Roman" w:hAnsi="Times New Roman" w:cs="Times New Roman"/>
                <w:b/>
                <w:bCs/>
                <w:noProof/>
                <w:lang w:val="en-GB" w:eastAsia="en-GB"/>
              </w:rPr>
            </w:pPr>
          </w:p>
        </w:tc>
        <w:tc>
          <w:tcPr>
            <w:tcW w:w="3138" w:type="dxa"/>
            <w:vMerge/>
            <w:tcBorders>
              <w:top w:val="single" w:sz="4" w:space="0" w:color="auto"/>
              <w:left w:val="nil"/>
              <w:bottom w:val="single" w:sz="4" w:space="0" w:color="000000"/>
              <w:right w:val="single" w:sz="4" w:space="0" w:color="auto"/>
            </w:tcBorders>
            <w:vAlign w:val="center"/>
            <w:hideMark/>
          </w:tcPr>
          <w:p w14:paraId="546726B2" w14:textId="77777777" w:rsidR="00D21D80" w:rsidRPr="00F41C75" w:rsidRDefault="00D21D80" w:rsidP="00C955DB">
            <w:pPr>
              <w:spacing w:after="0" w:line="240" w:lineRule="auto"/>
              <w:jc w:val="both"/>
              <w:rPr>
                <w:rFonts w:ascii="Times New Roman" w:eastAsia="Times New Roman" w:hAnsi="Times New Roman" w:cs="Times New Roman"/>
                <w:b/>
                <w:bCs/>
                <w:noProof/>
                <w:lang w:val="en-GB" w:eastAsia="en-GB"/>
              </w:rPr>
            </w:pPr>
          </w:p>
        </w:tc>
      </w:tr>
      <w:tr w:rsidR="00D21D80" w:rsidRPr="005241FC" w14:paraId="2E06F742" w14:textId="77777777" w:rsidTr="00C955DB">
        <w:trPr>
          <w:trHeight w:val="302"/>
          <w:jc w:val="center"/>
        </w:trPr>
        <w:tc>
          <w:tcPr>
            <w:tcW w:w="1437" w:type="dxa"/>
            <w:tcBorders>
              <w:top w:val="nil"/>
              <w:left w:val="single" w:sz="4" w:space="0" w:color="auto"/>
              <w:bottom w:val="single" w:sz="4" w:space="0" w:color="auto"/>
              <w:right w:val="single" w:sz="4" w:space="0" w:color="auto"/>
            </w:tcBorders>
            <w:shd w:val="clear" w:color="auto" w:fill="C6EFCE"/>
            <w:noWrap/>
          </w:tcPr>
          <w:p w14:paraId="1F4D694D"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w:t>
            </w:r>
          </w:p>
        </w:tc>
        <w:tc>
          <w:tcPr>
            <w:tcW w:w="3828" w:type="dxa"/>
            <w:tcBorders>
              <w:top w:val="nil"/>
              <w:left w:val="nil"/>
              <w:bottom w:val="single" w:sz="4" w:space="0" w:color="auto"/>
              <w:right w:val="single" w:sz="4" w:space="0" w:color="auto"/>
            </w:tcBorders>
            <w:shd w:val="clear" w:color="auto" w:fill="C6EFCE"/>
            <w:noWrap/>
          </w:tcPr>
          <w:p w14:paraId="77CD710E" w14:textId="77777777" w:rsidR="00D21D80" w:rsidRPr="009674F2" w:rsidRDefault="00D21D80" w:rsidP="00C955DB">
            <w:pPr>
              <w:spacing w:after="0"/>
              <w:jc w:val="both"/>
              <w:rPr>
                <w:rFonts w:ascii="Times New Roman" w:hAnsi="Times New Roman" w:cs="Times New Roman"/>
                <w:noProof/>
                <w:color w:val="006100"/>
              </w:rPr>
            </w:pPr>
            <w:r>
              <w:rPr>
                <w:rFonts w:ascii="Times New Roman" w:hAnsi="Times New Roman"/>
                <w:noProof/>
                <w:color w:val="006100"/>
              </w:rPr>
              <w:t>C1R1 Реформа в предучилищното, училищното образование и ученето през целия живот</w:t>
            </w:r>
          </w:p>
        </w:tc>
        <w:tc>
          <w:tcPr>
            <w:tcW w:w="1275" w:type="dxa"/>
            <w:tcBorders>
              <w:top w:val="nil"/>
              <w:left w:val="nil"/>
              <w:bottom w:val="single" w:sz="4" w:space="0" w:color="auto"/>
              <w:right w:val="single" w:sz="4" w:space="0" w:color="auto"/>
            </w:tcBorders>
            <w:shd w:val="clear" w:color="auto" w:fill="C6EFCE"/>
            <w:noWrap/>
          </w:tcPr>
          <w:p w14:paraId="1F772E3C"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Ключов етап</w:t>
            </w:r>
          </w:p>
        </w:tc>
        <w:tc>
          <w:tcPr>
            <w:tcW w:w="3138" w:type="dxa"/>
            <w:tcBorders>
              <w:top w:val="nil"/>
              <w:left w:val="nil"/>
              <w:bottom w:val="single" w:sz="4" w:space="0" w:color="auto"/>
              <w:right w:val="single" w:sz="4" w:space="0" w:color="auto"/>
            </w:tcBorders>
            <w:shd w:val="clear" w:color="auto" w:fill="C6EFCE"/>
            <w:noWrap/>
          </w:tcPr>
          <w:p w14:paraId="3A3568EC" w14:textId="77777777" w:rsidR="00D21D80" w:rsidRPr="009674F2" w:rsidRDefault="00D21D80" w:rsidP="00C955DB">
            <w:pPr>
              <w:spacing w:after="0" w:line="240" w:lineRule="auto"/>
              <w:rPr>
                <w:rFonts w:ascii="Times New Roman" w:eastAsia="Times New Roman" w:hAnsi="Times New Roman" w:cs="Times New Roman"/>
                <w:noProof/>
                <w:color w:val="006100"/>
              </w:rPr>
            </w:pPr>
            <w:r>
              <w:rPr>
                <w:rFonts w:ascii="Times New Roman" w:hAnsi="Times New Roman"/>
                <w:noProof/>
                <w:color w:val="006100"/>
              </w:rPr>
              <w:t>Влизане в сила на измененията на Закона за предучилищното и училищното образование и на вторичното законодателство.</w:t>
            </w:r>
          </w:p>
        </w:tc>
      </w:tr>
      <w:tr w:rsidR="00D21D80" w:rsidRPr="005241FC" w14:paraId="4219817B" w14:textId="77777777" w:rsidTr="00C955DB">
        <w:trPr>
          <w:trHeight w:val="302"/>
          <w:jc w:val="center"/>
        </w:trPr>
        <w:tc>
          <w:tcPr>
            <w:tcW w:w="1437" w:type="dxa"/>
            <w:tcBorders>
              <w:top w:val="nil"/>
              <w:left w:val="single" w:sz="4" w:space="0" w:color="auto"/>
              <w:bottom w:val="single" w:sz="4" w:space="0" w:color="auto"/>
              <w:right w:val="single" w:sz="4" w:space="0" w:color="auto"/>
            </w:tcBorders>
            <w:shd w:val="clear" w:color="auto" w:fill="C6EFCE"/>
            <w:noWrap/>
          </w:tcPr>
          <w:p w14:paraId="5C486A6E"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5</w:t>
            </w:r>
          </w:p>
        </w:tc>
        <w:tc>
          <w:tcPr>
            <w:tcW w:w="3828" w:type="dxa"/>
            <w:tcBorders>
              <w:top w:val="nil"/>
              <w:left w:val="nil"/>
              <w:bottom w:val="single" w:sz="4" w:space="0" w:color="auto"/>
              <w:right w:val="single" w:sz="4" w:space="0" w:color="auto"/>
            </w:tcBorders>
            <w:shd w:val="clear" w:color="auto" w:fill="C6EFCE"/>
            <w:noWrap/>
          </w:tcPr>
          <w:p w14:paraId="6127D46D" w14:textId="77777777" w:rsidR="00D21D80" w:rsidRPr="009674F2" w:rsidRDefault="00D21D80" w:rsidP="00C955DB">
            <w:pPr>
              <w:spacing w:after="0"/>
              <w:jc w:val="both"/>
              <w:rPr>
                <w:rFonts w:ascii="Times New Roman" w:hAnsi="Times New Roman" w:cs="Times New Roman"/>
                <w:noProof/>
                <w:color w:val="006100"/>
              </w:rPr>
            </w:pPr>
            <w:r>
              <w:rPr>
                <w:rFonts w:ascii="Times New Roman" w:hAnsi="Times New Roman"/>
                <w:noProof/>
                <w:color w:val="006100"/>
              </w:rPr>
              <w:t>C1R2 Реформа на висшето образование</w:t>
            </w:r>
          </w:p>
        </w:tc>
        <w:tc>
          <w:tcPr>
            <w:tcW w:w="1275" w:type="dxa"/>
            <w:tcBorders>
              <w:top w:val="nil"/>
              <w:left w:val="nil"/>
              <w:bottom w:val="single" w:sz="4" w:space="0" w:color="auto"/>
              <w:right w:val="single" w:sz="4" w:space="0" w:color="auto"/>
            </w:tcBorders>
            <w:shd w:val="clear" w:color="auto" w:fill="C6EFCE"/>
            <w:noWrap/>
          </w:tcPr>
          <w:p w14:paraId="500D4AF7"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Ключов етап</w:t>
            </w:r>
          </w:p>
        </w:tc>
        <w:tc>
          <w:tcPr>
            <w:tcW w:w="3138" w:type="dxa"/>
            <w:tcBorders>
              <w:top w:val="nil"/>
              <w:left w:val="nil"/>
              <w:bottom w:val="single" w:sz="4" w:space="0" w:color="auto"/>
              <w:right w:val="single" w:sz="4" w:space="0" w:color="auto"/>
            </w:tcBorders>
            <w:shd w:val="clear" w:color="auto" w:fill="C6EFCE"/>
            <w:noWrap/>
          </w:tcPr>
          <w:p w14:paraId="2901B8C1" w14:textId="77777777" w:rsidR="00D21D80" w:rsidRPr="009674F2" w:rsidRDefault="00D21D80" w:rsidP="00C955DB">
            <w:pPr>
              <w:spacing w:after="0" w:line="240" w:lineRule="auto"/>
              <w:rPr>
                <w:rFonts w:ascii="Times New Roman" w:eastAsia="Times New Roman" w:hAnsi="Times New Roman" w:cs="Times New Roman"/>
                <w:noProof/>
                <w:color w:val="006100"/>
              </w:rPr>
            </w:pPr>
            <w:r>
              <w:rPr>
                <w:rFonts w:ascii="Times New Roman" w:hAnsi="Times New Roman"/>
                <w:noProof/>
                <w:color w:val="006100"/>
              </w:rPr>
              <w:t>Влизане в сила на измененията на Закона за висшето образование</w:t>
            </w:r>
          </w:p>
        </w:tc>
      </w:tr>
      <w:tr w:rsidR="00D21D80" w:rsidRPr="005241FC" w14:paraId="371F0F73" w14:textId="77777777" w:rsidTr="00C955DB">
        <w:trPr>
          <w:trHeight w:val="302"/>
          <w:jc w:val="center"/>
        </w:trPr>
        <w:tc>
          <w:tcPr>
            <w:tcW w:w="1437" w:type="dxa"/>
            <w:tcBorders>
              <w:top w:val="nil"/>
              <w:left w:val="single" w:sz="4" w:space="0" w:color="auto"/>
              <w:bottom w:val="single" w:sz="4" w:space="0" w:color="auto"/>
              <w:right w:val="single" w:sz="4" w:space="0" w:color="auto"/>
            </w:tcBorders>
            <w:shd w:val="clear" w:color="auto" w:fill="C6EFCE"/>
            <w:noWrap/>
          </w:tcPr>
          <w:p w14:paraId="67891C74"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6</w:t>
            </w:r>
          </w:p>
        </w:tc>
        <w:tc>
          <w:tcPr>
            <w:tcW w:w="3828" w:type="dxa"/>
            <w:tcBorders>
              <w:top w:val="nil"/>
              <w:left w:val="nil"/>
              <w:bottom w:val="single" w:sz="4" w:space="0" w:color="auto"/>
              <w:right w:val="single" w:sz="4" w:space="0" w:color="auto"/>
            </w:tcBorders>
            <w:shd w:val="clear" w:color="auto" w:fill="C6EFCE"/>
            <w:noWrap/>
          </w:tcPr>
          <w:p w14:paraId="12158701" w14:textId="77777777" w:rsidR="00D21D80" w:rsidRPr="009674F2" w:rsidRDefault="00D21D80" w:rsidP="00C955DB">
            <w:pPr>
              <w:spacing w:after="0"/>
              <w:jc w:val="both"/>
              <w:rPr>
                <w:rFonts w:ascii="Times New Roman" w:hAnsi="Times New Roman" w:cs="Times New Roman"/>
                <w:noProof/>
                <w:color w:val="006100"/>
              </w:rPr>
            </w:pPr>
            <w:r>
              <w:rPr>
                <w:rFonts w:ascii="Times New Roman" w:hAnsi="Times New Roman"/>
                <w:noProof/>
                <w:color w:val="006100"/>
              </w:rPr>
              <w:t>C1R2 Реформа на висшето образование</w:t>
            </w:r>
          </w:p>
        </w:tc>
        <w:tc>
          <w:tcPr>
            <w:tcW w:w="1275" w:type="dxa"/>
            <w:tcBorders>
              <w:top w:val="nil"/>
              <w:left w:val="nil"/>
              <w:bottom w:val="single" w:sz="4" w:space="0" w:color="auto"/>
              <w:right w:val="single" w:sz="4" w:space="0" w:color="auto"/>
            </w:tcBorders>
            <w:shd w:val="clear" w:color="auto" w:fill="C6EFCE"/>
            <w:noWrap/>
          </w:tcPr>
          <w:p w14:paraId="5EE8E450" w14:textId="77777777" w:rsidR="00D21D80" w:rsidRPr="009674F2" w:rsidRDefault="00D21D80" w:rsidP="00C955DB">
            <w:pPr>
              <w:spacing w:after="0" w:line="240" w:lineRule="auto"/>
              <w:jc w:val="both"/>
              <w:rPr>
                <w:rFonts w:ascii="Times New Roman" w:hAnsi="Times New Roman" w:cs="Times New Roman"/>
                <w:noProof/>
                <w:color w:val="006100"/>
              </w:rPr>
            </w:pPr>
            <w:r>
              <w:rPr>
                <w:rFonts w:ascii="Times New Roman" w:hAnsi="Times New Roman"/>
                <w:noProof/>
                <w:color w:val="006100"/>
              </w:rPr>
              <w:t>Ключов етап</w:t>
            </w:r>
          </w:p>
        </w:tc>
        <w:tc>
          <w:tcPr>
            <w:tcW w:w="3138" w:type="dxa"/>
            <w:tcBorders>
              <w:top w:val="nil"/>
              <w:left w:val="nil"/>
              <w:bottom w:val="single" w:sz="4" w:space="0" w:color="auto"/>
              <w:right w:val="single" w:sz="4" w:space="0" w:color="auto"/>
            </w:tcBorders>
            <w:shd w:val="clear" w:color="auto" w:fill="C6EFCE"/>
            <w:noWrap/>
          </w:tcPr>
          <w:p w14:paraId="278BBEAF" w14:textId="77777777" w:rsidR="00D21D80" w:rsidRPr="009674F2" w:rsidRDefault="00D21D80" w:rsidP="00C955DB">
            <w:pPr>
              <w:spacing w:after="0" w:line="240" w:lineRule="auto"/>
              <w:jc w:val="both"/>
              <w:rPr>
                <w:rFonts w:ascii="Times New Roman" w:hAnsi="Times New Roman" w:cs="Times New Roman"/>
                <w:noProof/>
                <w:color w:val="006100"/>
              </w:rPr>
            </w:pPr>
            <w:r>
              <w:rPr>
                <w:rFonts w:ascii="Times New Roman" w:hAnsi="Times New Roman"/>
                <w:noProof/>
                <w:color w:val="006100"/>
              </w:rPr>
              <w:t>Национална карта на висшето образование</w:t>
            </w:r>
          </w:p>
        </w:tc>
      </w:tr>
      <w:tr w:rsidR="00D21D80" w:rsidRPr="005241FC" w14:paraId="4EBB9195" w14:textId="77777777" w:rsidTr="00C955DB">
        <w:trPr>
          <w:trHeight w:val="302"/>
          <w:jc w:val="center"/>
        </w:trPr>
        <w:tc>
          <w:tcPr>
            <w:tcW w:w="1437" w:type="dxa"/>
            <w:tcBorders>
              <w:top w:val="nil"/>
              <w:left w:val="single" w:sz="4" w:space="0" w:color="auto"/>
              <w:bottom w:val="single" w:sz="4" w:space="0" w:color="auto"/>
              <w:right w:val="single" w:sz="4" w:space="0" w:color="auto"/>
            </w:tcBorders>
            <w:shd w:val="clear" w:color="auto" w:fill="C6EFCE"/>
            <w:noWrap/>
          </w:tcPr>
          <w:p w14:paraId="3DA07A61"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35</w:t>
            </w:r>
          </w:p>
        </w:tc>
        <w:tc>
          <w:tcPr>
            <w:tcW w:w="3828" w:type="dxa"/>
            <w:tcBorders>
              <w:top w:val="nil"/>
              <w:left w:val="nil"/>
              <w:bottom w:val="single" w:sz="4" w:space="0" w:color="auto"/>
              <w:right w:val="single" w:sz="4" w:space="0" w:color="auto"/>
            </w:tcBorders>
            <w:shd w:val="clear" w:color="auto" w:fill="C6EFCE"/>
            <w:noWrap/>
            <w:vAlign w:val="center"/>
          </w:tcPr>
          <w:p w14:paraId="5083BFA4" w14:textId="77777777" w:rsidR="00D21D80" w:rsidRPr="009674F2" w:rsidRDefault="00D21D80" w:rsidP="00C955DB">
            <w:pPr>
              <w:spacing w:after="0"/>
              <w:jc w:val="both"/>
              <w:rPr>
                <w:rFonts w:ascii="Times New Roman" w:hAnsi="Times New Roman" w:cs="Times New Roman"/>
                <w:noProof/>
                <w:color w:val="006100"/>
              </w:rPr>
            </w:pPr>
            <w:r>
              <w:rPr>
                <w:rFonts w:ascii="Times New Roman" w:hAnsi="Times New Roman"/>
                <w:noProof/>
                <w:color w:val="006100"/>
              </w:rPr>
              <w:t xml:space="preserve">C3R1 Правна рамка за привличане на индустриални инвестиции и развитие на индустриални екосистеми </w:t>
            </w:r>
          </w:p>
        </w:tc>
        <w:tc>
          <w:tcPr>
            <w:tcW w:w="1275" w:type="dxa"/>
            <w:tcBorders>
              <w:top w:val="nil"/>
              <w:left w:val="nil"/>
              <w:bottom w:val="single" w:sz="4" w:space="0" w:color="auto"/>
              <w:right w:val="single" w:sz="4" w:space="0" w:color="auto"/>
            </w:tcBorders>
            <w:shd w:val="clear" w:color="auto" w:fill="C6EFCE"/>
            <w:noWrap/>
            <w:vAlign w:val="center"/>
          </w:tcPr>
          <w:p w14:paraId="695BDFB3" w14:textId="77777777" w:rsidR="00D21D80" w:rsidRPr="009674F2" w:rsidRDefault="00D21D80" w:rsidP="00C955DB">
            <w:pPr>
              <w:spacing w:after="0" w:line="240" w:lineRule="auto"/>
              <w:jc w:val="both"/>
              <w:rPr>
                <w:rFonts w:ascii="Times New Roman" w:hAnsi="Times New Roman" w:cs="Times New Roman"/>
                <w:noProof/>
                <w:color w:val="006100"/>
              </w:rPr>
            </w:pPr>
            <w:r>
              <w:rPr>
                <w:rFonts w:ascii="Times New Roman" w:hAnsi="Times New Roman"/>
                <w:noProof/>
                <w:color w:val="006100"/>
              </w:rPr>
              <w:t>Ключов етап</w:t>
            </w:r>
          </w:p>
        </w:tc>
        <w:tc>
          <w:tcPr>
            <w:tcW w:w="3138" w:type="dxa"/>
            <w:tcBorders>
              <w:top w:val="nil"/>
              <w:left w:val="nil"/>
              <w:bottom w:val="single" w:sz="4" w:space="0" w:color="auto"/>
              <w:right w:val="single" w:sz="4" w:space="0" w:color="auto"/>
            </w:tcBorders>
            <w:shd w:val="clear" w:color="auto" w:fill="C6EFCE"/>
            <w:noWrap/>
            <w:vAlign w:val="center"/>
          </w:tcPr>
          <w:p w14:paraId="04A1D02A" w14:textId="77777777" w:rsidR="00D21D80" w:rsidRPr="009674F2" w:rsidRDefault="00D21D80" w:rsidP="00C955DB">
            <w:pPr>
              <w:spacing w:after="0" w:line="240" w:lineRule="auto"/>
              <w:jc w:val="both"/>
              <w:rPr>
                <w:rFonts w:ascii="Times New Roman" w:hAnsi="Times New Roman" w:cs="Times New Roman"/>
                <w:noProof/>
                <w:color w:val="006100"/>
              </w:rPr>
            </w:pPr>
            <w:r>
              <w:rPr>
                <w:rFonts w:ascii="Times New Roman" w:hAnsi="Times New Roman"/>
                <w:noProof/>
                <w:color w:val="006100"/>
              </w:rPr>
              <w:t>Влизане в сила на новия Закон за индустриалните паркове</w:t>
            </w:r>
          </w:p>
        </w:tc>
      </w:tr>
      <w:tr w:rsidR="00D21D80" w:rsidRPr="005241FC" w14:paraId="7CC7177E" w14:textId="77777777" w:rsidTr="00C955DB">
        <w:trPr>
          <w:trHeight w:val="302"/>
          <w:jc w:val="center"/>
        </w:trPr>
        <w:tc>
          <w:tcPr>
            <w:tcW w:w="1437" w:type="dxa"/>
            <w:tcBorders>
              <w:top w:val="nil"/>
              <w:left w:val="single" w:sz="4" w:space="0" w:color="auto"/>
              <w:bottom w:val="single" w:sz="4" w:space="0" w:color="auto"/>
              <w:right w:val="single" w:sz="4" w:space="0" w:color="auto"/>
            </w:tcBorders>
            <w:shd w:val="clear" w:color="auto" w:fill="C6EFCE"/>
            <w:noWrap/>
          </w:tcPr>
          <w:p w14:paraId="0CCCCF0F" w14:textId="77777777" w:rsidR="00D21D80" w:rsidRPr="009674F2" w:rsidRDefault="00D21D80" w:rsidP="00C955DB">
            <w:pPr>
              <w:spacing w:after="0" w:line="240" w:lineRule="auto"/>
              <w:jc w:val="center"/>
              <w:rPr>
                <w:rFonts w:ascii="Times New Roman" w:hAnsi="Times New Roman" w:cs="Times New Roman"/>
                <w:noProof/>
                <w:color w:val="006100"/>
              </w:rPr>
            </w:pPr>
            <w:r>
              <w:rPr>
                <w:rFonts w:ascii="Times New Roman" w:hAnsi="Times New Roman"/>
                <w:noProof/>
                <w:color w:val="006100"/>
              </w:rPr>
              <w:t>113</w:t>
            </w:r>
          </w:p>
        </w:tc>
        <w:tc>
          <w:tcPr>
            <w:tcW w:w="3828" w:type="dxa"/>
            <w:tcBorders>
              <w:top w:val="nil"/>
              <w:left w:val="nil"/>
              <w:bottom w:val="single" w:sz="4" w:space="0" w:color="auto"/>
              <w:right w:val="single" w:sz="4" w:space="0" w:color="auto"/>
            </w:tcBorders>
            <w:shd w:val="clear" w:color="auto" w:fill="C6EFCE"/>
            <w:noWrap/>
          </w:tcPr>
          <w:p w14:paraId="28302255" w14:textId="77777777" w:rsidR="00D21D80" w:rsidRPr="009674F2" w:rsidRDefault="00D21D80" w:rsidP="00C955DB">
            <w:pPr>
              <w:spacing w:after="0" w:line="240" w:lineRule="auto"/>
              <w:jc w:val="both"/>
              <w:rPr>
                <w:rFonts w:ascii="Times New Roman" w:hAnsi="Times New Roman" w:cs="Times New Roman"/>
                <w:noProof/>
                <w:color w:val="006100"/>
              </w:rPr>
            </w:pPr>
            <w:r>
              <w:rPr>
                <w:rFonts w:ascii="Times New Roman" w:hAnsi="Times New Roman"/>
                <w:noProof/>
                <w:color w:val="006100"/>
              </w:rPr>
              <w:t>C4R8 Пътна карта за неутралност по отношение на климата</w:t>
            </w:r>
          </w:p>
        </w:tc>
        <w:tc>
          <w:tcPr>
            <w:tcW w:w="1275" w:type="dxa"/>
            <w:tcBorders>
              <w:top w:val="nil"/>
              <w:left w:val="nil"/>
              <w:bottom w:val="single" w:sz="4" w:space="0" w:color="auto"/>
              <w:right w:val="single" w:sz="4" w:space="0" w:color="auto"/>
            </w:tcBorders>
            <w:shd w:val="clear" w:color="auto" w:fill="C6EFCE"/>
            <w:noWrap/>
          </w:tcPr>
          <w:p w14:paraId="59A1CCFA" w14:textId="77777777" w:rsidR="00D21D80" w:rsidRPr="009674F2" w:rsidRDefault="00D21D80" w:rsidP="00C955DB">
            <w:pPr>
              <w:spacing w:after="0" w:line="240" w:lineRule="auto"/>
              <w:jc w:val="both"/>
              <w:rPr>
                <w:rFonts w:ascii="Times New Roman" w:hAnsi="Times New Roman" w:cs="Times New Roman"/>
                <w:noProof/>
                <w:color w:val="006100"/>
              </w:rPr>
            </w:pPr>
            <w:r>
              <w:rPr>
                <w:rFonts w:ascii="Times New Roman" w:hAnsi="Times New Roman"/>
                <w:noProof/>
                <w:color w:val="006100"/>
              </w:rPr>
              <w:t>Ключов етап</w:t>
            </w:r>
          </w:p>
        </w:tc>
        <w:tc>
          <w:tcPr>
            <w:tcW w:w="3138" w:type="dxa"/>
            <w:tcBorders>
              <w:top w:val="nil"/>
              <w:left w:val="nil"/>
              <w:bottom w:val="single" w:sz="4" w:space="0" w:color="auto"/>
              <w:right w:val="single" w:sz="4" w:space="0" w:color="auto"/>
            </w:tcBorders>
            <w:shd w:val="clear" w:color="auto" w:fill="C6EFCE"/>
            <w:noWrap/>
          </w:tcPr>
          <w:p w14:paraId="2F417235" w14:textId="77777777" w:rsidR="00D21D80" w:rsidRPr="009674F2" w:rsidRDefault="00D21D80" w:rsidP="00C955DB">
            <w:pPr>
              <w:spacing w:after="0" w:line="240" w:lineRule="auto"/>
              <w:rPr>
                <w:rFonts w:ascii="Times New Roman" w:hAnsi="Times New Roman" w:cs="Times New Roman"/>
                <w:noProof/>
                <w:color w:val="006100"/>
              </w:rPr>
            </w:pPr>
            <w:r>
              <w:rPr>
                <w:rFonts w:ascii="Times New Roman" w:hAnsi="Times New Roman"/>
                <w:noProof/>
                <w:color w:val="006100"/>
              </w:rPr>
              <w:t>Влизане в сила на решение на правителството за създаване на Комисия за преход към зелена енергия</w:t>
            </w:r>
          </w:p>
        </w:tc>
      </w:tr>
      <w:tr w:rsidR="00D21D80" w:rsidRPr="005241FC" w14:paraId="0CCB6227" w14:textId="77777777" w:rsidTr="00C955DB">
        <w:trPr>
          <w:trHeight w:val="302"/>
          <w:jc w:val="center"/>
        </w:trPr>
        <w:tc>
          <w:tcPr>
            <w:tcW w:w="1437" w:type="dxa"/>
            <w:tcBorders>
              <w:top w:val="nil"/>
              <w:left w:val="single" w:sz="4" w:space="0" w:color="auto"/>
              <w:bottom w:val="single" w:sz="4" w:space="0" w:color="auto"/>
              <w:right w:val="single" w:sz="4" w:space="0" w:color="auto"/>
            </w:tcBorders>
            <w:shd w:val="clear" w:color="auto" w:fill="C6EFCE"/>
            <w:noWrap/>
          </w:tcPr>
          <w:p w14:paraId="7CDD3E79"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137</w:t>
            </w:r>
          </w:p>
        </w:tc>
        <w:tc>
          <w:tcPr>
            <w:tcW w:w="3828" w:type="dxa"/>
            <w:tcBorders>
              <w:top w:val="nil"/>
              <w:left w:val="nil"/>
              <w:bottom w:val="single" w:sz="4" w:space="0" w:color="auto"/>
              <w:right w:val="single" w:sz="4" w:space="0" w:color="auto"/>
            </w:tcBorders>
            <w:shd w:val="clear" w:color="auto" w:fill="C6EFCE"/>
            <w:noWrap/>
          </w:tcPr>
          <w:p w14:paraId="4EB291FB"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C7R2 Ефективно използване на радиочестотния спектър</w:t>
            </w:r>
          </w:p>
        </w:tc>
        <w:tc>
          <w:tcPr>
            <w:tcW w:w="1275" w:type="dxa"/>
            <w:tcBorders>
              <w:top w:val="nil"/>
              <w:left w:val="nil"/>
              <w:bottom w:val="single" w:sz="4" w:space="0" w:color="auto"/>
              <w:right w:val="single" w:sz="4" w:space="0" w:color="auto"/>
            </w:tcBorders>
            <w:shd w:val="clear" w:color="auto" w:fill="C6EFCE"/>
            <w:noWrap/>
          </w:tcPr>
          <w:p w14:paraId="339724EC" w14:textId="77777777" w:rsidR="00D21D80" w:rsidRPr="009674F2" w:rsidRDefault="00D21D80" w:rsidP="00C955DB">
            <w:pPr>
              <w:spacing w:after="0" w:line="276" w:lineRule="auto"/>
              <w:jc w:val="both"/>
              <w:rPr>
                <w:rFonts w:ascii="Times New Roman" w:eastAsia="Times New Roman" w:hAnsi="Times New Roman" w:cs="Times New Roman"/>
                <w:noProof/>
                <w:color w:val="006100"/>
              </w:rPr>
            </w:pPr>
            <w:r>
              <w:rPr>
                <w:rFonts w:ascii="Times New Roman" w:hAnsi="Times New Roman"/>
                <w:noProof/>
                <w:color w:val="006100"/>
              </w:rPr>
              <w:t>Ключов етап</w:t>
            </w:r>
          </w:p>
          <w:p w14:paraId="48704A4D" w14:textId="77777777" w:rsidR="00D21D80" w:rsidRPr="009674F2" w:rsidRDefault="00D21D80" w:rsidP="00C955DB">
            <w:pPr>
              <w:spacing w:after="0" w:line="240" w:lineRule="auto"/>
              <w:jc w:val="both"/>
              <w:rPr>
                <w:rFonts w:ascii="Times New Roman" w:eastAsia="Times New Roman" w:hAnsi="Times New Roman" w:cs="Times New Roman"/>
                <w:noProof/>
                <w:color w:val="006100"/>
                <w:lang w:val="en-IE"/>
              </w:rPr>
            </w:pPr>
          </w:p>
        </w:tc>
        <w:tc>
          <w:tcPr>
            <w:tcW w:w="3138" w:type="dxa"/>
            <w:tcBorders>
              <w:top w:val="nil"/>
              <w:left w:val="nil"/>
              <w:bottom w:val="single" w:sz="4" w:space="0" w:color="auto"/>
              <w:right w:val="single" w:sz="4" w:space="0" w:color="auto"/>
            </w:tcBorders>
            <w:shd w:val="clear" w:color="auto" w:fill="C6EFCE"/>
            <w:noWrap/>
          </w:tcPr>
          <w:p w14:paraId="16DF3A47" w14:textId="77777777" w:rsidR="00D21D80" w:rsidRPr="009674F2" w:rsidRDefault="00D21D80" w:rsidP="00C955DB">
            <w:pPr>
              <w:spacing w:after="0" w:line="240" w:lineRule="auto"/>
              <w:rPr>
                <w:rFonts w:ascii="Times New Roman" w:eastAsia="Times New Roman" w:hAnsi="Times New Roman" w:cs="Times New Roman"/>
                <w:noProof/>
                <w:color w:val="006100"/>
              </w:rPr>
            </w:pPr>
            <w:r>
              <w:rPr>
                <w:rFonts w:ascii="Times New Roman" w:hAnsi="Times New Roman"/>
                <w:noProof/>
                <w:color w:val="006100"/>
              </w:rPr>
              <w:t>Влизане в сила на постановлението за намаляване на таксите за радиочестотен спектър</w:t>
            </w:r>
          </w:p>
        </w:tc>
      </w:tr>
      <w:tr w:rsidR="00D21D80" w:rsidRPr="005241FC" w14:paraId="277B158E" w14:textId="77777777" w:rsidTr="00C955DB">
        <w:trPr>
          <w:trHeight w:val="302"/>
          <w:jc w:val="center"/>
        </w:trPr>
        <w:tc>
          <w:tcPr>
            <w:tcW w:w="1437" w:type="dxa"/>
            <w:tcBorders>
              <w:top w:val="nil"/>
              <w:left w:val="single" w:sz="4" w:space="0" w:color="auto"/>
              <w:bottom w:val="single" w:sz="4" w:space="0" w:color="auto"/>
              <w:right w:val="single" w:sz="4" w:space="0" w:color="auto"/>
            </w:tcBorders>
            <w:shd w:val="clear" w:color="auto" w:fill="C6EFCE"/>
            <w:noWrap/>
          </w:tcPr>
          <w:p w14:paraId="71813A06"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140</w:t>
            </w:r>
          </w:p>
        </w:tc>
        <w:tc>
          <w:tcPr>
            <w:tcW w:w="3828" w:type="dxa"/>
            <w:tcBorders>
              <w:top w:val="nil"/>
              <w:left w:val="nil"/>
              <w:bottom w:val="single" w:sz="4" w:space="0" w:color="auto"/>
              <w:right w:val="single" w:sz="4" w:space="0" w:color="auto"/>
            </w:tcBorders>
            <w:shd w:val="clear" w:color="auto" w:fill="C6EFCE"/>
            <w:noWrap/>
          </w:tcPr>
          <w:p w14:paraId="059BD971"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C7R3 Създаване на благоприятна инвестиционна среда</w:t>
            </w:r>
          </w:p>
        </w:tc>
        <w:tc>
          <w:tcPr>
            <w:tcW w:w="1275" w:type="dxa"/>
            <w:tcBorders>
              <w:top w:val="nil"/>
              <w:left w:val="nil"/>
              <w:bottom w:val="single" w:sz="4" w:space="0" w:color="auto"/>
              <w:right w:val="single" w:sz="4" w:space="0" w:color="auto"/>
            </w:tcBorders>
            <w:shd w:val="clear" w:color="auto" w:fill="C6EFCE"/>
            <w:noWrap/>
          </w:tcPr>
          <w:p w14:paraId="46F16ED6"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Ключов етап</w:t>
            </w:r>
          </w:p>
        </w:tc>
        <w:tc>
          <w:tcPr>
            <w:tcW w:w="3138" w:type="dxa"/>
            <w:tcBorders>
              <w:top w:val="nil"/>
              <w:left w:val="nil"/>
              <w:bottom w:val="single" w:sz="4" w:space="0" w:color="auto"/>
              <w:right w:val="single" w:sz="4" w:space="0" w:color="auto"/>
            </w:tcBorders>
            <w:shd w:val="clear" w:color="auto" w:fill="C6EFCE"/>
            <w:noWrap/>
          </w:tcPr>
          <w:p w14:paraId="3735D6B8" w14:textId="77777777" w:rsidR="00D21D80" w:rsidRPr="009674F2" w:rsidRDefault="00D21D80" w:rsidP="00C955DB">
            <w:pPr>
              <w:spacing w:after="0" w:line="240" w:lineRule="auto"/>
              <w:rPr>
                <w:rFonts w:ascii="Times New Roman" w:eastAsia="Times New Roman" w:hAnsi="Times New Roman" w:cs="Times New Roman"/>
                <w:noProof/>
                <w:color w:val="006100"/>
              </w:rPr>
            </w:pPr>
            <w:r>
              <w:rPr>
                <w:rFonts w:ascii="Times New Roman" w:hAnsi="Times New Roman"/>
                <w:noProof/>
                <w:color w:val="006100"/>
              </w:rPr>
              <w:t>Влизане в сила на законодателни промени за изпълнение на препоръките по Инструментариума за свързаност</w:t>
            </w:r>
          </w:p>
        </w:tc>
      </w:tr>
      <w:tr w:rsidR="00D21D80" w:rsidRPr="005241FC" w14:paraId="0F074967" w14:textId="77777777" w:rsidTr="00C955DB">
        <w:trPr>
          <w:trHeight w:val="302"/>
          <w:jc w:val="center"/>
        </w:trPr>
        <w:tc>
          <w:tcPr>
            <w:tcW w:w="1437" w:type="dxa"/>
            <w:tcBorders>
              <w:top w:val="nil"/>
              <w:left w:val="single" w:sz="4" w:space="0" w:color="auto"/>
              <w:bottom w:val="single" w:sz="4" w:space="0" w:color="auto"/>
              <w:right w:val="single" w:sz="4" w:space="0" w:color="auto"/>
            </w:tcBorders>
            <w:shd w:val="clear" w:color="auto" w:fill="C6EFCE"/>
            <w:noWrap/>
          </w:tcPr>
          <w:p w14:paraId="37F6B1B7"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148</w:t>
            </w:r>
          </w:p>
        </w:tc>
        <w:tc>
          <w:tcPr>
            <w:tcW w:w="3828" w:type="dxa"/>
            <w:tcBorders>
              <w:top w:val="nil"/>
              <w:left w:val="nil"/>
              <w:bottom w:val="single" w:sz="4" w:space="0" w:color="auto"/>
              <w:right w:val="single" w:sz="4" w:space="0" w:color="auto"/>
            </w:tcBorders>
            <w:shd w:val="clear" w:color="auto" w:fill="C6EFCE"/>
            <w:noWrap/>
          </w:tcPr>
          <w:p w14:paraId="0E0C9E1D"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C7I2 Изграждане, развитие и оптимизиране на цифровата система TETRA и радиорелейната мрежа</w:t>
            </w:r>
          </w:p>
        </w:tc>
        <w:tc>
          <w:tcPr>
            <w:tcW w:w="1275" w:type="dxa"/>
            <w:tcBorders>
              <w:top w:val="nil"/>
              <w:left w:val="nil"/>
              <w:bottom w:val="single" w:sz="4" w:space="0" w:color="auto"/>
              <w:right w:val="single" w:sz="4" w:space="0" w:color="auto"/>
            </w:tcBorders>
            <w:shd w:val="clear" w:color="auto" w:fill="C6EFCE"/>
            <w:noWrap/>
          </w:tcPr>
          <w:p w14:paraId="151A6FD7"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Ключов етап</w:t>
            </w:r>
          </w:p>
        </w:tc>
        <w:tc>
          <w:tcPr>
            <w:tcW w:w="3138" w:type="dxa"/>
            <w:tcBorders>
              <w:top w:val="nil"/>
              <w:left w:val="nil"/>
              <w:bottom w:val="single" w:sz="4" w:space="0" w:color="auto"/>
              <w:right w:val="single" w:sz="4" w:space="0" w:color="auto"/>
            </w:tcBorders>
            <w:shd w:val="clear" w:color="auto" w:fill="C6EFCE"/>
            <w:noWrap/>
          </w:tcPr>
          <w:p w14:paraId="32415283" w14:textId="77777777" w:rsidR="00D21D80" w:rsidRPr="009674F2" w:rsidRDefault="00D21D80" w:rsidP="00C955DB">
            <w:pPr>
              <w:spacing w:after="0" w:line="240" w:lineRule="auto"/>
              <w:rPr>
                <w:rFonts w:ascii="Times New Roman" w:eastAsia="Times New Roman" w:hAnsi="Times New Roman" w:cs="Times New Roman"/>
                <w:noProof/>
                <w:color w:val="006100"/>
              </w:rPr>
            </w:pPr>
            <w:r>
              <w:rPr>
                <w:rFonts w:ascii="Times New Roman" w:hAnsi="Times New Roman"/>
                <w:noProof/>
                <w:color w:val="006100"/>
              </w:rPr>
              <w:t>Възлагане на обществени поръчки за развитие на системата TETRA и на радиорелейна мрежа</w:t>
            </w:r>
          </w:p>
        </w:tc>
      </w:tr>
      <w:tr w:rsidR="00D21D80" w:rsidRPr="005241FC" w14:paraId="3A03DDE2" w14:textId="77777777" w:rsidTr="00C955DB">
        <w:trPr>
          <w:trHeight w:val="302"/>
          <w:jc w:val="center"/>
        </w:trPr>
        <w:tc>
          <w:tcPr>
            <w:tcW w:w="1437" w:type="dxa"/>
            <w:tcBorders>
              <w:top w:val="nil"/>
              <w:left w:val="single" w:sz="4" w:space="0" w:color="auto"/>
              <w:bottom w:val="single" w:sz="4" w:space="0" w:color="auto"/>
              <w:right w:val="single" w:sz="4" w:space="0" w:color="auto"/>
            </w:tcBorders>
            <w:shd w:val="clear" w:color="auto" w:fill="C6EFCE"/>
            <w:noWrap/>
          </w:tcPr>
          <w:p w14:paraId="2597B7C8"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161</w:t>
            </w:r>
          </w:p>
        </w:tc>
        <w:tc>
          <w:tcPr>
            <w:tcW w:w="3828" w:type="dxa"/>
            <w:tcBorders>
              <w:top w:val="nil"/>
              <w:left w:val="nil"/>
              <w:bottom w:val="single" w:sz="4" w:space="0" w:color="auto"/>
              <w:right w:val="single" w:sz="4" w:space="0" w:color="auto"/>
            </w:tcBorders>
            <w:shd w:val="clear" w:color="auto" w:fill="C6EFCE"/>
            <w:noWrap/>
          </w:tcPr>
          <w:p w14:paraId="48723272"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C8R1 Стратегическа рамка за транспорта</w:t>
            </w:r>
          </w:p>
        </w:tc>
        <w:tc>
          <w:tcPr>
            <w:tcW w:w="1275" w:type="dxa"/>
            <w:tcBorders>
              <w:top w:val="nil"/>
              <w:left w:val="nil"/>
              <w:bottom w:val="single" w:sz="4" w:space="0" w:color="auto"/>
              <w:right w:val="single" w:sz="4" w:space="0" w:color="auto"/>
            </w:tcBorders>
            <w:shd w:val="clear" w:color="auto" w:fill="C6EFCE"/>
            <w:noWrap/>
          </w:tcPr>
          <w:p w14:paraId="6006217E"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Ключов етап</w:t>
            </w:r>
          </w:p>
        </w:tc>
        <w:tc>
          <w:tcPr>
            <w:tcW w:w="3138" w:type="dxa"/>
            <w:tcBorders>
              <w:top w:val="nil"/>
              <w:left w:val="nil"/>
              <w:bottom w:val="single" w:sz="4" w:space="0" w:color="auto"/>
              <w:right w:val="single" w:sz="4" w:space="0" w:color="auto"/>
            </w:tcBorders>
            <w:shd w:val="clear" w:color="auto" w:fill="C6EFCE"/>
            <w:noWrap/>
          </w:tcPr>
          <w:p w14:paraId="663FD60F" w14:textId="77777777" w:rsidR="00D21D80" w:rsidRPr="009674F2" w:rsidRDefault="00D21D80" w:rsidP="00C955DB">
            <w:pPr>
              <w:spacing w:after="0" w:line="240" w:lineRule="auto"/>
              <w:rPr>
                <w:rFonts w:ascii="Times New Roman" w:eastAsia="Times New Roman" w:hAnsi="Times New Roman" w:cs="Times New Roman"/>
                <w:noProof/>
                <w:color w:val="006100"/>
              </w:rPr>
            </w:pPr>
            <w:r>
              <w:rPr>
                <w:rFonts w:ascii="Times New Roman" w:hAnsi="Times New Roman"/>
                <w:noProof/>
                <w:color w:val="006100"/>
              </w:rPr>
              <w:t>Влизане в сила на Националния план за развитие на комбинирания транспорт в България до 2030 г.</w:t>
            </w:r>
          </w:p>
        </w:tc>
      </w:tr>
      <w:tr w:rsidR="00D21D80" w:rsidRPr="005241FC" w14:paraId="66779C47" w14:textId="77777777" w:rsidTr="00C955DB">
        <w:trPr>
          <w:trHeight w:val="302"/>
          <w:jc w:val="center"/>
        </w:trPr>
        <w:tc>
          <w:tcPr>
            <w:tcW w:w="1437" w:type="dxa"/>
            <w:tcBorders>
              <w:top w:val="nil"/>
              <w:left w:val="single" w:sz="4" w:space="0" w:color="auto"/>
              <w:bottom w:val="single" w:sz="4" w:space="0" w:color="auto"/>
              <w:right w:val="single" w:sz="4" w:space="0" w:color="auto"/>
            </w:tcBorders>
            <w:shd w:val="clear" w:color="auto" w:fill="C6EFCE"/>
            <w:noWrap/>
          </w:tcPr>
          <w:p w14:paraId="4163F82D"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169</w:t>
            </w:r>
          </w:p>
        </w:tc>
        <w:tc>
          <w:tcPr>
            <w:tcW w:w="3828" w:type="dxa"/>
            <w:tcBorders>
              <w:top w:val="nil"/>
              <w:left w:val="nil"/>
              <w:bottom w:val="single" w:sz="4" w:space="0" w:color="auto"/>
              <w:right w:val="single" w:sz="4" w:space="0" w:color="auto"/>
            </w:tcBorders>
            <w:shd w:val="clear" w:color="auto" w:fill="C6EFCE"/>
            <w:noWrap/>
          </w:tcPr>
          <w:p w14:paraId="33349E5B"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C8R2 Безопасност на движението по пътищата</w:t>
            </w:r>
          </w:p>
        </w:tc>
        <w:tc>
          <w:tcPr>
            <w:tcW w:w="1275" w:type="dxa"/>
            <w:tcBorders>
              <w:top w:val="nil"/>
              <w:left w:val="nil"/>
              <w:bottom w:val="single" w:sz="4" w:space="0" w:color="auto"/>
              <w:right w:val="single" w:sz="4" w:space="0" w:color="auto"/>
            </w:tcBorders>
            <w:shd w:val="clear" w:color="auto" w:fill="C6EFCE"/>
            <w:noWrap/>
          </w:tcPr>
          <w:p w14:paraId="04ABD1E5"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Ключов етап</w:t>
            </w:r>
          </w:p>
        </w:tc>
        <w:tc>
          <w:tcPr>
            <w:tcW w:w="3138" w:type="dxa"/>
            <w:tcBorders>
              <w:top w:val="nil"/>
              <w:left w:val="nil"/>
              <w:bottom w:val="single" w:sz="4" w:space="0" w:color="auto"/>
              <w:right w:val="single" w:sz="4" w:space="0" w:color="auto"/>
            </w:tcBorders>
            <w:shd w:val="clear" w:color="auto" w:fill="C6EFCE"/>
            <w:noWrap/>
          </w:tcPr>
          <w:p w14:paraId="4E9FE095"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Нова стратегия за безопасност на движението по пътищата и свързан с нея план за действие</w:t>
            </w:r>
          </w:p>
        </w:tc>
      </w:tr>
      <w:tr w:rsidR="00D21D80" w:rsidRPr="005241FC" w14:paraId="01286EBC" w14:textId="77777777" w:rsidTr="00C955DB">
        <w:trPr>
          <w:trHeight w:val="302"/>
          <w:jc w:val="center"/>
        </w:trPr>
        <w:tc>
          <w:tcPr>
            <w:tcW w:w="1437" w:type="dxa"/>
            <w:tcBorders>
              <w:top w:val="nil"/>
              <w:left w:val="single" w:sz="4" w:space="0" w:color="auto"/>
              <w:bottom w:val="single" w:sz="4" w:space="0" w:color="auto"/>
              <w:right w:val="single" w:sz="4" w:space="0" w:color="auto"/>
            </w:tcBorders>
            <w:shd w:val="clear" w:color="auto" w:fill="C6EFCE"/>
            <w:noWrap/>
          </w:tcPr>
          <w:p w14:paraId="15B33C11"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199</w:t>
            </w:r>
          </w:p>
        </w:tc>
        <w:tc>
          <w:tcPr>
            <w:tcW w:w="3828" w:type="dxa"/>
            <w:tcBorders>
              <w:top w:val="nil"/>
              <w:left w:val="nil"/>
              <w:bottom w:val="single" w:sz="4" w:space="0" w:color="auto"/>
              <w:right w:val="single" w:sz="4" w:space="0" w:color="auto"/>
            </w:tcBorders>
            <w:shd w:val="clear" w:color="auto" w:fill="C6EFCE"/>
            <w:noWrap/>
          </w:tcPr>
          <w:p w14:paraId="18141DB6"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C8I6 Линия 3 на метрото в София</w:t>
            </w:r>
          </w:p>
        </w:tc>
        <w:tc>
          <w:tcPr>
            <w:tcW w:w="1275" w:type="dxa"/>
            <w:tcBorders>
              <w:top w:val="nil"/>
              <w:left w:val="nil"/>
              <w:bottom w:val="single" w:sz="4" w:space="0" w:color="auto"/>
              <w:right w:val="single" w:sz="4" w:space="0" w:color="auto"/>
            </w:tcBorders>
            <w:shd w:val="clear" w:color="auto" w:fill="C6EFCE"/>
            <w:noWrap/>
          </w:tcPr>
          <w:p w14:paraId="56C4982C"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Ключов етап</w:t>
            </w:r>
          </w:p>
        </w:tc>
        <w:tc>
          <w:tcPr>
            <w:tcW w:w="3138" w:type="dxa"/>
            <w:tcBorders>
              <w:top w:val="nil"/>
              <w:left w:val="nil"/>
              <w:bottom w:val="single" w:sz="4" w:space="0" w:color="auto"/>
              <w:right w:val="single" w:sz="4" w:space="0" w:color="auto"/>
            </w:tcBorders>
            <w:shd w:val="clear" w:color="auto" w:fill="C6EFCE"/>
            <w:noWrap/>
          </w:tcPr>
          <w:p w14:paraId="4F0EADA5" w14:textId="77777777" w:rsidR="00D21D80" w:rsidRPr="009674F2" w:rsidRDefault="00D21D80" w:rsidP="00C955DB">
            <w:pPr>
              <w:spacing w:after="0" w:line="240" w:lineRule="auto"/>
              <w:rPr>
                <w:rFonts w:ascii="Times New Roman" w:eastAsia="Times New Roman" w:hAnsi="Times New Roman" w:cs="Times New Roman"/>
                <w:noProof/>
                <w:color w:val="006100"/>
              </w:rPr>
            </w:pPr>
            <w:r>
              <w:rPr>
                <w:rFonts w:ascii="Times New Roman" w:hAnsi="Times New Roman"/>
                <w:noProof/>
                <w:color w:val="006100"/>
              </w:rPr>
              <w:t>Договори за строителство на нови участъци от линия 3 на софийското метро след открита и конкурентна тръжна процедура</w:t>
            </w:r>
          </w:p>
        </w:tc>
      </w:tr>
      <w:tr w:rsidR="00D21D80" w:rsidRPr="005241FC" w14:paraId="51356402" w14:textId="77777777" w:rsidTr="00C955DB">
        <w:trPr>
          <w:trHeight w:val="302"/>
          <w:jc w:val="center"/>
        </w:trPr>
        <w:tc>
          <w:tcPr>
            <w:tcW w:w="1437" w:type="dxa"/>
            <w:tcBorders>
              <w:top w:val="nil"/>
              <w:left w:val="single" w:sz="4" w:space="0" w:color="auto"/>
              <w:bottom w:val="single" w:sz="4" w:space="0" w:color="auto"/>
              <w:right w:val="single" w:sz="4" w:space="0" w:color="auto"/>
            </w:tcBorders>
            <w:shd w:val="clear" w:color="auto" w:fill="C6EFCE"/>
            <w:noWrap/>
            <w:hideMark/>
          </w:tcPr>
          <w:p w14:paraId="072CC2F8"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207</w:t>
            </w:r>
          </w:p>
        </w:tc>
        <w:tc>
          <w:tcPr>
            <w:tcW w:w="3828" w:type="dxa"/>
            <w:tcBorders>
              <w:top w:val="nil"/>
              <w:left w:val="nil"/>
              <w:bottom w:val="single" w:sz="4" w:space="0" w:color="auto"/>
              <w:right w:val="single" w:sz="4" w:space="0" w:color="auto"/>
            </w:tcBorders>
            <w:shd w:val="clear" w:color="auto" w:fill="C6EFCE"/>
            <w:noWrap/>
            <w:hideMark/>
          </w:tcPr>
          <w:p w14:paraId="5B405F10"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C9R1 Нов регионален подход с прякото участие на местните общности в управлението на европейските фондове и инструменти</w:t>
            </w:r>
          </w:p>
        </w:tc>
        <w:tc>
          <w:tcPr>
            <w:tcW w:w="1275" w:type="dxa"/>
            <w:tcBorders>
              <w:top w:val="nil"/>
              <w:left w:val="nil"/>
              <w:bottom w:val="single" w:sz="4" w:space="0" w:color="auto"/>
              <w:right w:val="single" w:sz="4" w:space="0" w:color="auto"/>
            </w:tcBorders>
            <w:shd w:val="clear" w:color="auto" w:fill="C6EFCE"/>
            <w:noWrap/>
            <w:hideMark/>
          </w:tcPr>
          <w:p w14:paraId="4F8BCC47"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Ключов етап</w:t>
            </w:r>
          </w:p>
        </w:tc>
        <w:tc>
          <w:tcPr>
            <w:tcW w:w="3138" w:type="dxa"/>
            <w:tcBorders>
              <w:top w:val="nil"/>
              <w:left w:val="nil"/>
              <w:bottom w:val="single" w:sz="4" w:space="0" w:color="auto"/>
              <w:right w:val="single" w:sz="4" w:space="0" w:color="auto"/>
            </w:tcBorders>
            <w:shd w:val="clear" w:color="auto" w:fill="C6EFCE"/>
            <w:noWrap/>
            <w:hideMark/>
          </w:tcPr>
          <w:p w14:paraId="4128B1AF" w14:textId="77777777" w:rsidR="00D21D80" w:rsidRPr="009674F2" w:rsidRDefault="00D21D80" w:rsidP="00C955DB">
            <w:pPr>
              <w:spacing w:after="0" w:line="240" w:lineRule="auto"/>
              <w:rPr>
                <w:rFonts w:ascii="Times New Roman" w:eastAsia="Times New Roman" w:hAnsi="Times New Roman" w:cs="Times New Roman"/>
                <w:noProof/>
                <w:color w:val="006100"/>
              </w:rPr>
            </w:pPr>
            <w:r>
              <w:rPr>
                <w:rFonts w:ascii="Times New Roman" w:hAnsi="Times New Roman"/>
                <w:noProof/>
                <w:color w:val="006100"/>
              </w:rPr>
              <w:t>Изменения на регулаторната рамка по отношение на управлението на финансирането от ЕС</w:t>
            </w:r>
          </w:p>
        </w:tc>
      </w:tr>
      <w:tr w:rsidR="00D21D80" w:rsidRPr="005241FC" w14:paraId="43CC9AA6" w14:textId="77777777" w:rsidTr="00C955DB">
        <w:trPr>
          <w:trHeight w:val="302"/>
          <w:jc w:val="center"/>
        </w:trPr>
        <w:tc>
          <w:tcPr>
            <w:tcW w:w="1437" w:type="dxa"/>
            <w:tcBorders>
              <w:top w:val="nil"/>
              <w:left w:val="single" w:sz="4" w:space="0" w:color="auto"/>
              <w:bottom w:val="single" w:sz="4" w:space="0" w:color="auto"/>
              <w:right w:val="single" w:sz="4" w:space="0" w:color="auto"/>
            </w:tcBorders>
            <w:shd w:val="clear" w:color="auto" w:fill="C6EFCE"/>
            <w:noWrap/>
          </w:tcPr>
          <w:p w14:paraId="084A8DFA"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213</w:t>
            </w:r>
          </w:p>
        </w:tc>
        <w:tc>
          <w:tcPr>
            <w:tcW w:w="3828" w:type="dxa"/>
            <w:tcBorders>
              <w:top w:val="nil"/>
              <w:left w:val="nil"/>
              <w:bottom w:val="single" w:sz="4" w:space="0" w:color="auto"/>
              <w:right w:val="single" w:sz="4" w:space="0" w:color="auto"/>
            </w:tcBorders>
            <w:shd w:val="clear" w:color="auto" w:fill="C6EFCE"/>
            <w:noWrap/>
          </w:tcPr>
          <w:p w14:paraId="2F355CDB"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C10R1 Достъпно, ефективно и предвидимо правосъдие</w:t>
            </w:r>
          </w:p>
        </w:tc>
        <w:tc>
          <w:tcPr>
            <w:tcW w:w="1275" w:type="dxa"/>
            <w:tcBorders>
              <w:top w:val="nil"/>
              <w:left w:val="nil"/>
              <w:bottom w:val="single" w:sz="4" w:space="0" w:color="auto"/>
              <w:right w:val="single" w:sz="4" w:space="0" w:color="auto"/>
            </w:tcBorders>
            <w:shd w:val="clear" w:color="auto" w:fill="C6EFCE"/>
            <w:noWrap/>
          </w:tcPr>
          <w:p w14:paraId="2D37F768"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Ключов етап</w:t>
            </w:r>
          </w:p>
        </w:tc>
        <w:tc>
          <w:tcPr>
            <w:tcW w:w="3138" w:type="dxa"/>
            <w:tcBorders>
              <w:top w:val="nil"/>
              <w:left w:val="nil"/>
              <w:bottom w:val="single" w:sz="4" w:space="0" w:color="auto"/>
              <w:right w:val="single" w:sz="4" w:space="0" w:color="auto"/>
            </w:tcBorders>
            <w:shd w:val="clear" w:color="auto" w:fill="C6EFCE"/>
            <w:noWrap/>
          </w:tcPr>
          <w:p w14:paraId="571B0CF3" w14:textId="77777777" w:rsidR="00D21D80" w:rsidRPr="009674F2" w:rsidRDefault="00D21D80" w:rsidP="00C955DB">
            <w:pPr>
              <w:spacing w:after="0" w:line="240" w:lineRule="auto"/>
              <w:rPr>
                <w:rFonts w:ascii="Times New Roman" w:eastAsia="Times New Roman" w:hAnsi="Times New Roman" w:cs="Times New Roman"/>
                <w:noProof/>
                <w:color w:val="006100"/>
              </w:rPr>
            </w:pPr>
            <w:r>
              <w:rPr>
                <w:rFonts w:ascii="Times New Roman" w:hAnsi="Times New Roman"/>
                <w:noProof/>
                <w:color w:val="006100"/>
              </w:rPr>
              <w:t>Приемане от Министерския съвет на пътна карта за изпълнението на решенията на Европейския съд по правата на човека</w:t>
            </w:r>
          </w:p>
        </w:tc>
      </w:tr>
      <w:tr w:rsidR="00D21D80" w:rsidRPr="005241FC" w14:paraId="349D24C2" w14:textId="77777777" w:rsidTr="00C955DB">
        <w:trPr>
          <w:trHeight w:val="302"/>
          <w:jc w:val="center"/>
        </w:trPr>
        <w:tc>
          <w:tcPr>
            <w:tcW w:w="1437" w:type="dxa"/>
            <w:tcBorders>
              <w:top w:val="nil"/>
              <w:left w:val="single" w:sz="4" w:space="0" w:color="auto"/>
              <w:bottom w:val="single" w:sz="4" w:space="0" w:color="auto"/>
              <w:right w:val="single" w:sz="4" w:space="0" w:color="auto"/>
            </w:tcBorders>
            <w:shd w:val="clear" w:color="auto" w:fill="C6EFCE"/>
            <w:noWrap/>
            <w:hideMark/>
          </w:tcPr>
          <w:p w14:paraId="1B559A03"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238</w:t>
            </w:r>
          </w:p>
        </w:tc>
        <w:tc>
          <w:tcPr>
            <w:tcW w:w="3828" w:type="dxa"/>
            <w:tcBorders>
              <w:top w:val="nil"/>
              <w:left w:val="nil"/>
              <w:bottom w:val="single" w:sz="4" w:space="0" w:color="auto"/>
              <w:right w:val="single" w:sz="4" w:space="0" w:color="auto"/>
            </w:tcBorders>
            <w:shd w:val="clear" w:color="auto" w:fill="C6EFCE"/>
            <w:noWrap/>
            <w:hideMark/>
          </w:tcPr>
          <w:p w14:paraId="3E023869"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 xml:space="preserve">C10R8 Подобряване на рамката за борба с изпирането на пари </w:t>
            </w:r>
          </w:p>
        </w:tc>
        <w:tc>
          <w:tcPr>
            <w:tcW w:w="1275" w:type="dxa"/>
            <w:tcBorders>
              <w:top w:val="nil"/>
              <w:left w:val="nil"/>
              <w:bottom w:val="single" w:sz="4" w:space="0" w:color="auto"/>
              <w:right w:val="single" w:sz="4" w:space="0" w:color="auto"/>
            </w:tcBorders>
            <w:shd w:val="clear" w:color="auto" w:fill="C6EFCE"/>
            <w:noWrap/>
            <w:hideMark/>
          </w:tcPr>
          <w:p w14:paraId="763AED62"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Ключов етап</w:t>
            </w:r>
          </w:p>
        </w:tc>
        <w:tc>
          <w:tcPr>
            <w:tcW w:w="3138" w:type="dxa"/>
            <w:tcBorders>
              <w:top w:val="nil"/>
              <w:left w:val="nil"/>
              <w:bottom w:val="single" w:sz="4" w:space="0" w:color="auto"/>
              <w:right w:val="single" w:sz="4" w:space="0" w:color="auto"/>
            </w:tcBorders>
            <w:shd w:val="clear" w:color="auto" w:fill="C6EFCE"/>
            <w:noWrap/>
            <w:hideMark/>
          </w:tcPr>
          <w:p w14:paraId="4DB1AF41" w14:textId="77777777" w:rsidR="00D21D80" w:rsidRPr="009674F2" w:rsidRDefault="00D21D80" w:rsidP="00C955DB">
            <w:pPr>
              <w:spacing w:after="0" w:line="240" w:lineRule="auto"/>
              <w:rPr>
                <w:rFonts w:ascii="Times New Roman" w:eastAsia="Times New Roman" w:hAnsi="Times New Roman" w:cs="Times New Roman"/>
                <w:noProof/>
                <w:color w:val="006100"/>
              </w:rPr>
            </w:pPr>
            <w:r>
              <w:rPr>
                <w:rFonts w:ascii="Times New Roman" w:hAnsi="Times New Roman"/>
                <w:noProof/>
                <w:color w:val="006100"/>
              </w:rPr>
              <w:t>приемане на плана за действие за намаляване на рисковете от изпиране на пари и финансиране на тероризма, установени чрез националната оценка на риска;</w:t>
            </w:r>
          </w:p>
        </w:tc>
      </w:tr>
      <w:tr w:rsidR="00D21D80" w:rsidRPr="005241FC" w14:paraId="4E859581" w14:textId="77777777" w:rsidTr="00C955DB">
        <w:trPr>
          <w:trHeight w:val="302"/>
          <w:jc w:val="center"/>
        </w:trPr>
        <w:tc>
          <w:tcPr>
            <w:tcW w:w="1437" w:type="dxa"/>
            <w:tcBorders>
              <w:top w:val="nil"/>
              <w:left w:val="single" w:sz="4" w:space="0" w:color="auto"/>
              <w:bottom w:val="single" w:sz="4" w:space="0" w:color="auto"/>
              <w:right w:val="single" w:sz="4" w:space="0" w:color="auto"/>
            </w:tcBorders>
            <w:shd w:val="clear" w:color="auto" w:fill="C6EFCE"/>
            <w:noWrap/>
            <w:hideMark/>
          </w:tcPr>
          <w:p w14:paraId="0B97FFA5"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241</w:t>
            </w:r>
          </w:p>
        </w:tc>
        <w:tc>
          <w:tcPr>
            <w:tcW w:w="3828" w:type="dxa"/>
            <w:tcBorders>
              <w:top w:val="nil"/>
              <w:left w:val="nil"/>
              <w:bottom w:val="single" w:sz="4" w:space="0" w:color="auto"/>
              <w:right w:val="single" w:sz="4" w:space="0" w:color="auto"/>
            </w:tcBorders>
            <w:shd w:val="clear" w:color="auto" w:fill="C6EFCE"/>
            <w:noWrap/>
            <w:hideMark/>
          </w:tcPr>
          <w:p w14:paraId="61371643"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C10R9 Подобряване на качеството на законодателния процес</w:t>
            </w:r>
          </w:p>
        </w:tc>
        <w:tc>
          <w:tcPr>
            <w:tcW w:w="1275" w:type="dxa"/>
            <w:tcBorders>
              <w:top w:val="nil"/>
              <w:left w:val="nil"/>
              <w:bottom w:val="single" w:sz="4" w:space="0" w:color="auto"/>
              <w:right w:val="single" w:sz="4" w:space="0" w:color="auto"/>
            </w:tcBorders>
            <w:shd w:val="clear" w:color="auto" w:fill="C6EFCE"/>
            <w:noWrap/>
            <w:hideMark/>
          </w:tcPr>
          <w:p w14:paraId="195DE075"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Ключов етап</w:t>
            </w:r>
          </w:p>
        </w:tc>
        <w:tc>
          <w:tcPr>
            <w:tcW w:w="3138" w:type="dxa"/>
            <w:tcBorders>
              <w:top w:val="nil"/>
              <w:left w:val="nil"/>
              <w:bottom w:val="single" w:sz="4" w:space="0" w:color="auto"/>
              <w:right w:val="single" w:sz="4" w:space="0" w:color="auto"/>
            </w:tcBorders>
            <w:shd w:val="clear" w:color="auto" w:fill="C6EFCE"/>
            <w:noWrap/>
            <w:hideMark/>
          </w:tcPr>
          <w:p w14:paraId="4178B35C"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Влизане в сила на измененията на Устройствения правилник на Народното събрание</w:t>
            </w:r>
          </w:p>
        </w:tc>
      </w:tr>
      <w:tr w:rsidR="00D21D80" w:rsidRPr="005241FC" w14:paraId="1E0763F3" w14:textId="77777777" w:rsidTr="00C955DB">
        <w:trPr>
          <w:trHeight w:val="302"/>
          <w:jc w:val="center"/>
        </w:trPr>
        <w:tc>
          <w:tcPr>
            <w:tcW w:w="1437" w:type="dxa"/>
            <w:tcBorders>
              <w:top w:val="nil"/>
              <w:left w:val="single" w:sz="4" w:space="0" w:color="auto"/>
              <w:bottom w:val="single" w:sz="4" w:space="0" w:color="auto"/>
              <w:right w:val="single" w:sz="4" w:space="0" w:color="auto"/>
            </w:tcBorders>
            <w:shd w:val="clear" w:color="auto" w:fill="C6EFCE"/>
            <w:noWrap/>
          </w:tcPr>
          <w:p w14:paraId="75C561D5"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279</w:t>
            </w:r>
          </w:p>
        </w:tc>
        <w:tc>
          <w:tcPr>
            <w:tcW w:w="3828" w:type="dxa"/>
            <w:tcBorders>
              <w:top w:val="nil"/>
              <w:left w:val="nil"/>
              <w:bottom w:val="single" w:sz="4" w:space="0" w:color="auto"/>
              <w:right w:val="single" w:sz="4" w:space="0" w:color="auto"/>
            </w:tcBorders>
            <w:shd w:val="clear" w:color="auto" w:fill="C6EFCE"/>
            <w:noWrap/>
          </w:tcPr>
          <w:p w14:paraId="30471EC4"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C10I11 Осигуряване на адекватна информационна и административна среда за изпълнение на Плана за възстановяване и устойчивост</w:t>
            </w:r>
          </w:p>
        </w:tc>
        <w:tc>
          <w:tcPr>
            <w:tcW w:w="1275" w:type="dxa"/>
            <w:tcBorders>
              <w:top w:val="nil"/>
              <w:left w:val="nil"/>
              <w:bottom w:val="single" w:sz="4" w:space="0" w:color="auto"/>
              <w:right w:val="single" w:sz="4" w:space="0" w:color="auto"/>
            </w:tcBorders>
            <w:shd w:val="clear" w:color="auto" w:fill="C6EFCE"/>
            <w:noWrap/>
          </w:tcPr>
          <w:p w14:paraId="33741EBE"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Ключов етап</w:t>
            </w:r>
          </w:p>
        </w:tc>
        <w:tc>
          <w:tcPr>
            <w:tcW w:w="3138" w:type="dxa"/>
            <w:tcBorders>
              <w:top w:val="nil"/>
              <w:left w:val="nil"/>
              <w:bottom w:val="single" w:sz="4" w:space="0" w:color="auto"/>
              <w:right w:val="single" w:sz="4" w:space="0" w:color="auto"/>
            </w:tcBorders>
            <w:shd w:val="clear" w:color="auto" w:fill="C6EFCE"/>
            <w:noWrap/>
          </w:tcPr>
          <w:p w14:paraId="08CC3B30" w14:textId="77777777" w:rsidR="00D21D80" w:rsidRPr="009674F2" w:rsidRDefault="00D21D80" w:rsidP="00C955DB">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Осигуряване на информационна система за мониторинг и управление на изпълнението на плана за възстановяване и устойчивост </w:t>
            </w:r>
          </w:p>
        </w:tc>
      </w:tr>
      <w:tr w:rsidR="00D21D80" w:rsidRPr="005241FC" w14:paraId="044C6A9F" w14:textId="77777777" w:rsidTr="00C955DB">
        <w:trPr>
          <w:trHeight w:val="302"/>
          <w:jc w:val="center"/>
        </w:trPr>
        <w:tc>
          <w:tcPr>
            <w:tcW w:w="1437" w:type="dxa"/>
            <w:tcBorders>
              <w:top w:val="nil"/>
              <w:left w:val="single" w:sz="4" w:space="0" w:color="auto"/>
              <w:bottom w:val="single" w:sz="4" w:space="0" w:color="auto"/>
              <w:right w:val="single" w:sz="4" w:space="0" w:color="auto"/>
            </w:tcBorders>
            <w:shd w:val="clear" w:color="auto" w:fill="C6EFCE"/>
            <w:noWrap/>
          </w:tcPr>
          <w:p w14:paraId="1C922E02"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280</w:t>
            </w:r>
          </w:p>
        </w:tc>
        <w:tc>
          <w:tcPr>
            <w:tcW w:w="3828" w:type="dxa"/>
            <w:tcBorders>
              <w:top w:val="nil"/>
              <w:left w:val="nil"/>
              <w:bottom w:val="single" w:sz="4" w:space="0" w:color="auto"/>
              <w:right w:val="single" w:sz="4" w:space="0" w:color="auto"/>
            </w:tcBorders>
            <w:shd w:val="clear" w:color="auto" w:fill="C6EFCE"/>
            <w:noWrap/>
          </w:tcPr>
          <w:p w14:paraId="2EFBB634" w14:textId="77777777" w:rsidR="00D21D80" w:rsidRPr="009674F2" w:rsidRDefault="00D21D80" w:rsidP="00C955DB">
            <w:pPr>
              <w:spacing w:after="0" w:line="240" w:lineRule="auto"/>
              <w:jc w:val="both"/>
              <w:rPr>
                <w:rFonts w:ascii="Times New Roman" w:eastAsia="Times New Roman" w:hAnsi="Times New Roman" w:cs="Times New Roman"/>
                <w:noProof/>
                <w:color w:val="006100"/>
                <w:highlight w:val="yellow"/>
              </w:rPr>
            </w:pPr>
            <w:r>
              <w:rPr>
                <w:rFonts w:ascii="Times New Roman" w:hAnsi="Times New Roman"/>
                <w:noProof/>
                <w:color w:val="006100"/>
              </w:rPr>
              <w:t>C10I11 Осигуряване на адекватна информационна и административна среда за изпълнение на Плана за възстановяване и устойчивост</w:t>
            </w:r>
          </w:p>
        </w:tc>
        <w:tc>
          <w:tcPr>
            <w:tcW w:w="1275" w:type="dxa"/>
            <w:tcBorders>
              <w:top w:val="nil"/>
              <w:left w:val="nil"/>
              <w:bottom w:val="single" w:sz="4" w:space="0" w:color="auto"/>
              <w:right w:val="single" w:sz="4" w:space="0" w:color="auto"/>
            </w:tcBorders>
            <w:shd w:val="clear" w:color="auto" w:fill="C6EFCE"/>
            <w:noWrap/>
          </w:tcPr>
          <w:p w14:paraId="0989BA91"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Цел</w:t>
            </w:r>
          </w:p>
        </w:tc>
        <w:tc>
          <w:tcPr>
            <w:tcW w:w="3138" w:type="dxa"/>
            <w:tcBorders>
              <w:top w:val="nil"/>
              <w:left w:val="nil"/>
              <w:bottom w:val="single" w:sz="4" w:space="0" w:color="auto"/>
              <w:right w:val="single" w:sz="4" w:space="0" w:color="auto"/>
            </w:tcBorders>
            <w:shd w:val="clear" w:color="auto" w:fill="C6EFCE"/>
            <w:noWrap/>
          </w:tcPr>
          <w:p w14:paraId="03C6FFB5"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Актуализиране на видеонаръчниците, за да се обхванат изцяло всички работни процеси на информационната система за възстановяване и устойчивост</w:t>
            </w:r>
          </w:p>
        </w:tc>
      </w:tr>
      <w:tr w:rsidR="00D21D80" w:rsidRPr="005241FC" w14:paraId="039AB36E" w14:textId="77777777" w:rsidTr="00C955DB">
        <w:trPr>
          <w:trHeight w:val="302"/>
          <w:jc w:val="center"/>
        </w:trPr>
        <w:tc>
          <w:tcPr>
            <w:tcW w:w="1437" w:type="dxa"/>
            <w:tcBorders>
              <w:top w:val="nil"/>
              <w:left w:val="single" w:sz="4" w:space="0" w:color="auto"/>
              <w:bottom w:val="single" w:sz="4" w:space="0" w:color="auto"/>
              <w:right w:val="single" w:sz="4" w:space="0" w:color="auto"/>
            </w:tcBorders>
            <w:shd w:val="clear" w:color="auto" w:fill="C6EFCE"/>
            <w:noWrap/>
          </w:tcPr>
          <w:p w14:paraId="02A2FB28"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281</w:t>
            </w:r>
          </w:p>
        </w:tc>
        <w:tc>
          <w:tcPr>
            <w:tcW w:w="3828" w:type="dxa"/>
            <w:tcBorders>
              <w:top w:val="nil"/>
              <w:left w:val="nil"/>
              <w:bottom w:val="single" w:sz="4" w:space="0" w:color="auto"/>
              <w:right w:val="single" w:sz="4" w:space="0" w:color="auto"/>
            </w:tcBorders>
            <w:shd w:val="clear" w:color="auto" w:fill="C6EFCE"/>
            <w:noWrap/>
          </w:tcPr>
          <w:p w14:paraId="4189D325"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C10I11 Осигуряване на адекватна информационна и административна среда за изпълнение на Плана за възстановяване и устойчивост</w:t>
            </w:r>
          </w:p>
        </w:tc>
        <w:tc>
          <w:tcPr>
            <w:tcW w:w="1275" w:type="dxa"/>
            <w:tcBorders>
              <w:top w:val="nil"/>
              <w:left w:val="nil"/>
              <w:bottom w:val="single" w:sz="4" w:space="0" w:color="auto"/>
              <w:right w:val="single" w:sz="4" w:space="0" w:color="auto"/>
            </w:tcBorders>
            <w:shd w:val="clear" w:color="auto" w:fill="C6EFCE"/>
            <w:noWrap/>
          </w:tcPr>
          <w:p w14:paraId="5F761353"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Ключов етап</w:t>
            </w:r>
          </w:p>
        </w:tc>
        <w:tc>
          <w:tcPr>
            <w:tcW w:w="3138" w:type="dxa"/>
            <w:tcBorders>
              <w:top w:val="nil"/>
              <w:left w:val="nil"/>
              <w:bottom w:val="single" w:sz="4" w:space="0" w:color="auto"/>
              <w:right w:val="single" w:sz="4" w:space="0" w:color="auto"/>
            </w:tcBorders>
            <w:shd w:val="clear" w:color="auto" w:fill="C6EFCE"/>
            <w:noWrap/>
          </w:tcPr>
          <w:p w14:paraId="4FD042AC" w14:textId="77777777" w:rsidR="00D21D80" w:rsidRPr="009674F2" w:rsidRDefault="00D21D80" w:rsidP="00C955DB">
            <w:pPr>
              <w:spacing w:after="0" w:line="240" w:lineRule="auto"/>
              <w:rPr>
                <w:rFonts w:ascii="Times New Roman" w:eastAsia="Times New Roman" w:hAnsi="Times New Roman" w:cs="Times New Roman"/>
                <w:noProof/>
                <w:color w:val="006100"/>
              </w:rPr>
            </w:pPr>
            <w:r>
              <w:rPr>
                <w:rFonts w:ascii="Times New Roman" w:hAnsi="Times New Roman"/>
                <w:noProof/>
                <w:color w:val="006100"/>
              </w:rPr>
              <w:t>Влизане в сила на закона за създаване на система за управление и контрол на плана за възстановяване и устойчивост</w:t>
            </w:r>
          </w:p>
        </w:tc>
      </w:tr>
      <w:tr w:rsidR="00D21D80" w:rsidRPr="005241FC" w14:paraId="720D5580" w14:textId="77777777" w:rsidTr="00C955DB">
        <w:trPr>
          <w:trHeight w:val="302"/>
          <w:jc w:val="center"/>
        </w:trPr>
        <w:tc>
          <w:tcPr>
            <w:tcW w:w="1437" w:type="dxa"/>
            <w:tcBorders>
              <w:top w:val="nil"/>
              <w:left w:val="single" w:sz="4" w:space="0" w:color="auto"/>
              <w:bottom w:val="single" w:sz="4" w:space="0" w:color="auto"/>
              <w:right w:val="single" w:sz="4" w:space="0" w:color="auto"/>
            </w:tcBorders>
            <w:shd w:val="clear" w:color="auto" w:fill="C6EFCE"/>
            <w:noWrap/>
          </w:tcPr>
          <w:p w14:paraId="60E22880"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282</w:t>
            </w:r>
          </w:p>
        </w:tc>
        <w:tc>
          <w:tcPr>
            <w:tcW w:w="3828" w:type="dxa"/>
            <w:tcBorders>
              <w:top w:val="nil"/>
              <w:left w:val="nil"/>
              <w:bottom w:val="single" w:sz="4" w:space="0" w:color="auto"/>
              <w:right w:val="single" w:sz="4" w:space="0" w:color="auto"/>
            </w:tcBorders>
            <w:shd w:val="clear" w:color="auto" w:fill="C6EFCE"/>
            <w:noWrap/>
          </w:tcPr>
          <w:p w14:paraId="5F38906A"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C10I11 Осигуряване на адекватна информационна и административна среда за изпълнение на Плана за възстановяване и устойчивост</w:t>
            </w:r>
          </w:p>
        </w:tc>
        <w:tc>
          <w:tcPr>
            <w:tcW w:w="1275" w:type="dxa"/>
            <w:tcBorders>
              <w:top w:val="nil"/>
              <w:left w:val="nil"/>
              <w:bottom w:val="single" w:sz="4" w:space="0" w:color="auto"/>
              <w:right w:val="single" w:sz="4" w:space="0" w:color="auto"/>
            </w:tcBorders>
            <w:shd w:val="clear" w:color="auto" w:fill="C6EFCE"/>
            <w:noWrap/>
          </w:tcPr>
          <w:p w14:paraId="18090B27"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Ключов етап</w:t>
            </w:r>
          </w:p>
        </w:tc>
        <w:tc>
          <w:tcPr>
            <w:tcW w:w="3138" w:type="dxa"/>
            <w:tcBorders>
              <w:top w:val="nil"/>
              <w:left w:val="nil"/>
              <w:bottom w:val="single" w:sz="4" w:space="0" w:color="auto"/>
              <w:right w:val="single" w:sz="4" w:space="0" w:color="auto"/>
            </w:tcBorders>
            <w:shd w:val="clear" w:color="auto" w:fill="C6EFCE"/>
            <w:noWrap/>
          </w:tcPr>
          <w:p w14:paraId="2DFD8613" w14:textId="77777777" w:rsidR="00D21D80" w:rsidRPr="009674F2" w:rsidRDefault="00D21D80" w:rsidP="00C955DB">
            <w:pPr>
              <w:spacing w:after="0" w:line="240" w:lineRule="auto"/>
              <w:rPr>
                <w:rFonts w:ascii="Times New Roman" w:eastAsia="Times New Roman" w:hAnsi="Times New Roman" w:cs="Times New Roman"/>
                <w:noProof/>
                <w:color w:val="006100"/>
              </w:rPr>
            </w:pPr>
            <w:r>
              <w:rPr>
                <w:rFonts w:ascii="Times New Roman" w:hAnsi="Times New Roman"/>
                <w:noProof/>
                <w:color w:val="006100"/>
              </w:rPr>
              <w:t>Осигуряване на административния капацитет на дирекция „Национален фонд“ и на Изпълнителната агенция „Одит на средствата от ЕС“ във връзка с дейностите по плана за възстановяване и устойчивост</w:t>
            </w:r>
          </w:p>
        </w:tc>
      </w:tr>
      <w:tr w:rsidR="00D21D80" w:rsidRPr="005241FC" w14:paraId="5A02D8F0" w14:textId="77777777" w:rsidTr="00C955DB">
        <w:trPr>
          <w:trHeight w:val="302"/>
          <w:jc w:val="center"/>
        </w:trPr>
        <w:tc>
          <w:tcPr>
            <w:tcW w:w="1437" w:type="dxa"/>
            <w:tcBorders>
              <w:top w:val="nil"/>
              <w:left w:val="single" w:sz="4" w:space="0" w:color="auto"/>
              <w:bottom w:val="single" w:sz="4" w:space="0" w:color="auto"/>
              <w:right w:val="single" w:sz="4" w:space="0" w:color="auto"/>
            </w:tcBorders>
            <w:shd w:val="clear" w:color="auto" w:fill="C6EFCE"/>
            <w:noWrap/>
          </w:tcPr>
          <w:p w14:paraId="0495FE19"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286</w:t>
            </w:r>
          </w:p>
        </w:tc>
        <w:tc>
          <w:tcPr>
            <w:tcW w:w="3828" w:type="dxa"/>
            <w:tcBorders>
              <w:top w:val="nil"/>
              <w:left w:val="nil"/>
              <w:bottom w:val="single" w:sz="4" w:space="0" w:color="auto"/>
              <w:right w:val="single" w:sz="4" w:space="0" w:color="auto"/>
            </w:tcBorders>
            <w:shd w:val="clear" w:color="auto" w:fill="C6EFCE"/>
            <w:noWrap/>
          </w:tcPr>
          <w:p w14:paraId="0941BC75"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 xml:space="preserve">C11R1 Реформа на схемата за минимален доход </w:t>
            </w:r>
          </w:p>
        </w:tc>
        <w:tc>
          <w:tcPr>
            <w:tcW w:w="1275" w:type="dxa"/>
            <w:tcBorders>
              <w:top w:val="nil"/>
              <w:left w:val="nil"/>
              <w:bottom w:val="single" w:sz="4" w:space="0" w:color="auto"/>
              <w:right w:val="single" w:sz="4" w:space="0" w:color="auto"/>
            </w:tcBorders>
            <w:shd w:val="clear" w:color="auto" w:fill="C6EFCE"/>
            <w:noWrap/>
          </w:tcPr>
          <w:p w14:paraId="39E790E6"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Ключов етап</w:t>
            </w:r>
          </w:p>
        </w:tc>
        <w:tc>
          <w:tcPr>
            <w:tcW w:w="3138" w:type="dxa"/>
            <w:tcBorders>
              <w:top w:val="nil"/>
              <w:left w:val="nil"/>
              <w:bottom w:val="single" w:sz="4" w:space="0" w:color="auto"/>
              <w:right w:val="single" w:sz="4" w:space="0" w:color="auto"/>
            </w:tcBorders>
            <w:shd w:val="clear" w:color="auto" w:fill="C6EFCE"/>
            <w:noWrap/>
          </w:tcPr>
          <w:p w14:paraId="03AE8A78" w14:textId="77777777" w:rsidR="00D21D80" w:rsidRPr="009674F2" w:rsidRDefault="00D21D80" w:rsidP="00C955DB">
            <w:pPr>
              <w:spacing w:after="0" w:line="240" w:lineRule="auto"/>
              <w:rPr>
                <w:rFonts w:ascii="Times New Roman" w:eastAsia="Times New Roman" w:hAnsi="Times New Roman" w:cs="Times New Roman"/>
                <w:noProof/>
                <w:color w:val="006100"/>
              </w:rPr>
            </w:pPr>
            <w:r>
              <w:rPr>
                <w:rFonts w:ascii="Times New Roman" w:hAnsi="Times New Roman"/>
                <w:noProof/>
                <w:color w:val="006100"/>
              </w:rPr>
              <w:t>Влизане в сила на измененията на подзаконовите нормативни актове към Закона за социално подпомагане</w:t>
            </w:r>
          </w:p>
        </w:tc>
      </w:tr>
      <w:tr w:rsidR="00D21D80" w:rsidRPr="005241FC" w14:paraId="21AE2BD9" w14:textId="77777777" w:rsidTr="00C955DB">
        <w:trPr>
          <w:trHeight w:val="302"/>
          <w:jc w:val="center"/>
        </w:trPr>
        <w:tc>
          <w:tcPr>
            <w:tcW w:w="1437" w:type="dxa"/>
            <w:tcBorders>
              <w:top w:val="nil"/>
              <w:left w:val="single" w:sz="4" w:space="0" w:color="auto"/>
              <w:bottom w:val="single" w:sz="4" w:space="0" w:color="auto"/>
              <w:right w:val="single" w:sz="4" w:space="0" w:color="auto"/>
            </w:tcBorders>
            <w:shd w:val="clear" w:color="auto" w:fill="C6EFCE"/>
            <w:noWrap/>
          </w:tcPr>
          <w:p w14:paraId="3A4943A2"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290</w:t>
            </w:r>
          </w:p>
        </w:tc>
        <w:tc>
          <w:tcPr>
            <w:tcW w:w="3828" w:type="dxa"/>
            <w:tcBorders>
              <w:top w:val="nil"/>
              <w:left w:val="nil"/>
              <w:bottom w:val="single" w:sz="4" w:space="0" w:color="auto"/>
              <w:right w:val="single" w:sz="4" w:space="0" w:color="auto"/>
            </w:tcBorders>
            <w:shd w:val="clear" w:color="auto" w:fill="C6EFCE"/>
            <w:noWrap/>
          </w:tcPr>
          <w:p w14:paraId="27B46C87" w14:textId="77777777" w:rsidR="00D21D80" w:rsidRPr="009674F2" w:rsidRDefault="00D21D80" w:rsidP="00C955DB">
            <w:pPr>
              <w:spacing w:after="0" w:line="240" w:lineRule="auto"/>
              <w:jc w:val="both"/>
              <w:rPr>
                <w:rFonts w:ascii="Times New Roman" w:hAnsi="Times New Roman" w:cs="Times New Roman"/>
                <w:noProof/>
                <w:color w:val="006100"/>
              </w:rPr>
            </w:pPr>
            <w:r>
              <w:rPr>
                <w:rFonts w:ascii="Times New Roman" w:hAnsi="Times New Roman"/>
                <w:noProof/>
                <w:color w:val="006100"/>
              </w:rPr>
              <w:t>C11R2 Реформа на социалните услуги</w:t>
            </w:r>
          </w:p>
        </w:tc>
        <w:tc>
          <w:tcPr>
            <w:tcW w:w="1275" w:type="dxa"/>
            <w:tcBorders>
              <w:top w:val="nil"/>
              <w:left w:val="nil"/>
              <w:bottom w:val="single" w:sz="4" w:space="0" w:color="auto"/>
              <w:right w:val="single" w:sz="4" w:space="0" w:color="auto"/>
            </w:tcBorders>
            <w:shd w:val="clear" w:color="auto" w:fill="C6EFCE"/>
            <w:noWrap/>
          </w:tcPr>
          <w:p w14:paraId="4FB4463E" w14:textId="77777777" w:rsidR="00D21D80" w:rsidRPr="009674F2" w:rsidRDefault="00D21D80" w:rsidP="00C955DB">
            <w:pPr>
              <w:spacing w:after="0" w:line="240" w:lineRule="auto"/>
              <w:jc w:val="both"/>
              <w:rPr>
                <w:rFonts w:ascii="Times New Roman" w:hAnsi="Times New Roman" w:cs="Times New Roman"/>
                <w:noProof/>
                <w:color w:val="006100"/>
              </w:rPr>
            </w:pPr>
            <w:r>
              <w:rPr>
                <w:rFonts w:ascii="Times New Roman" w:hAnsi="Times New Roman"/>
                <w:noProof/>
                <w:color w:val="006100"/>
              </w:rPr>
              <w:t>Ключов етап</w:t>
            </w:r>
          </w:p>
        </w:tc>
        <w:tc>
          <w:tcPr>
            <w:tcW w:w="3138" w:type="dxa"/>
            <w:tcBorders>
              <w:top w:val="nil"/>
              <w:left w:val="nil"/>
              <w:bottom w:val="single" w:sz="4" w:space="0" w:color="auto"/>
              <w:right w:val="single" w:sz="4" w:space="0" w:color="auto"/>
            </w:tcBorders>
            <w:shd w:val="clear" w:color="auto" w:fill="C6EFCE"/>
            <w:noWrap/>
          </w:tcPr>
          <w:p w14:paraId="51F79223" w14:textId="77777777" w:rsidR="00D21D80" w:rsidRPr="009674F2" w:rsidRDefault="00D21D80" w:rsidP="00C955DB">
            <w:pPr>
              <w:spacing w:after="0" w:line="240" w:lineRule="auto"/>
              <w:jc w:val="both"/>
              <w:rPr>
                <w:rFonts w:ascii="Times New Roman" w:hAnsi="Times New Roman" w:cs="Times New Roman"/>
                <w:noProof/>
                <w:color w:val="006100"/>
              </w:rPr>
            </w:pPr>
            <w:r>
              <w:rPr>
                <w:rFonts w:ascii="Times New Roman" w:hAnsi="Times New Roman"/>
                <w:noProof/>
                <w:color w:val="006100"/>
              </w:rPr>
              <w:t>Влизане в сила на Наредбата за качеството на социалните услуги</w:t>
            </w:r>
          </w:p>
        </w:tc>
      </w:tr>
      <w:tr w:rsidR="00D21D80" w:rsidRPr="005241FC" w14:paraId="08FEA2DE" w14:textId="77777777" w:rsidTr="00C955DB">
        <w:trPr>
          <w:trHeight w:val="302"/>
          <w:jc w:val="center"/>
        </w:trPr>
        <w:tc>
          <w:tcPr>
            <w:tcW w:w="1437" w:type="dxa"/>
            <w:tcBorders>
              <w:top w:val="nil"/>
              <w:left w:val="single" w:sz="4" w:space="0" w:color="auto"/>
              <w:bottom w:val="single" w:sz="4" w:space="0" w:color="auto"/>
              <w:right w:val="single" w:sz="4" w:space="0" w:color="auto"/>
            </w:tcBorders>
            <w:shd w:val="clear" w:color="auto" w:fill="C6EFCE"/>
            <w:noWrap/>
          </w:tcPr>
          <w:p w14:paraId="31D4E339"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315</w:t>
            </w:r>
          </w:p>
        </w:tc>
        <w:tc>
          <w:tcPr>
            <w:tcW w:w="3828" w:type="dxa"/>
            <w:tcBorders>
              <w:top w:val="nil"/>
              <w:left w:val="nil"/>
              <w:bottom w:val="single" w:sz="4" w:space="0" w:color="auto"/>
              <w:right w:val="single" w:sz="4" w:space="0" w:color="auto"/>
            </w:tcBorders>
            <w:shd w:val="clear" w:color="auto" w:fill="C6EFCE"/>
            <w:noWrap/>
          </w:tcPr>
          <w:p w14:paraId="4F1DCECF" w14:textId="77777777" w:rsidR="00D21D80" w:rsidRPr="009674F2" w:rsidRDefault="00D21D80" w:rsidP="00C955DB">
            <w:pPr>
              <w:spacing w:after="0"/>
              <w:jc w:val="both"/>
              <w:rPr>
                <w:rFonts w:ascii="Times New Roman" w:hAnsi="Times New Roman" w:cs="Times New Roman"/>
                <w:noProof/>
                <w:color w:val="006100"/>
              </w:rPr>
            </w:pPr>
            <w:r>
              <w:rPr>
                <w:rFonts w:ascii="Times New Roman" w:hAnsi="Times New Roman"/>
                <w:noProof/>
                <w:color w:val="006100"/>
              </w:rPr>
              <w:t>C12R1 Актуализиране на стратегическата рамка на сектора на здравеопазването</w:t>
            </w:r>
          </w:p>
        </w:tc>
        <w:tc>
          <w:tcPr>
            <w:tcW w:w="1275" w:type="dxa"/>
            <w:tcBorders>
              <w:top w:val="nil"/>
              <w:left w:val="nil"/>
              <w:bottom w:val="single" w:sz="4" w:space="0" w:color="auto"/>
              <w:right w:val="single" w:sz="4" w:space="0" w:color="auto"/>
            </w:tcBorders>
            <w:shd w:val="clear" w:color="auto" w:fill="C6EFCE"/>
            <w:noWrap/>
          </w:tcPr>
          <w:p w14:paraId="4593B184" w14:textId="77777777" w:rsidR="00D21D80" w:rsidRPr="009674F2" w:rsidRDefault="00D21D80" w:rsidP="00C955DB">
            <w:pPr>
              <w:spacing w:after="0" w:line="240" w:lineRule="auto"/>
              <w:jc w:val="both"/>
              <w:rPr>
                <w:rFonts w:ascii="Times New Roman" w:hAnsi="Times New Roman" w:cs="Times New Roman"/>
                <w:noProof/>
                <w:color w:val="006100"/>
              </w:rPr>
            </w:pPr>
            <w:r>
              <w:rPr>
                <w:rFonts w:ascii="Times New Roman" w:hAnsi="Times New Roman"/>
                <w:noProof/>
                <w:color w:val="006100"/>
              </w:rPr>
              <w:t>Ключов етап</w:t>
            </w:r>
          </w:p>
        </w:tc>
        <w:tc>
          <w:tcPr>
            <w:tcW w:w="3138" w:type="dxa"/>
            <w:tcBorders>
              <w:top w:val="nil"/>
              <w:left w:val="nil"/>
              <w:bottom w:val="single" w:sz="4" w:space="0" w:color="auto"/>
              <w:right w:val="single" w:sz="4" w:space="0" w:color="auto"/>
            </w:tcBorders>
            <w:shd w:val="clear" w:color="auto" w:fill="C6EFCE"/>
            <w:noWrap/>
          </w:tcPr>
          <w:p w14:paraId="4E0DF862" w14:textId="77777777" w:rsidR="00D21D80" w:rsidRPr="009674F2" w:rsidRDefault="00D21D80" w:rsidP="00C955DB">
            <w:pPr>
              <w:spacing w:after="0" w:line="240" w:lineRule="auto"/>
              <w:jc w:val="both"/>
              <w:rPr>
                <w:rFonts w:ascii="Times New Roman" w:hAnsi="Times New Roman" w:cs="Times New Roman"/>
                <w:noProof/>
                <w:color w:val="006100"/>
              </w:rPr>
            </w:pPr>
            <w:r>
              <w:rPr>
                <w:rFonts w:ascii="Times New Roman" w:hAnsi="Times New Roman"/>
                <w:noProof/>
                <w:color w:val="006100"/>
              </w:rPr>
              <w:t>Национална стратегия за психично здраве на гражданите на Република България 2021—2030 г. и план за действие за изпълнение на стратегията</w:t>
            </w:r>
          </w:p>
        </w:tc>
      </w:tr>
      <w:tr w:rsidR="00D21D80" w:rsidRPr="00F41C75" w14:paraId="7B0B5DD6" w14:textId="77777777" w:rsidTr="00C955DB">
        <w:trPr>
          <w:trHeight w:val="302"/>
          <w:jc w:val="center"/>
        </w:trPr>
        <w:tc>
          <w:tcPr>
            <w:tcW w:w="1437" w:type="dxa"/>
            <w:tcBorders>
              <w:top w:val="single" w:sz="4" w:space="0" w:color="auto"/>
              <w:left w:val="single" w:sz="4" w:space="0" w:color="auto"/>
              <w:bottom w:val="single" w:sz="4" w:space="0" w:color="auto"/>
              <w:right w:val="single" w:sz="4" w:space="0" w:color="auto"/>
            </w:tcBorders>
            <w:shd w:val="clear" w:color="auto" w:fill="C6EFCE"/>
            <w:noWrap/>
          </w:tcPr>
          <w:p w14:paraId="2BBADB44" w14:textId="77777777" w:rsidR="00D21D80" w:rsidRPr="008A0F8A" w:rsidRDefault="00D21D80" w:rsidP="00C955DB">
            <w:pPr>
              <w:spacing w:after="0" w:line="240" w:lineRule="auto"/>
              <w:jc w:val="center"/>
              <w:rPr>
                <w:rFonts w:ascii="Times New Roman" w:eastAsia="Times New Roman" w:hAnsi="Times New Roman" w:cs="Times New Roman"/>
                <w:noProof/>
                <w:color w:val="006100"/>
                <w:lang w:val="ru-RU" w:eastAsia="en-GB"/>
              </w:rPr>
            </w:pPr>
          </w:p>
        </w:tc>
        <w:tc>
          <w:tcPr>
            <w:tcW w:w="3828" w:type="dxa"/>
            <w:tcBorders>
              <w:top w:val="single" w:sz="4" w:space="0" w:color="auto"/>
              <w:left w:val="nil"/>
              <w:bottom w:val="single" w:sz="4" w:space="0" w:color="auto"/>
              <w:right w:val="single" w:sz="4" w:space="0" w:color="auto"/>
            </w:tcBorders>
            <w:shd w:val="clear" w:color="auto" w:fill="C6EFCE"/>
            <w:noWrap/>
            <w:vAlign w:val="bottom"/>
          </w:tcPr>
          <w:p w14:paraId="3A7A9785" w14:textId="77777777" w:rsidR="00D21D80" w:rsidRPr="008A0F8A" w:rsidRDefault="00D21D80" w:rsidP="00C955DB">
            <w:pPr>
              <w:spacing w:after="0" w:line="240" w:lineRule="auto"/>
              <w:jc w:val="both"/>
              <w:rPr>
                <w:rFonts w:ascii="Times New Roman" w:eastAsia="Times New Roman" w:hAnsi="Times New Roman" w:cs="Times New Roman"/>
                <w:noProof/>
                <w:color w:val="006100"/>
                <w:lang w:val="ru-RU" w:eastAsia="en-GB"/>
              </w:rPr>
            </w:pPr>
          </w:p>
        </w:tc>
        <w:tc>
          <w:tcPr>
            <w:tcW w:w="1275" w:type="dxa"/>
            <w:tcBorders>
              <w:top w:val="single" w:sz="4" w:space="0" w:color="auto"/>
              <w:left w:val="nil"/>
              <w:bottom w:val="single" w:sz="4" w:space="0" w:color="auto"/>
              <w:right w:val="single" w:sz="4" w:space="0" w:color="auto"/>
            </w:tcBorders>
            <w:shd w:val="clear" w:color="auto" w:fill="C6EFCE"/>
            <w:noWrap/>
            <w:vAlign w:val="bottom"/>
          </w:tcPr>
          <w:p w14:paraId="0C139EAA"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Размер на вноската</w:t>
            </w:r>
          </w:p>
        </w:tc>
        <w:tc>
          <w:tcPr>
            <w:tcW w:w="3138" w:type="dxa"/>
            <w:tcBorders>
              <w:top w:val="single" w:sz="4" w:space="0" w:color="auto"/>
              <w:left w:val="nil"/>
              <w:bottom w:val="single" w:sz="4" w:space="0" w:color="auto"/>
              <w:right w:val="single" w:sz="4" w:space="0" w:color="auto"/>
            </w:tcBorders>
            <w:shd w:val="clear" w:color="auto" w:fill="C6EFCE"/>
            <w:noWrap/>
            <w:vAlign w:val="bottom"/>
          </w:tcPr>
          <w:p w14:paraId="67BA8EF6"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noProof/>
                <w:color w:val="006100"/>
              </w:rPr>
              <w:t>1 368 912 911 евро</w:t>
            </w:r>
          </w:p>
        </w:tc>
      </w:tr>
    </w:tbl>
    <w:p w14:paraId="7E1BDF36" w14:textId="77777777" w:rsidR="00D21D80" w:rsidRPr="00F41C75" w:rsidRDefault="00D21D80" w:rsidP="00D21D80">
      <w:pPr>
        <w:numPr>
          <w:ilvl w:val="1"/>
          <w:numId w:val="1"/>
        </w:numPr>
        <w:spacing w:before="120" w:after="120" w:line="240" w:lineRule="auto"/>
        <w:jc w:val="both"/>
        <w:rPr>
          <w:rFonts w:ascii="Times New Roman" w:eastAsia="Calibri" w:hAnsi="Times New Roman" w:cs="Times New Roman"/>
          <w:noProof/>
        </w:rPr>
      </w:pPr>
      <w:r>
        <w:rPr>
          <w:rFonts w:ascii="Times New Roman" w:hAnsi="Times New Roman"/>
          <w:noProof/>
        </w:rPr>
        <w:t xml:space="preserve">Втора вноска (безвъзмездна подкрепа): </w:t>
      </w:r>
    </w:p>
    <w:tbl>
      <w:tblPr>
        <w:tblW w:w="9813" w:type="dxa"/>
        <w:jc w:val="center"/>
        <w:tblCellMar>
          <w:left w:w="0" w:type="dxa"/>
          <w:right w:w="0" w:type="dxa"/>
        </w:tblCellMar>
        <w:tblLook w:val="04A0" w:firstRow="1" w:lastRow="0" w:firstColumn="1" w:lastColumn="0" w:noHBand="0" w:noVBand="1"/>
      </w:tblPr>
      <w:tblGrid>
        <w:gridCol w:w="1084"/>
        <w:gridCol w:w="3835"/>
        <w:gridCol w:w="1418"/>
        <w:gridCol w:w="3465"/>
        <w:gridCol w:w="11"/>
      </w:tblGrid>
      <w:tr w:rsidR="00D21D80" w:rsidRPr="00F41C75" w14:paraId="767C94E9" w14:textId="77777777" w:rsidTr="008E333E">
        <w:trPr>
          <w:gridAfter w:val="1"/>
          <w:wAfter w:w="11" w:type="dxa"/>
          <w:trHeight w:val="906"/>
          <w:tblHeader/>
          <w:jc w:val="center"/>
        </w:trPr>
        <w:tc>
          <w:tcPr>
            <w:tcW w:w="108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E4F2038" w14:textId="77777777" w:rsidR="00D21D80" w:rsidRPr="00F41C75" w:rsidRDefault="00D21D80" w:rsidP="00C955DB">
            <w:pPr>
              <w:spacing w:after="0" w:line="240" w:lineRule="auto"/>
              <w:jc w:val="center"/>
              <w:rPr>
                <w:rFonts w:ascii="Times New Roman" w:eastAsia="Times New Roman" w:hAnsi="Times New Roman" w:cs="Times New Roman"/>
                <w:b/>
                <w:noProof/>
              </w:rPr>
            </w:pPr>
            <w:r>
              <w:rPr>
                <w:rFonts w:ascii="Times New Roman" w:hAnsi="Times New Roman"/>
                <w:b/>
                <w:noProof/>
              </w:rPr>
              <w:t>Пореден номер</w:t>
            </w:r>
          </w:p>
        </w:tc>
        <w:tc>
          <w:tcPr>
            <w:tcW w:w="383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C93B2BA" w14:textId="77777777" w:rsidR="00D21D80" w:rsidRPr="00F41C75" w:rsidRDefault="00D21D80" w:rsidP="00C955DB">
            <w:pPr>
              <w:spacing w:after="0" w:line="240" w:lineRule="auto"/>
              <w:jc w:val="center"/>
              <w:rPr>
                <w:rFonts w:ascii="Times New Roman" w:eastAsia="Times New Roman" w:hAnsi="Times New Roman" w:cs="Times New Roman"/>
                <w:b/>
                <w:noProof/>
              </w:rPr>
            </w:pPr>
            <w:r>
              <w:rPr>
                <w:rFonts w:ascii="Times New Roman" w:hAnsi="Times New Roman"/>
                <w:b/>
                <w:noProof/>
              </w:rPr>
              <w:t>Свързана мярка (реформа или инвестиция)</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93C4DC2" w14:textId="77777777" w:rsidR="00D21D80" w:rsidRPr="00F41C75" w:rsidRDefault="00D21D80" w:rsidP="00C955DB">
            <w:pPr>
              <w:spacing w:after="0" w:line="240" w:lineRule="auto"/>
              <w:jc w:val="center"/>
              <w:rPr>
                <w:rFonts w:ascii="Times New Roman" w:eastAsia="Times New Roman" w:hAnsi="Times New Roman" w:cs="Times New Roman"/>
                <w:b/>
                <w:noProof/>
              </w:rPr>
            </w:pPr>
            <w:r>
              <w:rPr>
                <w:rFonts w:ascii="Times New Roman" w:hAnsi="Times New Roman"/>
                <w:b/>
                <w:noProof/>
              </w:rPr>
              <w:t>Ключов етап / Цел</w:t>
            </w:r>
          </w:p>
        </w:tc>
        <w:tc>
          <w:tcPr>
            <w:tcW w:w="346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97FCA31" w14:textId="77777777" w:rsidR="00D21D80" w:rsidRPr="00F41C75" w:rsidRDefault="00D21D80" w:rsidP="00C955DB">
            <w:pPr>
              <w:spacing w:after="0" w:line="240" w:lineRule="auto"/>
              <w:jc w:val="center"/>
              <w:rPr>
                <w:rFonts w:ascii="Times New Roman" w:eastAsia="Times New Roman" w:hAnsi="Times New Roman" w:cs="Times New Roman"/>
                <w:b/>
                <w:noProof/>
              </w:rPr>
            </w:pPr>
            <w:r>
              <w:rPr>
                <w:rFonts w:ascii="Times New Roman" w:hAnsi="Times New Roman"/>
                <w:b/>
                <w:noProof/>
              </w:rPr>
              <w:t>Наименование</w:t>
            </w:r>
          </w:p>
        </w:tc>
      </w:tr>
      <w:tr w:rsidR="00D21D80" w:rsidRPr="00F41C75" w14:paraId="5AABD572" w14:textId="77777777" w:rsidTr="008E333E">
        <w:trPr>
          <w:gridAfter w:val="1"/>
          <w:wAfter w:w="11" w:type="dxa"/>
          <w:trHeight w:val="450"/>
          <w:jc w:val="center"/>
        </w:trPr>
        <w:tc>
          <w:tcPr>
            <w:tcW w:w="1084" w:type="dxa"/>
            <w:vMerge/>
            <w:tcBorders>
              <w:top w:val="single" w:sz="4" w:space="0" w:color="auto"/>
              <w:left w:val="single" w:sz="4" w:space="0" w:color="auto"/>
              <w:bottom w:val="single" w:sz="4" w:space="0" w:color="auto"/>
              <w:right w:val="single" w:sz="4" w:space="0" w:color="auto"/>
            </w:tcBorders>
            <w:vAlign w:val="center"/>
            <w:hideMark/>
          </w:tcPr>
          <w:p w14:paraId="2469AA0E" w14:textId="77777777" w:rsidR="00D21D80" w:rsidRPr="00F41C75" w:rsidRDefault="00D21D80" w:rsidP="00C955DB">
            <w:pPr>
              <w:spacing w:after="0" w:line="240" w:lineRule="auto"/>
              <w:jc w:val="center"/>
              <w:rPr>
                <w:rFonts w:ascii="Times New Roman" w:eastAsia="Times New Roman" w:hAnsi="Times New Roman" w:cs="Times New Roman"/>
                <w:b/>
                <w:bCs/>
                <w:noProof/>
                <w:lang w:val="en-GB" w:eastAsia="en-GB"/>
              </w:rPr>
            </w:pPr>
          </w:p>
        </w:tc>
        <w:tc>
          <w:tcPr>
            <w:tcW w:w="3835" w:type="dxa"/>
            <w:vMerge/>
            <w:tcBorders>
              <w:top w:val="single" w:sz="4" w:space="0" w:color="auto"/>
              <w:left w:val="single" w:sz="4" w:space="0" w:color="auto"/>
              <w:bottom w:val="single" w:sz="4" w:space="0" w:color="auto"/>
              <w:right w:val="single" w:sz="4" w:space="0" w:color="auto"/>
            </w:tcBorders>
            <w:vAlign w:val="center"/>
            <w:hideMark/>
          </w:tcPr>
          <w:p w14:paraId="04AD94DC" w14:textId="77777777" w:rsidR="00D21D80" w:rsidRPr="00F41C75" w:rsidRDefault="00D21D80" w:rsidP="00C955DB">
            <w:pPr>
              <w:spacing w:after="0" w:line="240" w:lineRule="auto"/>
              <w:rPr>
                <w:rFonts w:ascii="Times New Roman" w:eastAsia="Times New Roman" w:hAnsi="Times New Roman" w:cs="Times New Roman"/>
                <w:b/>
                <w:bCs/>
                <w:noProof/>
                <w:lang w:val="en-GB" w:eastAsia="en-G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2347120" w14:textId="77777777" w:rsidR="00D21D80" w:rsidRPr="00F41C75" w:rsidRDefault="00D21D80" w:rsidP="00C955DB">
            <w:pPr>
              <w:spacing w:after="0" w:line="240" w:lineRule="auto"/>
              <w:jc w:val="center"/>
              <w:rPr>
                <w:rFonts w:ascii="Times New Roman" w:eastAsia="Times New Roman" w:hAnsi="Times New Roman" w:cs="Times New Roman"/>
                <w:b/>
                <w:bCs/>
                <w:noProof/>
                <w:lang w:val="en-GB" w:eastAsia="en-GB"/>
              </w:rPr>
            </w:pPr>
          </w:p>
        </w:tc>
        <w:tc>
          <w:tcPr>
            <w:tcW w:w="3465" w:type="dxa"/>
            <w:vMerge/>
            <w:tcBorders>
              <w:top w:val="single" w:sz="4" w:space="0" w:color="auto"/>
              <w:left w:val="single" w:sz="4" w:space="0" w:color="auto"/>
              <w:bottom w:val="single" w:sz="4" w:space="0" w:color="auto"/>
              <w:right w:val="single" w:sz="4" w:space="0" w:color="auto"/>
            </w:tcBorders>
            <w:vAlign w:val="center"/>
            <w:hideMark/>
          </w:tcPr>
          <w:p w14:paraId="00E48AC2" w14:textId="77777777" w:rsidR="00D21D80" w:rsidRPr="00F41C75" w:rsidRDefault="00D21D80" w:rsidP="00C955DB">
            <w:pPr>
              <w:spacing w:after="0" w:line="240" w:lineRule="auto"/>
              <w:jc w:val="both"/>
              <w:rPr>
                <w:rFonts w:ascii="Times New Roman" w:eastAsia="Times New Roman" w:hAnsi="Times New Roman" w:cs="Times New Roman"/>
                <w:b/>
                <w:bCs/>
                <w:noProof/>
                <w:lang w:val="en-GB" w:eastAsia="en-GB"/>
              </w:rPr>
            </w:pPr>
          </w:p>
        </w:tc>
      </w:tr>
      <w:tr w:rsidR="00D21D80" w:rsidRPr="005241FC" w14:paraId="46A24307" w14:textId="77777777" w:rsidTr="008E333E">
        <w:trPr>
          <w:gridAfter w:val="1"/>
          <w:wAfter w:w="11" w:type="dxa"/>
          <w:trHeight w:val="1701"/>
          <w:jc w:val="center"/>
        </w:trPr>
        <w:tc>
          <w:tcPr>
            <w:tcW w:w="1084" w:type="dxa"/>
            <w:tcBorders>
              <w:top w:val="single" w:sz="4" w:space="0" w:color="auto"/>
              <w:left w:val="single" w:sz="4" w:space="0" w:color="auto"/>
              <w:bottom w:val="single" w:sz="4" w:space="0" w:color="auto"/>
              <w:right w:val="single" w:sz="4" w:space="0" w:color="auto"/>
            </w:tcBorders>
            <w:shd w:val="clear" w:color="auto" w:fill="C6EFCE"/>
            <w:noWrap/>
          </w:tcPr>
          <w:p w14:paraId="0D284D43"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w:t>
            </w:r>
          </w:p>
        </w:tc>
        <w:tc>
          <w:tcPr>
            <w:tcW w:w="3835" w:type="dxa"/>
            <w:tcBorders>
              <w:top w:val="single" w:sz="4" w:space="0" w:color="auto"/>
              <w:left w:val="nil"/>
              <w:bottom w:val="single" w:sz="4" w:space="0" w:color="auto"/>
              <w:right w:val="single" w:sz="4" w:space="0" w:color="auto"/>
            </w:tcBorders>
            <w:shd w:val="clear" w:color="auto" w:fill="C6EFCE"/>
            <w:noWrap/>
          </w:tcPr>
          <w:p w14:paraId="5E28AFEC" w14:textId="77777777" w:rsidR="00D21D80" w:rsidRPr="009674F2" w:rsidRDefault="00D21D80" w:rsidP="00C955DB">
            <w:pPr>
              <w:spacing w:after="0"/>
              <w:rPr>
                <w:rFonts w:ascii="Times New Roman" w:hAnsi="Times New Roman" w:cs="Times New Roman"/>
                <w:noProof/>
                <w:color w:val="006100"/>
              </w:rPr>
            </w:pPr>
            <w:r>
              <w:rPr>
                <w:rFonts w:ascii="Times New Roman" w:hAnsi="Times New Roman"/>
                <w:noProof/>
                <w:color w:val="006100"/>
              </w:rPr>
              <w:t>C1R1 Реформа в предучилищното, училищното образование и ученето през целия живот</w:t>
            </w:r>
          </w:p>
        </w:tc>
        <w:tc>
          <w:tcPr>
            <w:tcW w:w="1418" w:type="dxa"/>
            <w:tcBorders>
              <w:top w:val="single" w:sz="4" w:space="0" w:color="auto"/>
              <w:left w:val="nil"/>
              <w:bottom w:val="single" w:sz="4" w:space="0" w:color="auto"/>
              <w:right w:val="single" w:sz="4" w:space="0" w:color="auto"/>
            </w:tcBorders>
            <w:shd w:val="clear" w:color="auto" w:fill="C6EFCE"/>
            <w:noWrap/>
          </w:tcPr>
          <w:p w14:paraId="59F1CD7F" w14:textId="77777777" w:rsidR="00D21D80" w:rsidRPr="009674F2" w:rsidRDefault="00D21D80" w:rsidP="00C955DB">
            <w:pPr>
              <w:spacing w:after="0" w:line="240" w:lineRule="auto"/>
              <w:jc w:val="center"/>
              <w:rPr>
                <w:rFonts w:ascii="Times New Roman" w:hAnsi="Times New Roman" w:cs="Times New Roman"/>
                <w:noProof/>
                <w:color w:val="006100"/>
              </w:rPr>
            </w:pPr>
            <w:r>
              <w:rPr>
                <w:rFonts w:ascii="Times New Roman" w:hAnsi="Times New Roman"/>
                <w:noProof/>
                <w:color w:val="006100"/>
              </w:rPr>
              <w:t>Ключов етап</w:t>
            </w:r>
          </w:p>
        </w:tc>
        <w:tc>
          <w:tcPr>
            <w:tcW w:w="3465" w:type="dxa"/>
            <w:tcBorders>
              <w:top w:val="single" w:sz="4" w:space="0" w:color="auto"/>
              <w:left w:val="nil"/>
              <w:bottom w:val="single" w:sz="4" w:space="0" w:color="auto"/>
              <w:right w:val="single" w:sz="4" w:space="0" w:color="auto"/>
            </w:tcBorders>
            <w:shd w:val="clear" w:color="auto" w:fill="C6EFCE"/>
            <w:noWrap/>
          </w:tcPr>
          <w:p w14:paraId="2C655608" w14:textId="77777777" w:rsidR="00D21D80" w:rsidRPr="009674F2" w:rsidRDefault="00D21D80" w:rsidP="00C955DB">
            <w:pPr>
              <w:spacing w:after="0" w:line="240" w:lineRule="auto"/>
              <w:rPr>
                <w:rFonts w:ascii="Times New Roman" w:hAnsi="Times New Roman" w:cs="Times New Roman"/>
                <w:noProof/>
                <w:color w:val="006100"/>
              </w:rPr>
            </w:pPr>
            <w:r>
              <w:rPr>
                <w:rFonts w:ascii="Times New Roman" w:hAnsi="Times New Roman"/>
                <w:noProof/>
                <w:color w:val="006100"/>
              </w:rPr>
              <w:t>Влизане в сила на измененията на Закона за насърчаване на заетостта</w:t>
            </w:r>
          </w:p>
        </w:tc>
      </w:tr>
      <w:tr w:rsidR="00D21D80" w:rsidRPr="005241FC" w14:paraId="1C2C8078" w14:textId="77777777" w:rsidTr="00E7285C">
        <w:trPr>
          <w:gridAfter w:val="1"/>
          <w:wAfter w:w="11" w:type="dxa"/>
          <w:trHeight w:val="1701"/>
          <w:jc w:val="center"/>
        </w:trPr>
        <w:tc>
          <w:tcPr>
            <w:tcW w:w="1084" w:type="dxa"/>
            <w:tcBorders>
              <w:top w:val="nil"/>
              <w:left w:val="single" w:sz="4" w:space="0" w:color="auto"/>
              <w:bottom w:val="single" w:sz="4" w:space="0" w:color="auto"/>
              <w:right w:val="single" w:sz="4" w:space="0" w:color="auto"/>
            </w:tcBorders>
            <w:shd w:val="clear" w:color="auto" w:fill="C6EFCE"/>
            <w:noWrap/>
          </w:tcPr>
          <w:p w14:paraId="59F24061"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3</w:t>
            </w:r>
          </w:p>
        </w:tc>
        <w:tc>
          <w:tcPr>
            <w:tcW w:w="3835" w:type="dxa"/>
            <w:tcBorders>
              <w:top w:val="nil"/>
              <w:left w:val="nil"/>
              <w:bottom w:val="single" w:sz="4" w:space="0" w:color="auto"/>
              <w:right w:val="single" w:sz="4" w:space="0" w:color="auto"/>
            </w:tcBorders>
            <w:shd w:val="clear" w:color="auto" w:fill="C6EFCE"/>
            <w:noWrap/>
          </w:tcPr>
          <w:p w14:paraId="3D9CA51A" w14:textId="77777777" w:rsidR="00D21D80" w:rsidRPr="009674F2" w:rsidRDefault="00D21D80" w:rsidP="00C955DB">
            <w:pPr>
              <w:spacing w:after="0"/>
              <w:rPr>
                <w:rFonts w:ascii="Times New Roman" w:hAnsi="Times New Roman" w:cs="Times New Roman"/>
                <w:noProof/>
                <w:color w:val="006100"/>
              </w:rPr>
            </w:pPr>
            <w:r>
              <w:rPr>
                <w:rFonts w:ascii="Times New Roman" w:hAnsi="Times New Roman"/>
                <w:noProof/>
                <w:color w:val="006100"/>
              </w:rPr>
              <w:t>C1R1 Реформа в предучилищното, училищното образование и ученето през целия живот</w:t>
            </w:r>
          </w:p>
        </w:tc>
        <w:tc>
          <w:tcPr>
            <w:tcW w:w="1418" w:type="dxa"/>
            <w:tcBorders>
              <w:top w:val="nil"/>
              <w:left w:val="nil"/>
              <w:bottom w:val="single" w:sz="4" w:space="0" w:color="auto"/>
              <w:right w:val="single" w:sz="4" w:space="0" w:color="auto"/>
            </w:tcBorders>
            <w:shd w:val="clear" w:color="auto" w:fill="C6EFCE"/>
            <w:noWrap/>
          </w:tcPr>
          <w:p w14:paraId="3D76A472" w14:textId="77777777" w:rsidR="00D21D80" w:rsidRPr="009674F2" w:rsidRDefault="00D21D80" w:rsidP="00C955DB">
            <w:pPr>
              <w:spacing w:after="0" w:line="240" w:lineRule="auto"/>
              <w:jc w:val="center"/>
              <w:rPr>
                <w:rFonts w:ascii="Times New Roman" w:hAnsi="Times New Roman" w:cs="Times New Roman"/>
                <w:noProof/>
                <w:color w:val="006100"/>
              </w:rPr>
            </w:pPr>
            <w:r>
              <w:rPr>
                <w:rFonts w:ascii="Times New Roman" w:hAnsi="Times New Roman"/>
                <w:noProof/>
                <w:color w:val="006100"/>
              </w:rPr>
              <w:t>Ключов етап</w:t>
            </w:r>
          </w:p>
        </w:tc>
        <w:tc>
          <w:tcPr>
            <w:tcW w:w="3465" w:type="dxa"/>
            <w:tcBorders>
              <w:top w:val="nil"/>
              <w:left w:val="nil"/>
              <w:bottom w:val="single" w:sz="4" w:space="0" w:color="auto"/>
              <w:right w:val="single" w:sz="4" w:space="0" w:color="auto"/>
            </w:tcBorders>
            <w:shd w:val="clear" w:color="auto" w:fill="C6EFCE"/>
            <w:noWrap/>
          </w:tcPr>
          <w:p w14:paraId="0B8F86A1" w14:textId="77777777" w:rsidR="00D21D80" w:rsidRPr="009674F2" w:rsidRDefault="00D21D80" w:rsidP="00C955DB">
            <w:pPr>
              <w:spacing w:after="0" w:line="240" w:lineRule="auto"/>
              <w:rPr>
                <w:rFonts w:ascii="Times New Roman" w:hAnsi="Times New Roman" w:cs="Times New Roman"/>
                <w:noProof/>
                <w:color w:val="006100"/>
              </w:rPr>
            </w:pPr>
            <w:r>
              <w:rPr>
                <w:rFonts w:ascii="Times New Roman" w:hAnsi="Times New Roman"/>
                <w:noProof/>
                <w:color w:val="006100"/>
              </w:rPr>
              <w:t>План за действие за изпълнение на Стратегическата рамка за развитие на образованието, обучението и ученето в Република България (2021—2030 г.)</w:t>
            </w:r>
          </w:p>
        </w:tc>
      </w:tr>
      <w:tr w:rsidR="00D21D80" w:rsidRPr="005241FC" w14:paraId="430B205F" w14:textId="77777777" w:rsidTr="00E7285C">
        <w:trPr>
          <w:gridAfter w:val="1"/>
          <w:wAfter w:w="11" w:type="dxa"/>
          <w:trHeight w:val="1701"/>
          <w:jc w:val="center"/>
        </w:trPr>
        <w:tc>
          <w:tcPr>
            <w:tcW w:w="1084" w:type="dxa"/>
            <w:tcBorders>
              <w:top w:val="nil"/>
              <w:left w:val="single" w:sz="4" w:space="0" w:color="auto"/>
              <w:bottom w:val="single" w:sz="4" w:space="0" w:color="auto"/>
              <w:right w:val="single" w:sz="4" w:space="0" w:color="auto"/>
            </w:tcBorders>
            <w:shd w:val="clear" w:color="auto" w:fill="C6EFCE"/>
            <w:noWrap/>
          </w:tcPr>
          <w:p w14:paraId="724934FC"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7</w:t>
            </w:r>
          </w:p>
        </w:tc>
        <w:tc>
          <w:tcPr>
            <w:tcW w:w="3835" w:type="dxa"/>
            <w:tcBorders>
              <w:top w:val="nil"/>
              <w:left w:val="nil"/>
              <w:bottom w:val="single" w:sz="4" w:space="0" w:color="auto"/>
              <w:right w:val="single" w:sz="4" w:space="0" w:color="auto"/>
            </w:tcBorders>
            <w:shd w:val="clear" w:color="auto" w:fill="C6EFCE"/>
            <w:noWrap/>
          </w:tcPr>
          <w:p w14:paraId="7D82ACFE" w14:textId="77777777" w:rsidR="00D21D80" w:rsidRPr="00802190" w:rsidRDefault="00D21D80" w:rsidP="00C955DB">
            <w:pPr>
              <w:spacing w:after="0"/>
              <w:rPr>
                <w:rFonts w:ascii="Times New Roman" w:hAnsi="Times New Roman" w:cs="Times New Roman"/>
                <w:noProof/>
                <w:color w:val="006100"/>
              </w:rPr>
            </w:pPr>
            <w:r>
              <w:rPr>
                <w:rFonts w:ascii="Times New Roman" w:hAnsi="Times New Roman"/>
                <w:noProof/>
                <w:color w:val="006100"/>
              </w:rPr>
              <w:t xml:space="preserve">К1.Р2: </w:t>
            </w:r>
          </w:p>
          <w:p w14:paraId="19337972" w14:textId="77777777" w:rsidR="00D21D80" w:rsidRPr="009674F2" w:rsidRDefault="00D21D80" w:rsidP="00C955DB">
            <w:pPr>
              <w:spacing w:after="0"/>
              <w:rPr>
                <w:rFonts w:ascii="Times New Roman" w:hAnsi="Times New Roman" w:cs="Times New Roman"/>
                <w:noProof/>
                <w:color w:val="006100"/>
              </w:rPr>
            </w:pPr>
            <w:r>
              <w:rPr>
                <w:rFonts w:ascii="Times New Roman" w:hAnsi="Times New Roman"/>
                <w:noProof/>
                <w:color w:val="006100"/>
              </w:rPr>
              <w:t>Реформа на висшето образование</w:t>
            </w:r>
          </w:p>
        </w:tc>
        <w:tc>
          <w:tcPr>
            <w:tcW w:w="1418" w:type="dxa"/>
            <w:tcBorders>
              <w:top w:val="nil"/>
              <w:left w:val="nil"/>
              <w:bottom w:val="single" w:sz="4" w:space="0" w:color="auto"/>
              <w:right w:val="single" w:sz="4" w:space="0" w:color="auto"/>
            </w:tcBorders>
            <w:shd w:val="clear" w:color="auto" w:fill="C6EFCE"/>
            <w:noWrap/>
          </w:tcPr>
          <w:p w14:paraId="66C6D6EA" w14:textId="77777777" w:rsidR="00D21D80" w:rsidRPr="009674F2" w:rsidRDefault="00D21D80" w:rsidP="00C955DB">
            <w:pPr>
              <w:spacing w:after="0" w:line="240" w:lineRule="auto"/>
              <w:jc w:val="center"/>
              <w:rPr>
                <w:rFonts w:ascii="Times New Roman" w:hAnsi="Times New Roman" w:cs="Times New Roman"/>
                <w:noProof/>
                <w:color w:val="006100"/>
              </w:rPr>
            </w:pPr>
            <w:r>
              <w:rPr>
                <w:rFonts w:ascii="Times New Roman" w:hAnsi="Times New Roman"/>
                <w:noProof/>
                <w:color w:val="006100"/>
              </w:rPr>
              <w:t>Ключов етап</w:t>
            </w:r>
          </w:p>
        </w:tc>
        <w:tc>
          <w:tcPr>
            <w:tcW w:w="3465" w:type="dxa"/>
            <w:tcBorders>
              <w:top w:val="nil"/>
              <w:left w:val="nil"/>
              <w:bottom w:val="single" w:sz="4" w:space="0" w:color="auto"/>
              <w:right w:val="single" w:sz="4" w:space="0" w:color="auto"/>
            </w:tcBorders>
            <w:shd w:val="clear" w:color="auto" w:fill="C6EFCE"/>
            <w:noWrap/>
          </w:tcPr>
          <w:p w14:paraId="752FBA4D" w14:textId="77777777" w:rsidR="00D21D80" w:rsidRPr="009674F2" w:rsidRDefault="00D21D80" w:rsidP="00C955DB">
            <w:pPr>
              <w:spacing w:after="0" w:line="240" w:lineRule="auto"/>
              <w:rPr>
                <w:rFonts w:ascii="Times New Roman" w:hAnsi="Times New Roman" w:cs="Times New Roman"/>
                <w:noProof/>
                <w:color w:val="006100"/>
              </w:rPr>
            </w:pPr>
            <w:r>
              <w:rPr>
                <w:rFonts w:ascii="Times New Roman" w:hAnsi="Times New Roman"/>
                <w:noProof/>
                <w:color w:val="006100"/>
              </w:rPr>
              <w:t>План за действие за изпълнение на Стратегията за развитие на висшето образование в Република България (2021—2030 г.)</w:t>
            </w:r>
          </w:p>
        </w:tc>
      </w:tr>
      <w:tr w:rsidR="00D21D80" w:rsidRPr="005241FC" w14:paraId="07EB90CC" w14:textId="77777777" w:rsidTr="00E7285C">
        <w:trPr>
          <w:gridAfter w:val="1"/>
          <w:wAfter w:w="11" w:type="dxa"/>
          <w:trHeight w:val="1701"/>
          <w:jc w:val="center"/>
        </w:trPr>
        <w:tc>
          <w:tcPr>
            <w:tcW w:w="1084" w:type="dxa"/>
            <w:tcBorders>
              <w:top w:val="nil"/>
              <w:left w:val="single" w:sz="4" w:space="0" w:color="auto"/>
              <w:bottom w:val="single" w:sz="4" w:space="0" w:color="auto"/>
              <w:right w:val="single" w:sz="4" w:space="0" w:color="auto"/>
            </w:tcBorders>
            <w:shd w:val="clear" w:color="auto" w:fill="C6EFCE"/>
            <w:noWrap/>
          </w:tcPr>
          <w:p w14:paraId="1CE5B4DB"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8</w:t>
            </w:r>
          </w:p>
        </w:tc>
        <w:tc>
          <w:tcPr>
            <w:tcW w:w="3835" w:type="dxa"/>
            <w:tcBorders>
              <w:top w:val="nil"/>
              <w:left w:val="nil"/>
              <w:bottom w:val="single" w:sz="4" w:space="0" w:color="auto"/>
              <w:right w:val="single" w:sz="4" w:space="0" w:color="auto"/>
            </w:tcBorders>
            <w:shd w:val="clear" w:color="auto" w:fill="C6EFCE"/>
            <w:noWrap/>
          </w:tcPr>
          <w:p w14:paraId="3357EEF4" w14:textId="77777777" w:rsidR="00D21D80" w:rsidRPr="009674F2" w:rsidRDefault="00D21D80" w:rsidP="00C955DB">
            <w:pPr>
              <w:spacing w:after="0"/>
              <w:rPr>
                <w:rFonts w:ascii="Times New Roman" w:hAnsi="Times New Roman" w:cs="Times New Roman"/>
                <w:noProof/>
                <w:color w:val="006100"/>
              </w:rPr>
            </w:pPr>
            <w:r>
              <w:rPr>
                <w:rFonts w:ascii="Times New Roman" w:hAnsi="Times New Roman"/>
                <w:noProof/>
                <w:color w:val="006100"/>
              </w:rPr>
              <w:t>C1I1 Центрове за НТИМ и иновации в образованието</w:t>
            </w:r>
          </w:p>
        </w:tc>
        <w:tc>
          <w:tcPr>
            <w:tcW w:w="1418" w:type="dxa"/>
            <w:tcBorders>
              <w:top w:val="nil"/>
              <w:left w:val="nil"/>
              <w:bottom w:val="single" w:sz="4" w:space="0" w:color="auto"/>
              <w:right w:val="single" w:sz="4" w:space="0" w:color="auto"/>
            </w:tcBorders>
            <w:shd w:val="clear" w:color="auto" w:fill="C6EFCE"/>
            <w:noWrap/>
          </w:tcPr>
          <w:p w14:paraId="4F76E5B9" w14:textId="77777777" w:rsidR="00D21D80" w:rsidRPr="009674F2" w:rsidRDefault="00D21D80" w:rsidP="00C955DB">
            <w:pPr>
              <w:spacing w:after="0" w:line="240" w:lineRule="auto"/>
              <w:jc w:val="center"/>
              <w:rPr>
                <w:rFonts w:ascii="Times New Roman" w:hAnsi="Times New Roman" w:cs="Times New Roman"/>
                <w:noProof/>
                <w:color w:val="006100"/>
              </w:rPr>
            </w:pPr>
            <w:r>
              <w:rPr>
                <w:rFonts w:ascii="Times New Roman" w:hAnsi="Times New Roman"/>
                <w:noProof/>
                <w:color w:val="006100"/>
              </w:rPr>
              <w:t>Ключов етап</w:t>
            </w:r>
          </w:p>
        </w:tc>
        <w:tc>
          <w:tcPr>
            <w:tcW w:w="3465" w:type="dxa"/>
            <w:tcBorders>
              <w:top w:val="nil"/>
              <w:left w:val="nil"/>
              <w:bottom w:val="single" w:sz="4" w:space="0" w:color="auto"/>
              <w:right w:val="single" w:sz="4" w:space="0" w:color="auto"/>
            </w:tcBorders>
            <w:shd w:val="clear" w:color="auto" w:fill="C6EFCE"/>
            <w:noWrap/>
          </w:tcPr>
          <w:p w14:paraId="1F57D74E" w14:textId="77777777" w:rsidR="00D21D80" w:rsidRPr="009674F2" w:rsidRDefault="00D21D80" w:rsidP="00C955DB">
            <w:pPr>
              <w:spacing w:after="0" w:line="240" w:lineRule="auto"/>
              <w:jc w:val="both"/>
              <w:rPr>
                <w:rFonts w:ascii="Times New Roman" w:hAnsi="Times New Roman" w:cs="Times New Roman"/>
                <w:noProof/>
                <w:color w:val="006100"/>
              </w:rPr>
            </w:pPr>
            <w:r>
              <w:rPr>
                <w:rFonts w:ascii="Times New Roman" w:hAnsi="Times New Roman"/>
                <w:noProof/>
                <w:color w:val="006100"/>
              </w:rPr>
              <w:t xml:space="preserve">Създаване на национален център за НТИМ </w:t>
            </w:r>
          </w:p>
        </w:tc>
      </w:tr>
      <w:tr w:rsidR="00D21D80" w:rsidRPr="005241FC" w14:paraId="73091EDF" w14:textId="77777777" w:rsidTr="00E7285C">
        <w:trPr>
          <w:gridAfter w:val="1"/>
          <w:wAfter w:w="11" w:type="dxa"/>
          <w:trHeight w:val="1701"/>
          <w:jc w:val="center"/>
        </w:trPr>
        <w:tc>
          <w:tcPr>
            <w:tcW w:w="1084" w:type="dxa"/>
            <w:tcBorders>
              <w:top w:val="nil"/>
              <w:left w:val="single" w:sz="4" w:space="0" w:color="auto"/>
              <w:bottom w:val="single" w:sz="4" w:space="0" w:color="auto"/>
              <w:right w:val="single" w:sz="4" w:space="0" w:color="auto"/>
            </w:tcBorders>
            <w:shd w:val="clear" w:color="auto" w:fill="C6EFCE"/>
            <w:noWrap/>
          </w:tcPr>
          <w:p w14:paraId="731EA431"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321</w:t>
            </w:r>
          </w:p>
        </w:tc>
        <w:tc>
          <w:tcPr>
            <w:tcW w:w="3835" w:type="dxa"/>
            <w:tcBorders>
              <w:top w:val="nil"/>
              <w:left w:val="nil"/>
              <w:bottom w:val="single" w:sz="4" w:space="0" w:color="auto"/>
              <w:right w:val="single" w:sz="4" w:space="0" w:color="auto"/>
            </w:tcBorders>
            <w:shd w:val="clear" w:color="auto" w:fill="C6EFCE"/>
            <w:noWrap/>
          </w:tcPr>
          <w:p w14:paraId="798DF3F1" w14:textId="77777777" w:rsidR="00D21D80" w:rsidRPr="009674F2" w:rsidRDefault="00D21D80" w:rsidP="00C955DB">
            <w:pPr>
              <w:spacing w:after="0"/>
              <w:rPr>
                <w:rFonts w:ascii="Times New Roman" w:hAnsi="Times New Roman" w:cs="Times New Roman"/>
                <w:noProof/>
                <w:color w:val="006100"/>
              </w:rPr>
            </w:pPr>
            <w:r>
              <w:rPr>
                <w:rFonts w:ascii="Times New Roman" w:hAnsi="Times New Roman"/>
                <w:noProof/>
                <w:color w:val="006100"/>
              </w:rPr>
              <w:t>C12R2 Развитие на електронното здравеопазване и на Националната здравно информационна система</w:t>
            </w:r>
          </w:p>
        </w:tc>
        <w:tc>
          <w:tcPr>
            <w:tcW w:w="1418" w:type="dxa"/>
            <w:tcBorders>
              <w:top w:val="nil"/>
              <w:left w:val="nil"/>
              <w:bottom w:val="single" w:sz="4" w:space="0" w:color="auto"/>
              <w:right w:val="single" w:sz="4" w:space="0" w:color="auto"/>
            </w:tcBorders>
            <w:shd w:val="clear" w:color="auto" w:fill="C6EFCE"/>
            <w:noWrap/>
          </w:tcPr>
          <w:p w14:paraId="55D46667" w14:textId="77777777" w:rsidR="00D21D80" w:rsidRPr="009674F2" w:rsidRDefault="00D21D80" w:rsidP="00C955DB">
            <w:pPr>
              <w:spacing w:after="0" w:line="240" w:lineRule="auto"/>
              <w:jc w:val="center"/>
              <w:rPr>
                <w:rFonts w:ascii="Times New Roman" w:hAnsi="Times New Roman" w:cs="Times New Roman"/>
                <w:noProof/>
                <w:color w:val="006100"/>
              </w:rPr>
            </w:pPr>
            <w:r>
              <w:rPr>
                <w:rFonts w:ascii="Times New Roman" w:hAnsi="Times New Roman"/>
                <w:noProof/>
                <w:color w:val="006100"/>
              </w:rPr>
              <w:t>Ключов етап</w:t>
            </w:r>
          </w:p>
        </w:tc>
        <w:tc>
          <w:tcPr>
            <w:tcW w:w="3465" w:type="dxa"/>
            <w:tcBorders>
              <w:top w:val="nil"/>
              <w:left w:val="nil"/>
              <w:bottom w:val="single" w:sz="4" w:space="0" w:color="auto"/>
              <w:right w:val="single" w:sz="4" w:space="0" w:color="auto"/>
            </w:tcBorders>
            <w:shd w:val="clear" w:color="auto" w:fill="C6EFCE"/>
            <w:noWrap/>
          </w:tcPr>
          <w:p w14:paraId="50694F04" w14:textId="77777777" w:rsidR="00D21D80" w:rsidRPr="009674F2" w:rsidRDefault="00D21D80" w:rsidP="00C955DB">
            <w:pPr>
              <w:spacing w:after="0" w:line="240" w:lineRule="auto"/>
              <w:rPr>
                <w:rFonts w:ascii="Times New Roman" w:hAnsi="Times New Roman" w:cs="Times New Roman"/>
                <w:noProof/>
                <w:color w:val="006100"/>
              </w:rPr>
            </w:pPr>
            <w:r>
              <w:rPr>
                <w:rFonts w:ascii="Times New Roman" w:hAnsi="Times New Roman"/>
                <w:noProof/>
                <w:color w:val="006100"/>
              </w:rPr>
              <w:t>Влизане в сила на измененията на регулаторната рамка за електронно здравеопазване</w:t>
            </w:r>
          </w:p>
        </w:tc>
      </w:tr>
      <w:tr w:rsidR="00D21D80" w:rsidRPr="005241FC" w14:paraId="2AADECE8" w14:textId="77777777" w:rsidTr="00E7285C">
        <w:trPr>
          <w:gridAfter w:val="1"/>
          <w:wAfter w:w="11" w:type="dxa"/>
          <w:trHeight w:val="1701"/>
          <w:jc w:val="center"/>
        </w:trPr>
        <w:tc>
          <w:tcPr>
            <w:tcW w:w="1084" w:type="dxa"/>
            <w:tcBorders>
              <w:top w:val="nil"/>
              <w:left w:val="single" w:sz="4" w:space="0" w:color="auto"/>
              <w:bottom w:val="single" w:sz="4" w:space="0" w:color="auto"/>
              <w:right w:val="single" w:sz="4" w:space="0" w:color="auto"/>
            </w:tcBorders>
            <w:shd w:val="clear" w:color="auto" w:fill="C6EFCE"/>
            <w:noWrap/>
          </w:tcPr>
          <w:p w14:paraId="3FF249B9"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40</w:t>
            </w:r>
          </w:p>
        </w:tc>
        <w:tc>
          <w:tcPr>
            <w:tcW w:w="3835" w:type="dxa"/>
            <w:tcBorders>
              <w:top w:val="nil"/>
              <w:left w:val="nil"/>
              <w:bottom w:val="single" w:sz="4" w:space="0" w:color="auto"/>
              <w:right w:val="single" w:sz="4" w:space="0" w:color="auto"/>
            </w:tcBorders>
            <w:shd w:val="clear" w:color="auto" w:fill="C6EFCE"/>
            <w:noWrap/>
          </w:tcPr>
          <w:p w14:paraId="4D0309A9" w14:textId="77777777" w:rsidR="00D21D80" w:rsidRPr="009674F2" w:rsidRDefault="00D21D80" w:rsidP="00C955DB">
            <w:pPr>
              <w:spacing w:after="0" w:line="240" w:lineRule="auto"/>
              <w:rPr>
                <w:rFonts w:ascii="Times New Roman" w:hAnsi="Times New Roman" w:cs="Times New Roman"/>
                <w:noProof/>
                <w:color w:val="006100"/>
              </w:rPr>
            </w:pPr>
            <w:r>
              <w:rPr>
                <w:rFonts w:ascii="Times New Roman" w:hAnsi="Times New Roman"/>
                <w:noProof/>
                <w:color w:val="006100"/>
              </w:rPr>
              <w:t>C3I21.а Гаранционен инструмент за растеж</w:t>
            </w:r>
          </w:p>
        </w:tc>
        <w:tc>
          <w:tcPr>
            <w:tcW w:w="1418" w:type="dxa"/>
            <w:tcBorders>
              <w:top w:val="nil"/>
              <w:left w:val="nil"/>
              <w:bottom w:val="single" w:sz="4" w:space="0" w:color="auto"/>
              <w:right w:val="single" w:sz="4" w:space="0" w:color="auto"/>
            </w:tcBorders>
            <w:shd w:val="clear" w:color="auto" w:fill="C6EFCE"/>
            <w:noWrap/>
          </w:tcPr>
          <w:p w14:paraId="08966EDE" w14:textId="77777777" w:rsidR="00D21D80" w:rsidRPr="009674F2" w:rsidRDefault="00D21D80" w:rsidP="00C955DB">
            <w:pPr>
              <w:spacing w:after="0" w:line="240" w:lineRule="auto"/>
              <w:jc w:val="center"/>
              <w:rPr>
                <w:rFonts w:ascii="Times New Roman" w:hAnsi="Times New Roman" w:cs="Times New Roman"/>
                <w:noProof/>
                <w:color w:val="006100"/>
              </w:rPr>
            </w:pPr>
            <w:r>
              <w:rPr>
                <w:rFonts w:ascii="Times New Roman" w:hAnsi="Times New Roman"/>
                <w:noProof/>
                <w:color w:val="006100"/>
              </w:rPr>
              <w:t>Ключов етап</w:t>
            </w:r>
          </w:p>
        </w:tc>
        <w:tc>
          <w:tcPr>
            <w:tcW w:w="3465" w:type="dxa"/>
            <w:tcBorders>
              <w:top w:val="nil"/>
              <w:left w:val="nil"/>
              <w:bottom w:val="single" w:sz="4" w:space="0" w:color="auto"/>
              <w:right w:val="single" w:sz="4" w:space="0" w:color="auto"/>
            </w:tcBorders>
            <w:shd w:val="clear" w:color="auto" w:fill="C6EFCE"/>
            <w:noWrap/>
          </w:tcPr>
          <w:p w14:paraId="0E27DF4B" w14:textId="77777777" w:rsidR="00D21D80" w:rsidRPr="009674F2" w:rsidRDefault="00D21D80" w:rsidP="00C955DB">
            <w:pPr>
              <w:spacing w:after="0" w:line="240" w:lineRule="auto"/>
              <w:rPr>
                <w:rFonts w:ascii="Times New Roman" w:hAnsi="Times New Roman" w:cs="Times New Roman"/>
                <w:noProof/>
                <w:color w:val="006100"/>
              </w:rPr>
            </w:pPr>
            <w:r>
              <w:rPr>
                <w:rFonts w:ascii="Times New Roman" w:hAnsi="Times New Roman"/>
                <w:noProof/>
                <w:color w:val="006100"/>
              </w:rPr>
              <w:t>Подписване на споразумение за финансово участие между Европейската комисия и правителството на България</w:t>
            </w:r>
          </w:p>
        </w:tc>
      </w:tr>
      <w:tr w:rsidR="00D21D80" w:rsidRPr="005241FC" w14:paraId="60537EB8" w14:textId="77777777" w:rsidTr="00E7285C">
        <w:trPr>
          <w:gridAfter w:val="1"/>
          <w:wAfter w:w="11" w:type="dxa"/>
          <w:trHeight w:val="302"/>
          <w:jc w:val="center"/>
        </w:trPr>
        <w:tc>
          <w:tcPr>
            <w:tcW w:w="1084" w:type="dxa"/>
            <w:tcBorders>
              <w:top w:val="nil"/>
              <w:left w:val="single" w:sz="4" w:space="0" w:color="auto"/>
              <w:bottom w:val="single" w:sz="4" w:space="0" w:color="auto"/>
              <w:right w:val="single" w:sz="4" w:space="0" w:color="auto"/>
            </w:tcBorders>
            <w:shd w:val="clear" w:color="auto" w:fill="C6EFCE"/>
            <w:noWrap/>
          </w:tcPr>
          <w:p w14:paraId="6D663DA5"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43</w:t>
            </w:r>
          </w:p>
        </w:tc>
        <w:tc>
          <w:tcPr>
            <w:tcW w:w="3835" w:type="dxa"/>
            <w:tcBorders>
              <w:top w:val="nil"/>
              <w:left w:val="nil"/>
              <w:bottom w:val="single" w:sz="4" w:space="0" w:color="auto"/>
              <w:right w:val="single" w:sz="4" w:space="0" w:color="auto"/>
            </w:tcBorders>
            <w:shd w:val="clear" w:color="auto" w:fill="C6EFCE"/>
            <w:noWrap/>
          </w:tcPr>
          <w:p w14:paraId="0657DA15" w14:textId="77777777" w:rsidR="00D21D80" w:rsidRPr="009674F2" w:rsidRDefault="00D21D80" w:rsidP="00C955DB">
            <w:pPr>
              <w:spacing w:after="0" w:line="240" w:lineRule="auto"/>
              <w:rPr>
                <w:rFonts w:ascii="Times New Roman" w:hAnsi="Times New Roman" w:cs="Times New Roman"/>
                <w:noProof/>
                <w:color w:val="006100"/>
              </w:rPr>
            </w:pPr>
            <w:r>
              <w:rPr>
                <w:rFonts w:ascii="Times New Roman" w:hAnsi="Times New Roman"/>
                <w:noProof/>
                <w:color w:val="006100"/>
              </w:rPr>
              <w:t>C3I21.б Капиталови инструменти за растеж</w:t>
            </w:r>
          </w:p>
        </w:tc>
        <w:tc>
          <w:tcPr>
            <w:tcW w:w="1418" w:type="dxa"/>
            <w:tcBorders>
              <w:top w:val="nil"/>
              <w:left w:val="nil"/>
              <w:bottom w:val="single" w:sz="4" w:space="0" w:color="auto"/>
              <w:right w:val="single" w:sz="4" w:space="0" w:color="auto"/>
            </w:tcBorders>
            <w:shd w:val="clear" w:color="auto" w:fill="C6EFCE"/>
            <w:noWrap/>
          </w:tcPr>
          <w:p w14:paraId="735603E9" w14:textId="77777777" w:rsidR="00D21D80" w:rsidRPr="009674F2" w:rsidRDefault="00D21D80" w:rsidP="00C955DB">
            <w:pPr>
              <w:spacing w:after="0" w:line="240" w:lineRule="auto"/>
              <w:jc w:val="center"/>
              <w:rPr>
                <w:rFonts w:ascii="Times New Roman" w:hAnsi="Times New Roman" w:cs="Times New Roman"/>
                <w:noProof/>
                <w:color w:val="006100"/>
              </w:rPr>
            </w:pPr>
            <w:r>
              <w:rPr>
                <w:rFonts w:ascii="Times New Roman" w:hAnsi="Times New Roman"/>
                <w:noProof/>
                <w:color w:val="006100"/>
              </w:rPr>
              <w:t>Ключов етап</w:t>
            </w:r>
          </w:p>
        </w:tc>
        <w:tc>
          <w:tcPr>
            <w:tcW w:w="3465" w:type="dxa"/>
            <w:tcBorders>
              <w:top w:val="nil"/>
              <w:left w:val="nil"/>
              <w:bottom w:val="single" w:sz="4" w:space="0" w:color="auto"/>
              <w:right w:val="single" w:sz="4" w:space="0" w:color="auto"/>
            </w:tcBorders>
            <w:shd w:val="clear" w:color="auto" w:fill="C6EFCE"/>
            <w:noWrap/>
            <w:vAlign w:val="center"/>
          </w:tcPr>
          <w:p w14:paraId="45E0E8E5" w14:textId="77777777" w:rsidR="00D21D80" w:rsidRPr="009674F2" w:rsidRDefault="00D21D80" w:rsidP="00C955DB">
            <w:pPr>
              <w:spacing w:after="0" w:line="240" w:lineRule="auto"/>
              <w:rPr>
                <w:rFonts w:ascii="Times New Roman" w:hAnsi="Times New Roman" w:cs="Times New Roman"/>
                <w:noProof/>
                <w:color w:val="006100"/>
              </w:rPr>
            </w:pPr>
            <w:r>
              <w:rPr>
                <w:rFonts w:ascii="Times New Roman" w:hAnsi="Times New Roman"/>
                <w:noProof/>
                <w:color w:val="006100"/>
              </w:rPr>
              <w:t>Подписване на споразумение за финансиране между Европейския инвестиционен фонд и правителството на България</w:t>
            </w:r>
          </w:p>
        </w:tc>
      </w:tr>
      <w:tr w:rsidR="00D21D80" w:rsidRPr="00F41C75" w14:paraId="171E82B6" w14:textId="77777777" w:rsidTr="00E7285C">
        <w:trPr>
          <w:gridAfter w:val="1"/>
          <w:wAfter w:w="11" w:type="dxa"/>
          <w:trHeight w:val="302"/>
          <w:jc w:val="center"/>
        </w:trPr>
        <w:tc>
          <w:tcPr>
            <w:tcW w:w="1084" w:type="dxa"/>
            <w:tcBorders>
              <w:top w:val="nil"/>
              <w:left w:val="single" w:sz="4" w:space="0" w:color="auto"/>
              <w:bottom w:val="single" w:sz="4" w:space="0" w:color="auto"/>
              <w:right w:val="single" w:sz="4" w:space="0" w:color="auto"/>
            </w:tcBorders>
            <w:shd w:val="clear" w:color="auto" w:fill="C6EFCE"/>
            <w:noWrap/>
          </w:tcPr>
          <w:p w14:paraId="7E313766"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46</w:t>
            </w:r>
          </w:p>
        </w:tc>
        <w:tc>
          <w:tcPr>
            <w:tcW w:w="3835" w:type="dxa"/>
            <w:tcBorders>
              <w:top w:val="nil"/>
              <w:left w:val="nil"/>
              <w:bottom w:val="single" w:sz="4" w:space="0" w:color="auto"/>
              <w:right w:val="single" w:sz="4" w:space="0" w:color="auto"/>
            </w:tcBorders>
            <w:shd w:val="clear" w:color="auto" w:fill="C6EFCE"/>
            <w:noWrap/>
          </w:tcPr>
          <w:p w14:paraId="41274D19" w14:textId="77777777" w:rsidR="00D21D80" w:rsidRPr="009674F2" w:rsidRDefault="00D21D80" w:rsidP="00C955DB">
            <w:pPr>
              <w:spacing w:after="0" w:line="240" w:lineRule="auto"/>
              <w:rPr>
                <w:rFonts w:ascii="Times New Roman" w:hAnsi="Times New Roman" w:cs="Times New Roman"/>
                <w:noProof/>
                <w:color w:val="006100"/>
              </w:rPr>
            </w:pPr>
            <w:r>
              <w:rPr>
                <w:rFonts w:ascii="Times New Roman" w:hAnsi="Times New Roman"/>
                <w:noProof/>
                <w:color w:val="006100"/>
              </w:rPr>
              <w:t xml:space="preserve">C3I21.в Схема за отпускане на безвъзмездни средства за технологична модернизация </w:t>
            </w:r>
          </w:p>
        </w:tc>
        <w:tc>
          <w:tcPr>
            <w:tcW w:w="1418" w:type="dxa"/>
            <w:tcBorders>
              <w:top w:val="nil"/>
              <w:left w:val="nil"/>
              <w:bottom w:val="single" w:sz="4" w:space="0" w:color="auto"/>
              <w:right w:val="single" w:sz="4" w:space="0" w:color="auto"/>
            </w:tcBorders>
            <w:shd w:val="clear" w:color="auto" w:fill="C6EFCE"/>
            <w:noWrap/>
            <w:vAlign w:val="center"/>
          </w:tcPr>
          <w:p w14:paraId="1BC59A77" w14:textId="77777777" w:rsidR="00D21D80" w:rsidRPr="009674F2" w:rsidRDefault="00D21D80" w:rsidP="00C955DB">
            <w:pPr>
              <w:spacing w:after="0" w:line="240" w:lineRule="auto"/>
              <w:jc w:val="center"/>
              <w:rPr>
                <w:rFonts w:ascii="Times New Roman" w:hAnsi="Times New Roman" w:cs="Times New Roman"/>
                <w:noProof/>
                <w:color w:val="006100"/>
              </w:rPr>
            </w:pPr>
            <w:r>
              <w:rPr>
                <w:rFonts w:ascii="Times New Roman" w:hAnsi="Times New Roman"/>
                <w:noProof/>
                <w:color w:val="006100"/>
              </w:rPr>
              <w:t>Ключов етап</w:t>
            </w:r>
          </w:p>
        </w:tc>
        <w:tc>
          <w:tcPr>
            <w:tcW w:w="3465" w:type="dxa"/>
            <w:tcBorders>
              <w:top w:val="nil"/>
              <w:left w:val="nil"/>
              <w:bottom w:val="single" w:sz="4" w:space="0" w:color="auto"/>
              <w:right w:val="single" w:sz="4" w:space="0" w:color="auto"/>
            </w:tcBorders>
            <w:shd w:val="clear" w:color="auto" w:fill="C6EFCE"/>
            <w:noWrap/>
            <w:vAlign w:val="center"/>
          </w:tcPr>
          <w:p w14:paraId="06C38DAB" w14:textId="77777777" w:rsidR="00D21D80" w:rsidRPr="009674F2" w:rsidRDefault="00D21D80" w:rsidP="00C955DB">
            <w:pPr>
              <w:spacing w:after="0" w:line="240" w:lineRule="auto"/>
              <w:rPr>
                <w:rFonts w:ascii="Times New Roman" w:hAnsi="Times New Roman" w:cs="Times New Roman"/>
                <w:noProof/>
                <w:color w:val="006100"/>
              </w:rPr>
            </w:pPr>
            <w:r>
              <w:rPr>
                <w:rFonts w:ascii="Times New Roman" w:hAnsi="Times New Roman"/>
                <w:noProof/>
                <w:color w:val="006100"/>
              </w:rPr>
              <w:t xml:space="preserve">Приключили процедури за подбор </w:t>
            </w:r>
          </w:p>
        </w:tc>
      </w:tr>
      <w:tr w:rsidR="00D21D80" w:rsidRPr="00F41C75" w14:paraId="4827FB00" w14:textId="77777777" w:rsidTr="00E7285C">
        <w:trPr>
          <w:gridAfter w:val="1"/>
          <w:wAfter w:w="11" w:type="dxa"/>
          <w:trHeight w:val="302"/>
          <w:jc w:val="center"/>
        </w:trPr>
        <w:tc>
          <w:tcPr>
            <w:tcW w:w="1084" w:type="dxa"/>
            <w:tcBorders>
              <w:top w:val="nil"/>
              <w:left w:val="single" w:sz="4" w:space="0" w:color="auto"/>
              <w:bottom w:val="single" w:sz="4" w:space="0" w:color="auto"/>
              <w:right w:val="single" w:sz="4" w:space="0" w:color="auto"/>
            </w:tcBorders>
            <w:shd w:val="clear" w:color="auto" w:fill="C6EFCE"/>
            <w:noWrap/>
          </w:tcPr>
          <w:p w14:paraId="08892C54"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48</w:t>
            </w:r>
          </w:p>
        </w:tc>
        <w:tc>
          <w:tcPr>
            <w:tcW w:w="3835" w:type="dxa"/>
            <w:tcBorders>
              <w:top w:val="nil"/>
              <w:left w:val="nil"/>
              <w:bottom w:val="single" w:sz="4" w:space="0" w:color="auto"/>
              <w:right w:val="single" w:sz="4" w:space="0" w:color="auto"/>
            </w:tcBorders>
            <w:shd w:val="clear" w:color="auto" w:fill="C6EFCE"/>
            <w:noWrap/>
          </w:tcPr>
          <w:p w14:paraId="11764C70" w14:textId="77777777" w:rsidR="00D21D80" w:rsidRPr="009674F2" w:rsidRDefault="00D21D80" w:rsidP="00C955DB">
            <w:pPr>
              <w:spacing w:after="0" w:line="240" w:lineRule="auto"/>
              <w:rPr>
                <w:rFonts w:ascii="Times New Roman" w:hAnsi="Times New Roman" w:cs="Times New Roman"/>
                <w:noProof/>
                <w:color w:val="006100"/>
              </w:rPr>
            </w:pPr>
            <w:r>
              <w:rPr>
                <w:rFonts w:ascii="Times New Roman" w:hAnsi="Times New Roman"/>
                <w:noProof/>
                <w:color w:val="006100"/>
              </w:rPr>
              <w:t>C3I21.г Схема за безвъзмездни средства за решения в областта на информационните и комуникационните технологии и киберсигурността в МСП</w:t>
            </w:r>
          </w:p>
        </w:tc>
        <w:tc>
          <w:tcPr>
            <w:tcW w:w="1418" w:type="dxa"/>
            <w:tcBorders>
              <w:top w:val="nil"/>
              <w:left w:val="nil"/>
              <w:bottom w:val="single" w:sz="4" w:space="0" w:color="auto"/>
              <w:right w:val="single" w:sz="4" w:space="0" w:color="auto"/>
            </w:tcBorders>
            <w:shd w:val="clear" w:color="auto" w:fill="C6EFCE"/>
            <w:noWrap/>
            <w:vAlign w:val="center"/>
          </w:tcPr>
          <w:p w14:paraId="025F27D4" w14:textId="77777777" w:rsidR="00D21D80" w:rsidRPr="009674F2" w:rsidRDefault="00D21D80" w:rsidP="00C955DB">
            <w:pPr>
              <w:spacing w:after="0" w:line="240" w:lineRule="auto"/>
              <w:jc w:val="center"/>
              <w:rPr>
                <w:rFonts w:ascii="Times New Roman" w:hAnsi="Times New Roman" w:cs="Times New Roman"/>
                <w:noProof/>
                <w:color w:val="006100"/>
              </w:rPr>
            </w:pPr>
            <w:r>
              <w:rPr>
                <w:rFonts w:ascii="Times New Roman" w:hAnsi="Times New Roman"/>
                <w:noProof/>
                <w:color w:val="006100"/>
              </w:rPr>
              <w:t>Ключов етап</w:t>
            </w:r>
          </w:p>
        </w:tc>
        <w:tc>
          <w:tcPr>
            <w:tcW w:w="3465" w:type="dxa"/>
            <w:tcBorders>
              <w:top w:val="nil"/>
              <w:left w:val="nil"/>
              <w:bottom w:val="single" w:sz="4" w:space="0" w:color="auto"/>
              <w:right w:val="single" w:sz="4" w:space="0" w:color="auto"/>
            </w:tcBorders>
            <w:shd w:val="clear" w:color="auto" w:fill="C6EFCE"/>
            <w:noWrap/>
            <w:vAlign w:val="center"/>
          </w:tcPr>
          <w:p w14:paraId="178799E7" w14:textId="77777777" w:rsidR="00D21D80" w:rsidRPr="009674F2" w:rsidRDefault="00D21D80" w:rsidP="00C955DB">
            <w:pPr>
              <w:spacing w:after="0" w:line="240" w:lineRule="auto"/>
              <w:rPr>
                <w:rFonts w:ascii="Times New Roman" w:hAnsi="Times New Roman" w:cs="Times New Roman"/>
                <w:noProof/>
                <w:color w:val="006100"/>
              </w:rPr>
            </w:pPr>
            <w:r>
              <w:rPr>
                <w:rFonts w:ascii="Times New Roman" w:hAnsi="Times New Roman"/>
                <w:noProof/>
                <w:color w:val="006100"/>
              </w:rPr>
              <w:t xml:space="preserve">Приключили процедури за подбор </w:t>
            </w:r>
          </w:p>
        </w:tc>
      </w:tr>
      <w:tr w:rsidR="00D21D80" w:rsidRPr="005241FC" w14:paraId="6DE0920F" w14:textId="77777777" w:rsidTr="00E7285C">
        <w:trPr>
          <w:gridAfter w:val="1"/>
          <w:wAfter w:w="11" w:type="dxa"/>
          <w:trHeight w:val="302"/>
          <w:jc w:val="center"/>
        </w:trPr>
        <w:tc>
          <w:tcPr>
            <w:tcW w:w="1084" w:type="dxa"/>
            <w:tcBorders>
              <w:top w:val="nil"/>
              <w:left w:val="single" w:sz="4" w:space="0" w:color="auto"/>
              <w:bottom w:val="single" w:sz="4" w:space="0" w:color="auto"/>
              <w:right w:val="single" w:sz="4" w:space="0" w:color="auto"/>
            </w:tcBorders>
            <w:shd w:val="clear" w:color="auto" w:fill="C6EFCE"/>
            <w:noWrap/>
          </w:tcPr>
          <w:p w14:paraId="40D515CD"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50</w:t>
            </w:r>
          </w:p>
        </w:tc>
        <w:tc>
          <w:tcPr>
            <w:tcW w:w="3835" w:type="dxa"/>
            <w:tcBorders>
              <w:top w:val="nil"/>
              <w:left w:val="nil"/>
              <w:bottom w:val="single" w:sz="4" w:space="0" w:color="auto"/>
              <w:right w:val="single" w:sz="4" w:space="0" w:color="auto"/>
            </w:tcBorders>
            <w:shd w:val="clear" w:color="auto" w:fill="C6EFCE"/>
            <w:noWrap/>
          </w:tcPr>
          <w:p w14:paraId="49B23B67" w14:textId="77777777" w:rsidR="00D21D80" w:rsidRPr="009674F2" w:rsidRDefault="00D21D80" w:rsidP="00C955DB">
            <w:pPr>
              <w:spacing w:after="0" w:line="240" w:lineRule="auto"/>
              <w:rPr>
                <w:rFonts w:ascii="Times New Roman" w:hAnsi="Times New Roman" w:cs="Times New Roman"/>
                <w:noProof/>
                <w:color w:val="006100"/>
              </w:rPr>
            </w:pPr>
            <w:r>
              <w:rPr>
                <w:rFonts w:ascii="Times New Roman" w:hAnsi="Times New Roman"/>
                <w:noProof/>
                <w:color w:val="006100"/>
              </w:rPr>
              <w:t>C3I21.д Иновационен фонд (капиталов инструмент за иновации)</w:t>
            </w:r>
          </w:p>
        </w:tc>
        <w:tc>
          <w:tcPr>
            <w:tcW w:w="1418" w:type="dxa"/>
            <w:tcBorders>
              <w:top w:val="nil"/>
              <w:left w:val="nil"/>
              <w:bottom w:val="single" w:sz="4" w:space="0" w:color="auto"/>
              <w:right w:val="single" w:sz="4" w:space="0" w:color="auto"/>
            </w:tcBorders>
            <w:shd w:val="clear" w:color="auto" w:fill="C6EFCE"/>
            <w:noWrap/>
            <w:vAlign w:val="center"/>
          </w:tcPr>
          <w:p w14:paraId="559DC7C4" w14:textId="77777777" w:rsidR="00D21D80" w:rsidRPr="009674F2" w:rsidRDefault="00D21D80" w:rsidP="00C955DB">
            <w:pPr>
              <w:spacing w:after="0" w:line="240" w:lineRule="auto"/>
              <w:jc w:val="center"/>
              <w:rPr>
                <w:rFonts w:ascii="Times New Roman" w:hAnsi="Times New Roman" w:cs="Times New Roman"/>
                <w:noProof/>
                <w:color w:val="006100"/>
              </w:rPr>
            </w:pPr>
            <w:r>
              <w:rPr>
                <w:rFonts w:ascii="Times New Roman" w:hAnsi="Times New Roman"/>
                <w:noProof/>
                <w:color w:val="006100"/>
              </w:rPr>
              <w:t>Ключов етап</w:t>
            </w:r>
          </w:p>
        </w:tc>
        <w:tc>
          <w:tcPr>
            <w:tcW w:w="3465" w:type="dxa"/>
            <w:tcBorders>
              <w:top w:val="nil"/>
              <w:left w:val="nil"/>
              <w:bottom w:val="single" w:sz="4" w:space="0" w:color="auto"/>
              <w:right w:val="single" w:sz="4" w:space="0" w:color="auto"/>
            </w:tcBorders>
            <w:shd w:val="clear" w:color="auto" w:fill="C6EFCE"/>
            <w:noWrap/>
            <w:vAlign w:val="center"/>
          </w:tcPr>
          <w:p w14:paraId="210592E1" w14:textId="77777777" w:rsidR="00D21D80" w:rsidRPr="009674F2" w:rsidRDefault="00D21D80" w:rsidP="00C955DB">
            <w:pPr>
              <w:spacing w:after="0" w:line="240" w:lineRule="auto"/>
              <w:rPr>
                <w:rFonts w:ascii="Times New Roman" w:hAnsi="Times New Roman" w:cs="Times New Roman"/>
                <w:noProof/>
                <w:color w:val="006100"/>
              </w:rPr>
            </w:pPr>
            <w:r>
              <w:rPr>
                <w:rFonts w:ascii="Times New Roman" w:hAnsi="Times New Roman"/>
                <w:noProof/>
                <w:color w:val="006100"/>
              </w:rPr>
              <w:t>Подписване на споразумение за финансиране между Европейския инвестиционен фонд и правителството на България</w:t>
            </w:r>
          </w:p>
        </w:tc>
      </w:tr>
      <w:tr w:rsidR="00D21D80" w:rsidRPr="005241FC" w14:paraId="73B5CC2D" w14:textId="77777777" w:rsidTr="00E7285C">
        <w:trPr>
          <w:gridAfter w:val="1"/>
          <w:wAfter w:w="11" w:type="dxa"/>
          <w:trHeight w:val="302"/>
          <w:jc w:val="center"/>
        </w:trPr>
        <w:tc>
          <w:tcPr>
            <w:tcW w:w="1084" w:type="dxa"/>
            <w:tcBorders>
              <w:top w:val="nil"/>
              <w:left w:val="single" w:sz="4" w:space="0" w:color="auto"/>
              <w:bottom w:val="single" w:sz="4" w:space="0" w:color="auto"/>
              <w:right w:val="single" w:sz="4" w:space="0" w:color="auto"/>
            </w:tcBorders>
            <w:shd w:val="clear" w:color="auto" w:fill="C6EFCE"/>
            <w:noWrap/>
          </w:tcPr>
          <w:p w14:paraId="5B503EDC"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56</w:t>
            </w:r>
          </w:p>
        </w:tc>
        <w:tc>
          <w:tcPr>
            <w:tcW w:w="3835" w:type="dxa"/>
            <w:tcBorders>
              <w:top w:val="nil"/>
              <w:left w:val="nil"/>
              <w:bottom w:val="single" w:sz="4" w:space="0" w:color="auto"/>
              <w:right w:val="single" w:sz="4" w:space="0" w:color="auto"/>
            </w:tcBorders>
            <w:shd w:val="clear" w:color="auto" w:fill="C6EFCE"/>
            <w:noWrap/>
          </w:tcPr>
          <w:p w14:paraId="3088700A" w14:textId="77777777" w:rsidR="00D21D80" w:rsidRPr="009674F2" w:rsidRDefault="00D21D80" w:rsidP="00C955DB">
            <w:pPr>
              <w:spacing w:after="0" w:line="240" w:lineRule="auto"/>
              <w:rPr>
                <w:rFonts w:ascii="Times New Roman" w:hAnsi="Times New Roman" w:cs="Times New Roman"/>
                <w:noProof/>
                <w:color w:val="006100"/>
              </w:rPr>
            </w:pPr>
            <w:r>
              <w:rPr>
                <w:rFonts w:ascii="Times New Roman" w:hAnsi="Times New Roman"/>
                <w:noProof/>
                <w:color w:val="006100"/>
              </w:rPr>
              <w:t>C3I2.2.б Гаранционен инструмент за енергийна ефективност и възобновяема енергия</w:t>
            </w:r>
          </w:p>
        </w:tc>
        <w:tc>
          <w:tcPr>
            <w:tcW w:w="1418" w:type="dxa"/>
            <w:tcBorders>
              <w:top w:val="nil"/>
              <w:left w:val="nil"/>
              <w:bottom w:val="single" w:sz="4" w:space="0" w:color="auto"/>
              <w:right w:val="single" w:sz="4" w:space="0" w:color="auto"/>
            </w:tcBorders>
            <w:shd w:val="clear" w:color="auto" w:fill="C6EFCE"/>
            <w:noWrap/>
            <w:vAlign w:val="center"/>
          </w:tcPr>
          <w:p w14:paraId="7D3EFB9B" w14:textId="77777777" w:rsidR="00D21D80" w:rsidRPr="009674F2" w:rsidRDefault="00D21D80" w:rsidP="00C955DB">
            <w:pPr>
              <w:spacing w:after="0" w:line="240" w:lineRule="auto"/>
              <w:jc w:val="center"/>
              <w:rPr>
                <w:rFonts w:ascii="Times New Roman" w:hAnsi="Times New Roman" w:cs="Times New Roman"/>
                <w:noProof/>
                <w:color w:val="006100"/>
              </w:rPr>
            </w:pPr>
            <w:r>
              <w:rPr>
                <w:rFonts w:ascii="Times New Roman" w:hAnsi="Times New Roman"/>
                <w:noProof/>
                <w:color w:val="006100"/>
              </w:rPr>
              <w:t>Ключов етап</w:t>
            </w:r>
          </w:p>
        </w:tc>
        <w:tc>
          <w:tcPr>
            <w:tcW w:w="3465" w:type="dxa"/>
            <w:tcBorders>
              <w:top w:val="nil"/>
              <w:left w:val="nil"/>
              <w:bottom w:val="single" w:sz="4" w:space="0" w:color="auto"/>
              <w:right w:val="single" w:sz="4" w:space="0" w:color="auto"/>
            </w:tcBorders>
            <w:shd w:val="clear" w:color="auto" w:fill="C6EFCE"/>
            <w:noWrap/>
            <w:vAlign w:val="center"/>
          </w:tcPr>
          <w:p w14:paraId="7447708D" w14:textId="77777777" w:rsidR="00D21D80" w:rsidRPr="009674F2" w:rsidRDefault="00D21D80" w:rsidP="00C955DB">
            <w:pPr>
              <w:spacing w:after="0" w:line="240" w:lineRule="auto"/>
              <w:rPr>
                <w:rFonts w:ascii="Times New Roman" w:hAnsi="Times New Roman" w:cs="Times New Roman"/>
                <w:noProof/>
                <w:color w:val="006100"/>
              </w:rPr>
            </w:pPr>
            <w:r>
              <w:rPr>
                <w:rFonts w:ascii="Times New Roman" w:hAnsi="Times New Roman"/>
                <w:noProof/>
                <w:color w:val="006100"/>
              </w:rPr>
              <w:t>Сключване на споразумение за финансов принос между Европейската комисия и правителството на Република България</w:t>
            </w:r>
          </w:p>
        </w:tc>
      </w:tr>
      <w:tr w:rsidR="00D21D80" w:rsidRPr="005241FC" w14:paraId="4587BF09" w14:textId="77777777" w:rsidTr="00E7285C">
        <w:trPr>
          <w:gridAfter w:val="1"/>
          <w:wAfter w:w="11" w:type="dxa"/>
          <w:trHeight w:val="302"/>
          <w:jc w:val="center"/>
        </w:trPr>
        <w:tc>
          <w:tcPr>
            <w:tcW w:w="1084" w:type="dxa"/>
            <w:tcBorders>
              <w:top w:val="nil"/>
              <w:left w:val="single" w:sz="4" w:space="0" w:color="auto"/>
              <w:bottom w:val="single" w:sz="4" w:space="0" w:color="auto"/>
              <w:right w:val="single" w:sz="4" w:space="0" w:color="auto"/>
            </w:tcBorders>
            <w:shd w:val="clear" w:color="auto" w:fill="C6EFCE"/>
            <w:noWrap/>
          </w:tcPr>
          <w:p w14:paraId="2066DD66"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61</w:t>
            </w:r>
          </w:p>
        </w:tc>
        <w:tc>
          <w:tcPr>
            <w:tcW w:w="3835" w:type="dxa"/>
            <w:tcBorders>
              <w:top w:val="nil"/>
              <w:left w:val="nil"/>
              <w:bottom w:val="single" w:sz="4" w:space="0" w:color="auto"/>
              <w:right w:val="single" w:sz="4" w:space="0" w:color="auto"/>
            </w:tcBorders>
            <w:shd w:val="clear" w:color="auto" w:fill="C6EFCE"/>
            <w:noWrap/>
          </w:tcPr>
          <w:p w14:paraId="2548600F" w14:textId="77777777" w:rsidR="00D21D80" w:rsidRPr="009674F2" w:rsidRDefault="00D21D80" w:rsidP="00C955DB">
            <w:pPr>
              <w:spacing w:after="0" w:line="240" w:lineRule="auto"/>
              <w:rPr>
                <w:rFonts w:ascii="Times New Roman" w:hAnsi="Times New Roman" w:cs="Times New Roman"/>
                <w:noProof/>
                <w:color w:val="006100"/>
              </w:rPr>
            </w:pPr>
            <w:r>
              <w:rPr>
                <w:rFonts w:ascii="Times New Roman" w:hAnsi="Times New Roman"/>
                <w:noProof/>
                <w:color w:val="006100"/>
              </w:rPr>
              <w:t xml:space="preserve">C32.3.а Капиталови инструменти за инвестиции за неутралност по отношение на климата и за цифровизация </w:t>
            </w:r>
          </w:p>
        </w:tc>
        <w:tc>
          <w:tcPr>
            <w:tcW w:w="1418" w:type="dxa"/>
            <w:tcBorders>
              <w:top w:val="nil"/>
              <w:left w:val="nil"/>
              <w:bottom w:val="single" w:sz="4" w:space="0" w:color="auto"/>
              <w:right w:val="single" w:sz="4" w:space="0" w:color="auto"/>
            </w:tcBorders>
            <w:shd w:val="clear" w:color="auto" w:fill="C6EFCE"/>
            <w:noWrap/>
            <w:vAlign w:val="center"/>
          </w:tcPr>
          <w:p w14:paraId="6499D64B" w14:textId="77777777" w:rsidR="00D21D80" w:rsidRPr="009674F2" w:rsidRDefault="00D21D80" w:rsidP="00C955DB">
            <w:pPr>
              <w:spacing w:after="0" w:line="240" w:lineRule="auto"/>
              <w:jc w:val="center"/>
              <w:rPr>
                <w:rFonts w:ascii="Times New Roman" w:hAnsi="Times New Roman" w:cs="Times New Roman"/>
                <w:noProof/>
                <w:color w:val="006100"/>
              </w:rPr>
            </w:pPr>
            <w:r>
              <w:rPr>
                <w:rFonts w:ascii="Times New Roman" w:hAnsi="Times New Roman"/>
                <w:noProof/>
                <w:color w:val="006100"/>
              </w:rPr>
              <w:t>Ключов етап</w:t>
            </w:r>
          </w:p>
        </w:tc>
        <w:tc>
          <w:tcPr>
            <w:tcW w:w="3465" w:type="dxa"/>
            <w:tcBorders>
              <w:top w:val="nil"/>
              <w:left w:val="nil"/>
              <w:bottom w:val="single" w:sz="4" w:space="0" w:color="auto"/>
              <w:right w:val="single" w:sz="4" w:space="0" w:color="auto"/>
            </w:tcBorders>
            <w:shd w:val="clear" w:color="auto" w:fill="C6EFCE"/>
            <w:noWrap/>
            <w:vAlign w:val="center"/>
          </w:tcPr>
          <w:p w14:paraId="7CBEF9F2" w14:textId="77777777" w:rsidR="00D21D80" w:rsidRPr="009674F2" w:rsidRDefault="00D21D80" w:rsidP="00C955DB">
            <w:pPr>
              <w:spacing w:after="0" w:line="240" w:lineRule="auto"/>
              <w:rPr>
                <w:rFonts w:ascii="Times New Roman" w:hAnsi="Times New Roman" w:cs="Times New Roman"/>
                <w:noProof/>
                <w:color w:val="006100"/>
              </w:rPr>
            </w:pPr>
            <w:r>
              <w:rPr>
                <w:rFonts w:ascii="Times New Roman" w:hAnsi="Times New Roman"/>
                <w:noProof/>
                <w:color w:val="006100"/>
              </w:rPr>
              <w:t>Сключване на споразумение за финансиране между Република България и Европейския инвестиционен фонд</w:t>
            </w:r>
          </w:p>
        </w:tc>
      </w:tr>
      <w:tr w:rsidR="00D21D80" w:rsidRPr="005241FC" w14:paraId="3D28B220" w14:textId="77777777" w:rsidTr="00E7285C">
        <w:trPr>
          <w:gridAfter w:val="1"/>
          <w:wAfter w:w="11" w:type="dxa"/>
          <w:trHeight w:val="302"/>
          <w:jc w:val="center"/>
        </w:trPr>
        <w:tc>
          <w:tcPr>
            <w:tcW w:w="1084" w:type="dxa"/>
            <w:tcBorders>
              <w:top w:val="nil"/>
              <w:left w:val="single" w:sz="4" w:space="0" w:color="auto"/>
              <w:bottom w:val="single" w:sz="4" w:space="0" w:color="auto"/>
              <w:right w:val="single" w:sz="4" w:space="0" w:color="auto"/>
            </w:tcBorders>
            <w:shd w:val="clear" w:color="auto" w:fill="C6EFCE"/>
            <w:noWrap/>
          </w:tcPr>
          <w:p w14:paraId="03B89B82" w14:textId="77777777" w:rsidR="00D21D80" w:rsidRPr="009674F2" w:rsidRDefault="00D21D80" w:rsidP="00C955DB">
            <w:pPr>
              <w:spacing w:after="0" w:line="240" w:lineRule="auto"/>
              <w:jc w:val="center"/>
              <w:rPr>
                <w:rFonts w:ascii="Times New Roman" w:hAnsi="Times New Roman" w:cs="Times New Roman"/>
                <w:noProof/>
                <w:color w:val="006100"/>
              </w:rPr>
            </w:pPr>
            <w:r>
              <w:rPr>
                <w:rFonts w:ascii="Times New Roman" w:hAnsi="Times New Roman"/>
                <w:noProof/>
                <w:color w:val="006100"/>
              </w:rPr>
              <w:t>63</w:t>
            </w:r>
          </w:p>
        </w:tc>
        <w:tc>
          <w:tcPr>
            <w:tcW w:w="3835" w:type="dxa"/>
            <w:tcBorders>
              <w:top w:val="nil"/>
              <w:left w:val="nil"/>
              <w:bottom w:val="single" w:sz="4" w:space="0" w:color="auto"/>
              <w:right w:val="single" w:sz="4" w:space="0" w:color="auto"/>
            </w:tcBorders>
            <w:shd w:val="clear" w:color="auto" w:fill="C6EFCE"/>
            <w:noWrap/>
          </w:tcPr>
          <w:p w14:paraId="5C327888" w14:textId="77777777" w:rsidR="00D21D80" w:rsidRPr="009674F2" w:rsidRDefault="00D21D80" w:rsidP="00C955DB">
            <w:pPr>
              <w:spacing w:after="0" w:line="240" w:lineRule="auto"/>
              <w:rPr>
                <w:rFonts w:ascii="Times New Roman" w:hAnsi="Times New Roman" w:cs="Times New Roman"/>
                <w:noProof/>
                <w:color w:val="006100"/>
              </w:rPr>
            </w:pPr>
            <w:r>
              <w:rPr>
                <w:rFonts w:ascii="Times New Roman" w:hAnsi="Times New Roman"/>
                <w:noProof/>
                <w:color w:val="006100"/>
              </w:rPr>
              <w:t>C4R1 Създаване на Национален фонд за декарбонизация</w:t>
            </w:r>
          </w:p>
        </w:tc>
        <w:tc>
          <w:tcPr>
            <w:tcW w:w="1418" w:type="dxa"/>
            <w:tcBorders>
              <w:top w:val="nil"/>
              <w:left w:val="nil"/>
              <w:bottom w:val="single" w:sz="4" w:space="0" w:color="auto"/>
              <w:right w:val="single" w:sz="4" w:space="0" w:color="auto"/>
            </w:tcBorders>
            <w:shd w:val="clear" w:color="auto" w:fill="C6EFCE"/>
            <w:noWrap/>
          </w:tcPr>
          <w:p w14:paraId="1746DCFD" w14:textId="77777777" w:rsidR="00D21D80" w:rsidRPr="009674F2" w:rsidRDefault="00D21D80" w:rsidP="00C955DB">
            <w:pPr>
              <w:spacing w:after="0" w:line="240" w:lineRule="auto"/>
              <w:jc w:val="center"/>
              <w:rPr>
                <w:rFonts w:ascii="Times New Roman" w:hAnsi="Times New Roman" w:cs="Times New Roman"/>
                <w:noProof/>
                <w:color w:val="006100"/>
              </w:rPr>
            </w:pPr>
            <w:r>
              <w:rPr>
                <w:rFonts w:ascii="Times New Roman" w:hAnsi="Times New Roman"/>
                <w:noProof/>
                <w:color w:val="006100"/>
              </w:rPr>
              <w:t>Ключов етап</w:t>
            </w:r>
          </w:p>
        </w:tc>
        <w:tc>
          <w:tcPr>
            <w:tcW w:w="3465" w:type="dxa"/>
            <w:tcBorders>
              <w:top w:val="nil"/>
              <w:left w:val="nil"/>
              <w:bottom w:val="single" w:sz="4" w:space="0" w:color="auto"/>
              <w:right w:val="single" w:sz="4" w:space="0" w:color="auto"/>
            </w:tcBorders>
            <w:shd w:val="clear" w:color="auto" w:fill="C6EFCE"/>
            <w:noWrap/>
          </w:tcPr>
          <w:p w14:paraId="149898C0" w14:textId="77777777" w:rsidR="00D21D80" w:rsidRPr="009674F2" w:rsidRDefault="00D21D80" w:rsidP="00C955DB">
            <w:pPr>
              <w:spacing w:after="0" w:line="240" w:lineRule="auto"/>
              <w:rPr>
                <w:rFonts w:ascii="Times New Roman" w:hAnsi="Times New Roman" w:cs="Times New Roman"/>
                <w:noProof/>
                <w:color w:val="006100"/>
              </w:rPr>
            </w:pPr>
            <w:r>
              <w:rPr>
                <w:rFonts w:ascii="Times New Roman" w:hAnsi="Times New Roman"/>
                <w:noProof/>
                <w:color w:val="006100"/>
              </w:rPr>
              <w:t>Оценка на националната регулаторна рамка за енергийна ефективност от независима експертна група</w:t>
            </w:r>
          </w:p>
        </w:tc>
      </w:tr>
      <w:tr w:rsidR="00D21D80" w:rsidRPr="005241FC" w14:paraId="7265C293" w14:textId="77777777" w:rsidTr="00E7285C">
        <w:trPr>
          <w:gridAfter w:val="1"/>
          <w:wAfter w:w="11" w:type="dxa"/>
          <w:trHeight w:val="302"/>
          <w:jc w:val="center"/>
        </w:trPr>
        <w:tc>
          <w:tcPr>
            <w:tcW w:w="1084" w:type="dxa"/>
            <w:tcBorders>
              <w:top w:val="nil"/>
              <w:left w:val="single" w:sz="4" w:space="0" w:color="auto"/>
              <w:bottom w:val="single" w:sz="4" w:space="0" w:color="auto"/>
              <w:right w:val="single" w:sz="4" w:space="0" w:color="auto"/>
            </w:tcBorders>
            <w:shd w:val="clear" w:color="auto" w:fill="C6EFCE"/>
            <w:noWrap/>
          </w:tcPr>
          <w:p w14:paraId="5D464E30"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66</w:t>
            </w:r>
          </w:p>
        </w:tc>
        <w:tc>
          <w:tcPr>
            <w:tcW w:w="3835" w:type="dxa"/>
            <w:tcBorders>
              <w:top w:val="nil"/>
              <w:left w:val="nil"/>
              <w:bottom w:val="single" w:sz="4" w:space="0" w:color="auto"/>
              <w:right w:val="single" w:sz="4" w:space="0" w:color="auto"/>
            </w:tcBorders>
            <w:shd w:val="clear" w:color="auto" w:fill="C6EFCE"/>
            <w:noWrap/>
          </w:tcPr>
          <w:p w14:paraId="6D327C19" w14:textId="77777777" w:rsidR="00D21D80" w:rsidRPr="009674F2" w:rsidRDefault="00D21D80" w:rsidP="00C955DB">
            <w:pPr>
              <w:spacing w:after="0" w:line="240" w:lineRule="auto"/>
              <w:rPr>
                <w:rFonts w:ascii="Times New Roman" w:eastAsia="Times New Roman" w:hAnsi="Times New Roman" w:cs="Times New Roman"/>
                <w:noProof/>
                <w:color w:val="006100"/>
              </w:rPr>
            </w:pPr>
            <w:r>
              <w:rPr>
                <w:rFonts w:ascii="Times New Roman" w:hAnsi="Times New Roman"/>
                <w:noProof/>
                <w:color w:val="006100"/>
              </w:rPr>
              <w:t>C4R3 Определение на „енергийна бедност“ и на критерии за определяне на домакинствата в положение на енергийна бедност и уязвимите потребители</w:t>
            </w:r>
          </w:p>
        </w:tc>
        <w:tc>
          <w:tcPr>
            <w:tcW w:w="1418" w:type="dxa"/>
            <w:tcBorders>
              <w:top w:val="nil"/>
              <w:left w:val="nil"/>
              <w:bottom w:val="single" w:sz="4" w:space="0" w:color="auto"/>
              <w:right w:val="single" w:sz="4" w:space="0" w:color="auto"/>
            </w:tcBorders>
            <w:shd w:val="clear" w:color="auto" w:fill="C6EFCE"/>
            <w:noWrap/>
          </w:tcPr>
          <w:p w14:paraId="44CFC42B"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Ключов етап</w:t>
            </w:r>
          </w:p>
        </w:tc>
        <w:tc>
          <w:tcPr>
            <w:tcW w:w="3465" w:type="dxa"/>
            <w:tcBorders>
              <w:top w:val="nil"/>
              <w:left w:val="nil"/>
              <w:bottom w:val="single" w:sz="4" w:space="0" w:color="auto"/>
              <w:right w:val="single" w:sz="4" w:space="0" w:color="auto"/>
            </w:tcBorders>
            <w:shd w:val="clear" w:color="auto" w:fill="C6EFCE"/>
            <w:noWrap/>
          </w:tcPr>
          <w:p w14:paraId="71A56D7A" w14:textId="77777777" w:rsidR="00D21D80" w:rsidRPr="009674F2" w:rsidRDefault="00D21D80" w:rsidP="00C955DB">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Влизане в сила на измененията на Закона за енергетиката и подзаконовите нормативни актове относно „енергийната бедност“ </w:t>
            </w:r>
          </w:p>
        </w:tc>
      </w:tr>
      <w:tr w:rsidR="00D21D80" w:rsidRPr="005241FC" w14:paraId="29F434A4" w14:textId="77777777" w:rsidTr="00E7285C">
        <w:trPr>
          <w:gridAfter w:val="1"/>
          <w:wAfter w:w="11" w:type="dxa"/>
          <w:trHeight w:val="302"/>
          <w:jc w:val="center"/>
        </w:trPr>
        <w:tc>
          <w:tcPr>
            <w:tcW w:w="1084" w:type="dxa"/>
            <w:tcBorders>
              <w:top w:val="nil"/>
              <w:left w:val="single" w:sz="4" w:space="0" w:color="auto"/>
              <w:bottom w:val="single" w:sz="4" w:space="0" w:color="auto"/>
              <w:right w:val="single" w:sz="4" w:space="0" w:color="auto"/>
            </w:tcBorders>
            <w:shd w:val="clear" w:color="auto" w:fill="C6EFCE"/>
            <w:noWrap/>
          </w:tcPr>
          <w:p w14:paraId="44E678EA"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67</w:t>
            </w:r>
          </w:p>
        </w:tc>
        <w:tc>
          <w:tcPr>
            <w:tcW w:w="3835" w:type="dxa"/>
            <w:tcBorders>
              <w:top w:val="nil"/>
              <w:left w:val="nil"/>
              <w:bottom w:val="single" w:sz="4" w:space="0" w:color="auto"/>
              <w:right w:val="single" w:sz="4" w:space="0" w:color="auto"/>
            </w:tcBorders>
            <w:shd w:val="clear" w:color="auto" w:fill="C6EFCE"/>
            <w:noWrap/>
          </w:tcPr>
          <w:p w14:paraId="58B9780E" w14:textId="0F7041C2" w:rsidR="00D21D80" w:rsidRPr="009674F2" w:rsidRDefault="00D21D80" w:rsidP="00C955DB">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C4R2 Улесняване на инвестициите в енергийно ефективно обновяване на жилищни сгради </w:t>
            </w:r>
          </w:p>
        </w:tc>
        <w:tc>
          <w:tcPr>
            <w:tcW w:w="1418" w:type="dxa"/>
            <w:tcBorders>
              <w:top w:val="nil"/>
              <w:left w:val="nil"/>
              <w:bottom w:val="single" w:sz="4" w:space="0" w:color="auto"/>
              <w:right w:val="single" w:sz="4" w:space="0" w:color="auto"/>
            </w:tcBorders>
            <w:shd w:val="clear" w:color="auto" w:fill="C6EFCE"/>
            <w:noWrap/>
          </w:tcPr>
          <w:p w14:paraId="5E3FA320"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Ключов етап</w:t>
            </w:r>
          </w:p>
        </w:tc>
        <w:tc>
          <w:tcPr>
            <w:tcW w:w="3465" w:type="dxa"/>
            <w:tcBorders>
              <w:top w:val="nil"/>
              <w:left w:val="nil"/>
              <w:bottom w:val="single" w:sz="4" w:space="0" w:color="auto"/>
              <w:right w:val="single" w:sz="4" w:space="0" w:color="auto"/>
            </w:tcBorders>
            <w:shd w:val="clear" w:color="auto" w:fill="C6EFCE"/>
            <w:noWrap/>
          </w:tcPr>
          <w:p w14:paraId="4A61EDFF" w14:textId="77777777" w:rsidR="00D21D80" w:rsidRPr="009674F2" w:rsidRDefault="00D21D80" w:rsidP="00C955DB">
            <w:pPr>
              <w:spacing w:after="0" w:line="240" w:lineRule="auto"/>
              <w:rPr>
                <w:rFonts w:ascii="Times New Roman" w:eastAsia="Times New Roman" w:hAnsi="Times New Roman" w:cs="Times New Roman"/>
                <w:noProof/>
                <w:color w:val="006100"/>
              </w:rPr>
            </w:pPr>
            <w:r>
              <w:rPr>
                <w:rFonts w:ascii="Times New Roman" w:hAnsi="Times New Roman"/>
                <w:noProof/>
                <w:color w:val="006100"/>
              </w:rPr>
              <w:t>Влизане в сила на измененията в Закона за управление на етажната собственост</w:t>
            </w:r>
          </w:p>
        </w:tc>
      </w:tr>
      <w:tr w:rsidR="00D21D80" w:rsidRPr="005241FC" w14:paraId="0DD40C2D" w14:textId="77777777" w:rsidTr="00E7285C">
        <w:trPr>
          <w:gridAfter w:val="1"/>
          <w:wAfter w:w="11" w:type="dxa"/>
          <w:trHeight w:val="302"/>
          <w:jc w:val="center"/>
        </w:trPr>
        <w:tc>
          <w:tcPr>
            <w:tcW w:w="1084" w:type="dxa"/>
            <w:tcBorders>
              <w:top w:val="nil"/>
              <w:left w:val="single" w:sz="4" w:space="0" w:color="auto"/>
              <w:bottom w:val="single" w:sz="4" w:space="0" w:color="auto"/>
              <w:right w:val="single" w:sz="4" w:space="0" w:color="auto"/>
            </w:tcBorders>
            <w:shd w:val="clear" w:color="auto" w:fill="C6EFCE"/>
            <w:noWrap/>
          </w:tcPr>
          <w:p w14:paraId="18944BBA"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68</w:t>
            </w:r>
          </w:p>
        </w:tc>
        <w:tc>
          <w:tcPr>
            <w:tcW w:w="3835" w:type="dxa"/>
            <w:tcBorders>
              <w:top w:val="nil"/>
              <w:left w:val="nil"/>
              <w:bottom w:val="single" w:sz="4" w:space="0" w:color="auto"/>
              <w:right w:val="single" w:sz="4" w:space="0" w:color="auto"/>
            </w:tcBorders>
            <w:shd w:val="clear" w:color="auto" w:fill="C6EFCE"/>
            <w:noWrap/>
          </w:tcPr>
          <w:p w14:paraId="0C29D160" w14:textId="77777777" w:rsidR="00D21D80" w:rsidRPr="009674F2" w:rsidRDefault="00D21D80" w:rsidP="00C955DB">
            <w:pPr>
              <w:spacing w:after="0" w:line="240" w:lineRule="auto"/>
              <w:rPr>
                <w:rFonts w:ascii="Times New Roman" w:eastAsia="Calibri" w:hAnsi="Times New Roman" w:cs="Times New Roman"/>
                <w:noProof/>
                <w:u w:val="single"/>
              </w:rPr>
            </w:pPr>
            <w:r>
              <w:rPr>
                <w:rFonts w:ascii="Times New Roman" w:hAnsi="Times New Roman"/>
                <w:noProof/>
                <w:color w:val="006100"/>
              </w:rPr>
              <w:t>C4I1 Подкрепа за обновяване на сградния фонд </w:t>
            </w:r>
          </w:p>
          <w:p w14:paraId="3B520932" w14:textId="77777777" w:rsidR="00D21D80" w:rsidRPr="008A0F8A" w:rsidRDefault="00D21D80" w:rsidP="00C955DB">
            <w:pPr>
              <w:spacing w:after="0" w:line="240" w:lineRule="auto"/>
              <w:rPr>
                <w:rFonts w:ascii="Times New Roman" w:eastAsia="Times New Roman" w:hAnsi="Times New Roman" w:cs="Times New Roman"/>
                <w:noProof/>
                <w:color w:val="006100"/>
                <w:lang w:val="ru-RU" w:eastAsia="en-GB"/>
              </w:rPr>
            </w:pPr>
          </w:p>
        </w:tc>
        <w:tc>
          <w:tcPr>
            <w:tcW w:w="1418" w:type="dxa"/>
            <w:tcBorders>
              <w:top w:val="nil"/>
              <w:left w:val="nil"/>
              <w:bottom w:val="single" w:sz="4" w:space="0" w:color="auto"/>
              <w:right w:val="single" w:sz="4" w:space="0" w:color="auto"/>
            </w:tcBorders>
            <w:shd w:val="clear" w:color="auto" w:fill="C6EFCE"/>
            <w:noWrap/>
          </w:tcPr>
          <w:p w14:paraId="55379B47"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Ключов етап</w:t>
            </w:r>
          </w:p>
        </w:tc>
        <w:tc>
          <w:tcPr>
            <w:tcW w:w="3465" w:type="dxa"/>
            <w:tcBorders>
              <w:top w:val="nil"/>
              <w:left w:val="nil"/>
              <w:bottom w:val="single" w:sz="4" w:space="0" w:color="auto"/>
              <w:right w:val="single" w:sz="4" w:space="0" w:color="auto"/>
            </w:tcBorders>
            <w:shd w:val="clear" w:color="auto" w:fill="C6EFCE"/>
            <w:noWrap/>
          </w:tcPr>
          <w:p w14:paraId="514CE402" w14:textId="77777777" w:rsidR="00D21D80" w:rsidRPr="009674F2" w:rsidRDefault="00D21D80" w:rsidP="00C955DB">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Създаване на национална схема за подпомагане на енергийно ефективно обновяване на жилищни и нежилищни сгради </w:t>
            </w:r>
            <w:r>
              <w:rPr>
                <w:rFonts w:ascii="Times New Roman" w:hAnsi="Times New Roman"/>
                <w:noProof/>
                <w:color w:val="006100"/>
              </w:rPr>
              <w:br/>
            </w:r>
          </w:p>
        </w:tc>
      </w:tr>
      <w:tr w:rsidR="00D21D80" w:rsidRPr="005241FC" w14:paraId="72BEEDF0" w14:textId="77777777" w:rsidTr="00E7285C">
        <w:trPr>
          <w:gridAfter w:val="1"/>
          <w:wAfter w:w="11" w:type="dxa"/>
          <w:trHeight w:val="302"/>
          <w:jc w:val="center"/>
        </w:trPr>
        <w:tc>
          <w:tcPr>
            <w:tcW w:w="1084" w:type="dxa"/>
            <w:tcBorders>
              <w:top w:val="nil"/>
              <w:left w:val="single" w:sz="4" w:space="0" w:color="auto"/>
              <w:bottom w:val="single" w:sz="4" w:space="0" w:color="auto"/>
              <w:right w:val="single" w:sz="4" w:space="0" w:color="auto"/>
            </w:tcBorders>
            <w:shd w:val="clear" w:color="auto" w:fill="C6EFCE"/>
            <w:noWrap/>
          </w:tcPr>
          <w:p w14:paraId="1AE3DFF5"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69</w:t>
            </w:r>
          </w:p>
        </w:tc>
        <w:tc>
          <w:tcPr>
            <w:tcW w:w="3835" w:type="dxa"/>
            <w:tcBorders>
              <w:top w:val="nil"/>
              <w:left w:val="nil"/>
              <w:bottom w:val="single" w:sz="4" w:space="0" w:color="auto"/>
              <w:right w:val="single" w:sz="4" w:space="0" w:color="auto"/>
            </w:tcBorders>
            <w:shd w:val="clear" w:color="auto" w:fill="C6EFCE"/>
            <w:noWrap/>
          </w:tcPr>
          <w:p w14:paraId="33138A07" w14:textId="77777777" w:rsidR="00D21D80" w:rsidRPr="009674F2" w:rsidRDefault="00D21D80" w:rsidP="00C955DB">
            <w:pPr>
              <w:spacing w:after="0" w:line="240" w:lineRule="auto"/>
              <w:rPr>
                <w:rFonts w:ascii="Times New Roman" w:eastAsia="Calibri" w:hAnsi="Times New Roman" w:cs="Times New Roman"/>
                <w:noProof/>
                <w:u w:val="single"/>
              </w:rPr>
            </w:pPr>
            <w:r>
              <w:rPr>
                <w:rFonts w:ascii="Times New Roman" w:hAnsi="Times New Roman"/>
                <w:noProof/>
                <w:color w:val="006100"/>
              </w:rPr>
              <w:t>C4I1 Подкрепа за обновяване на сградния фонд</w:t>
            </w:r>
            <w:r>
              <w:rPr>
                <w:rFonts w:ascii="Times New Roman" w:hAnsi="Times New Roman"/>
                <w:noProof/>
              </w:rPr>
              <w:t> </w:t>
            </w:r>
          </w:p>
          <w:p w14:paraId="0FA30816" w14:textId="77777777" w:rsidR="00D21D80" w:rsidRPr="008A0F8A" w:rsidRDefault="00D21D80" w:rsidP="00C955DB">
            <w:pPr>
              <w:spacing w:after="0" w:line="240" w:lineRule="auto"/>
              <w:rPr>
                <w:rFonts w:ascii="Times New Roman" w:eastAsia="Calibri" w:hAnsi="Times New Roman" w:cs="Times New Roman"/>
                <w:noProof/>
                <w:u w:val="single"/>
                <w:lang w:val="ru-RU"/>
              </w:rPr>
            </w:pPr>
          </w:p>
          <w:p w14:paraId="7C79E9CA" w14:textId="77777777" w:rsidR="00D21D80" w:rsidRPr="009674F2" w:rsidRDefault="00D21D80" w:rsidP="00C955DB">
            <w:pPr>
              <w:spacing w:after="0" w:line="240" w:lineRule="auto"/>
              <w:rPr>
                <w:rFonts w:ascii="Times New Roman" w:eastAsia="Times New Roman" w:hAnsi="Times New Roman" w:cs="Times New Roman"/>
                <w:noProof/>
                <w:color w:val="006100"/>
              </w:rPr>
            </w:pPr>
            <w:r>
              <w:rPr>
                <w:rFonts w:ascii="Times New Roman" w:hAnsi="Times New Roman"/>
                <w:noProof/>
                <w:color w:val="006100"/>
              </w:rPr>
              <w:t>Подмярка 1: Обновяване на жилищни сгради</w:t>
            </w:r>
          </w:p>
          <w:p w14:paraId="6C0AD441" w14:textId="77777777" w:rsidR="00D21D80" w:rsidRPr="009674F2" w:rsidRDefault="00D21D80" w:rsidP="00C955DB">
            <w:pPr>
              <w:spacing w:after="0" w:line="240" w:lineRule="auto"/>
              <w:rPr>
                <w:rFonts w:ascii="Times New Roman" w:eastAsia="Times New Roman" w:hAnsi="Times New Roman" w:cs="Times New Roman"/>
                <w:noProof/>
                <w:color w:val="006100"/>
                <w:lang w:val="en-GB" w:eastAsia="en-GB"/>
              </w:rPr>
            </w:pPr>
          </w:p>
        </w:tc>
        <w:tc>
          <w:tcPr>
            <w:tcW w:w="1418" w:type="dxa"/>
            <w:tcBorders>
              <w:top w:val="nil"/>
              <w:left w:val="nil"/>
              <w:bottom w:val="single" w:sz="4" w:space="0" w:color="auto"/>
              <w:right w:val="single" w:sz="4" w:space="0" w:color="auto"/>
            </w:tcBorders>
            <w:shd w:val="clear" w:color="auto" w:fill="C6EFCE"/>
            <w:noWrap/>
          </w:tcPr>
          <w:p w14:paraId="767DB4C6"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Ключов етап</w:t>
            </w:r>
          </w:p>
        </w:tc>
        <w:tc>
          <w:tcPr>
            <w:tcW w:w="3465" w:type="dxa"/>
            <w:tcBorders>
              <w:top w:val="nil"/>
              <w:left w:val="nil"/>
              <w:bottom w:val="single" w:sz="4" w:space="0" w:color="auto"/>
              <w:right w:val="single" w:sz="4" w:space="0" w:color="auto"/>
            </w:tcBorders>
            <w:shd w:val="clear" w:color="auto" w:fill="C6EFCE"/>
            <w:noWrap/>
          </w:tcPr>
          <w:p w14:paraId="4F8D172D" w14:textId="77777777" w:rsidR="00D21D80" w:rsidRPr="009674F2" w:rsidRDefault="00D21D80" w:rsidP="00C955DB">
            <w:pPr>
              <w:spacing w:after="0" w:line="240" w:lineRule="auto"/>
              <w:rPr>
                <w:rFonts w:ascii="Times New Roman" w:eastAsia="Times New Roman" w:hAnsi="Times New Roman" w:cs="Times New Roman"/>
                <w:noProof/>
                <w:color w:val="006100"/>
              </w:rPr>
            </w:pPr>
            <w:r>
              <w:rPr>
                <w:rFonts w:ascii="Times New Roman" w:hAnsi="Times New Roman"/>
                <w:noProof/>
                <w:color w:val="006100"/>
              </w:rPr>
              <w:t>Покана за представяне на предложения за енергийно ефективно обновяване на жилищни сгради</w:t>
            </w:r>
          </w:p>
        </w:tc>
      </w:tr>
      <w:tr w:rsidR="00D21D80" w:rsidRPr="005241FC" w14:paraId="3A513D93" w14:textId="77777777" w:rsidTr="00E7285C">
        <w:trPr>
          <w:gridAfter w:val="1"/>
          <w:wAfter w:w="11" w:type="dxa"/>
          <w:trHeight w:val="302"/>
          <w:jc w:val="center"/>
        </w:trPr>
        <w:tc>
          <w:tcPr>
            <w:tcW w:w="1084" w:type="dxa"/>
            <w:tcBorders>
              <w:top w:val="nil"/>
              <w:left w:val="single" w:sz="4" w:space="0" w:color="auto"/>
              <w:bottom w:val="single" w:sz="4" w:space="0" w:color="auto"/>
              <w:right w:val="single" w:sz="4" w:space="0" w:color="auto"/>
            </w:tcBorders>
            <w:shd w:val="clear" w:color="auto" w:fill="C6EFCE"/>
            <w:noWrap/>
          </w:tcPr>
          <w:p w14:paraId="21BB132A"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72</w:t>
            </w:r>
          </w:p>
        </w:tc>
        <w:tc>
          <w:tcPr>
            <w:tcW w:w="3835" w:type="dxa"/>
            <w:tcBorders>
              <w:top w:val="nil"/>
              <w:left w:val="nil"/>
              <w:bottom w:val="single" w:sz="4" w:space="0" w:color="auto"/>
              <w:right w:val="single" w:sz="4" w:space="0" w:color="auto"/>
            </w:tcBorders>
            <w:shd w:val="clear" w:color="auto" w:fill="C6EFCE"/>
            <w:noWrap/>
          </w:tcPr>
          <w:p w14:paraId="20DAF938" w14:textId="77777777" w:rsidR="00D21D80" w:rsidRPr="009674F2" w:rsidRDefault="00D21D80" w:rsidP="00C955DB">
            <w:pPr>
              <w:spacing w:after="0" w:line="240" w:lineRule="auto"/>
              <w:rPr>
                <w:rFonts w:ascii="Times New Roman" w:hAnsi="Times New Roman" w:cs="Times New Roman"/>
                <w:noProof/>
                <w:color w:val="006100"/>
              </w:rPr>
            </w:pPr>
            <w:r>
              <w:rPr>
                <w:rFonts w:ascii="Times New Roman" w:hAnsi="Times New Roman"/>
                <w:noProof/>
                <w:color w:val="006100"/>
              </w:rPr>
              <w:t>C4I1 Подкрепа за обновяване на сградния фонд </w:t>
            </w:r>
          </w:p>
          <w:p w14:paraId="0B978D59" w14:textId="77777777" w:rsidR="00D21D80" w:rsidRPr="008A0F8A" w:rsidRDefault="00D21D80" w:rsidP="00C955DB">
            <w:pPr>
              <w:spacing w:after="0" w:line="240" w:lineRule="auto"/>
              <w:rPr>
                <w:rFonts w:ascii="Times New Roman" w:hAnsi="Times New Roman" w:cs="Times New Roman"/>
                <w:noProof/>
                <w:color w:val="006100"/>
                <w:lang w:val="ru-RU"/>
              </w:rPr>
            </w:pPr>
          </w:p>
          <w:p w14:paraId="5016450E" w14:textId="77777777" w:rsidR="00D21D80" w:rsidRPr="009674F2" w:rsidRDefault="00D21D80" w:rsidP="00C955DB">
            <w:pPr>
              <w:spacing w:after="0" w:line="240" w:lineRule="auto"/>
              <w:rPr>
                <w:rFonts w:ascii="Times New Roman" w:hAnsi="Times New Roman" w:cs="Times New Roman"/>
                <w:noProof/>
                <w:color w:val="006100"/>
              </w:rPr>
            </w:pPr>
            <w:r>
              <w:rPr>
                <w:rFonts w:ascii="Times New Roman" w:hAnsi="Times New Roman"/>
                <w:noProof/>
                <w:color w:val="006100"/>
              </w:rPr>
              <w:t>Подмярка 2: Обновяване на нежилищни сгради, включително обществени сгради</w:t>
            </w:r>
          </w:p>
          <w:p w14:paraId="01640CFF" w14:textId="77777777" w:rsidR="00D21D80" w:rsidRPr="008A0F8A" w:rsidRDefault="00D21D80" w:rsidP="00C955DB">
            <w:pPr>
              <w:spacing w:after="0" w:line="240" w:lineRule="auto"/>
              <w:rPr>
                <w:rFonts w:ascii="Times New Roman" w:hAnsi="Times New Roman" w:cs="Times New Roman"/>
                <w:noProof/>
                <w:color w:val="006100"/>
                <w:lang w:val="ru-RU"/>
              </w:rPr>
            </w:pPr>
          </w:p>
          <w:p w14:paraId="76533D1E" w14:textId="77777777" w:rsidR="00D21D80" w:rsidRPr="009674F2" w:rsidRDefault="00D21D80" w:rsidP="00C955DB">
            <w:pPr>
              <w:spacing w:after="0" w:line="240" w:lineRule="auto"/>
              <w:rPr>
                <w:rFonts w:ascii="Times New Roman" w:hAnsi="Times New Roman" w:cs="Times New Roman"/>
                <w:noProof/>
                <w:color w:val="006100"/>
              </w:rPr>
            </w:pPr>
            <w:r>
              <w:rPr>
                <w:rFonts w:ascii="Times New Roman" w:hAnsi="Times New Roman"/>
                <w:noProof/>
                <w:color w:val="006100"/>
              </w:rPr>
              <w:t xml:space="preserve">както и </w:t>
            </w:r>
          </w:p>
          <w:p w14:paraId="725CA7B9" w14:textId="77777777" w:rsidR="00D21D80" w:rsidRPr="008A0F8A" w:rsidRDefault="00D21D80" w:rsidP="00C955DB">
            <w:pPr>
              <w:spacing w:after="0" w:line="240" w:lineRule="auto"/>
              <w:rPr>
                <w:rFonts w:ascii="Times New Roman" w:hAnsi="Times New Roman" w:cs="Times New Roman"/>
                <w:noProof/>
                <w:color w:val="006100"/>
                <w:lang w:val="ru-RU"/>
              </w:rPr>
            </w:pPr>
          </w:p>
          <w:p w14:paraId="679B6B4D" w14:textId="77777777" w:rsidR="00D21D80" w:rsidRPr="009674F2" w:rsidRDefault="00D21D80" w:rsidP="00C955DB">
            <w:pPr>
              <w:spacing w:after="0" w:line="240" w:lineRule="auto"/>
              <w:rPr>
                <w:rFonts w:ascii="Times New Roman" w:hAnsi="Times New Roman" w:cs="Times New Roman"/>
                <w:noProof/>
                <w:color w:val="006100"/>
              </w:rPr>
            </w:pPr>
            <w:r>
              <w:rPr>
                <w:rFonts w:ascii="Times New Roman" w:hAnsi="Times New Roman"/>
                <w:noProof/>
                <w:color w:val="006100"/>
              </w:rPr>
              <w:t xml:space="preserve">Подмярка 3: Обновяване на нежилищни сгради в производството, търговията и услугите, както и на сгради от туристическия сектор </w:t>
            </w:r>
          </w:p>
          <w:p w14:paraId="507055FE" w14:textId="77777777" w:rsidR="00D21D80" w:rsidRPr="008A0F8A" w:rsidRDefault="00D21D80" w:rsidP="00C955DB">
            <w:pPr>
              <w:spacing w:after="0" w:line="240" w:lineRule="auto"/>
              <w:rPr>
                <w:rFonts w:ascii="Times New Roman" w:eastAsia="Times New Roman" w:hAnsi="Times New Roman" w:cs="Times New Roman"/>
                <w:noProof/>
                <w:color w:val="006100"/>
                <w:lang w:val="ru-RU" w:eastAsia="en-GB"/>
              </w:rPr>
            </w:pPr>
          </w:p>
        </w:tc>
        <w:tc>
          <w:tcPr>
            <w:tcW w:w="1418" w:type="dxa"/>
            <w:tcBorders>
              <w:top w:val="nil"/>
              <w:left w:val="nil"/>
              <w:bottom w:val="single" w:sz="4" w:space="0" w:color="auto"/>
              <w:right w:val="single" w:sz="4" w:space="0" w:color="auto"/>
            </w:tcBorders>
            <w:shd w:val="clear" w:color="auto" w:fill="C6EFCE"/>
            <w:noWrap/>
          </w:tcPr>
          <w:p w14:paraId="009FD622"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Ключов етап</w:t>
            </w:r>
          </w:p>
        </w:tc>
        <w:tc>
          <w:tcPr>
            <w:tcW w:w="3465" w:type="dxa"/>
            <w:tcBorders>
              <w:top w:val="nil"/>
              <w:left w:val="nil"/>
              <w:bottom w:val="single" w:sz="4" w:space="0" w:color="auto"/>
              <w:right w:val="single" w:sz="4" w:space="0" w:color="auto"/>
            </w:tcBorders>
            <w:shd w:val="clear" w:color="auto" w:fill="C6EFCE"/>
            <w:noWrap/>
          </w:tcPr>
          <w:p w14:paraId="0EE67633" w14:textId="77777777" w:rsidR="00D21D80" w:rsidRPr="009674F2" w:rsidRDefault="00D21D80" w:rsidP="00C955DB">
            <w:pPr>
              <w:spacing w:after="0" w:line="240" w:lineRule="auto"/>
              <w:rPr>
                <w:rFonts w:ascii="Times New Roman" w:eastAsia="Times New Roman" w:hAnsi="Times New Roman" w:cs="Times New Roman"/>
                <w:noProof/>
                <w:color w:val="006100"/>
              </w:rPr>
            </w:pPr>
            <w:r>
              <w:rPr>
                <w:rFonts w:ascii="Times New Roman" w:hAnsi="Times New Roman"/>
                <w:noProof/>
                <w:color w:val="006100"/>
              </w:rPr>
              <w:t>Покани за представяне на предложения за енергийно ефективно обновяване на нежилищни сгради</w:t>
            </w:r>
          </w:p>
        </w:tc>
      </w:tr>
      <w:tr w:rsidR="00D21D80" w:rsidRPr="005241FC" w14:paraId="3F5160B9" w14:textId="77777777" w:rsidTr="00E7285C">
        <w:trPr>
          <w:gridAfter w:val="1"/>
          <w:wAfter w:w="11" w:type="dxa"/>
          <w:trHeight w:val="302"/>
          <w:jc w:val="center"/>
        </w:trPr>
        <w:tc>
          <w:tcPr>
            <w:tcW w:w="1084" w:type="dxa"/>
            <w:tcBorders>
              <w:top w:val="nil"/>
              <w:left w:val="single" w:sz="4" w:space="0" w:color="auto"/>
              <w:bottom w:val="single" w:sz="4" w:space="0" w:color="auto"/>
              <w:right w:val="single" w:sz="4" w:space="0" w:color="auto"/>
            </w:tcBorders>
            <w:shd w:val="clear" w:color="auto" w:fill="C6EFCE"/>
            <w:noWrap/>
          </w:tcPr>
          <w:p w14:paraId="59B3F479" w14:textId="77777777" w:rsidR="00D21D80" w:rsidRPr="009674F2" w:rsidRDefault="00D21D80" w:rsidP="00C955DB">
            <w:pPr>
              <w:spacing w:after="0" w:line="240" w:lineRule="auto"/>
              <w:jc w:val="center"/>
              <w:rPr>
                <w:rFonts w:ascii="Times New Roman" w:hAnsi="Times New Roman" w:cs="Times New Roman"/>
                <w:noProof/>
                <w:color w:val="006100"/>
              </w:rPr>
            </w:pPr>
            <w:r>
              <w:rPr>
                <w:rFonts w:ascii="Times New Roman" w:hAnsi="Times New Roman"/>
                <w:noProof/>
                <w:color w:val="006100"/>
              </w:rPr>
              <w:t>82</w:t>
            </w:r>
          </w:p>
        </w:tc>
        <w:tc>
          <w:tcPr>
            <w:tcW w:w="3835" w:type="dxa"/>
            <w:tcBorders>
              <w:top w:val="nil"/>
              <w:left w:val="nil"/>
              <w:bottom w:val="single" w:sz="4" w:space="0" w:color="auto"/>
              <w:right w:val="single" w:sz="4" w:space="0" w:color="auto"/>
            </w:tcBorders>
            <w:shd w:val="clear" w:color="auto" w:fill="C6EFCE"/>
            <w:noWrap/>
          </w:tcPr>
          <w:p w14:paraId="67B6B3CD" w14:textId="77777777" w:rsidR="00D21D80" w:rsidRPr="009674F2" w:rsidRDefault="00D21D80" w:rsidP="00C955DB">
            <w:pPr>
              <w:spacing w:after="0" w:line="240" w:lineRule="auto"/>
              <w:rPr>
                <w:rFonts w:ascii="Times New Roman" w:hAnsi="Times New Roman" w:cs="Times New Roman"/>
                <w:noProof/>
                <w:color w:val="006100"/>
              </w:rPr>
            </w:pPr>
            <w:r>
              <w:rPr>
                <w:rFonts w:ascii="Times New Roman" w:hAnsi="Times New Roman"/>
                <w:noProof/>
                <w:color w:val="006100"/>
              </w:rPr>
              <w:t>C4R4 Насърчаване на проекти за енергийна ефективност и енергия от възобновяеми източници чрез сметките за енергия</w:t>
            </w:r>
          </w:p>
        </w:tc>
        <w:tc>
          <w:tcPr>
            <w:tcW w:w="1418" w:type="dxa"/>
            <w:tcBorders>
              <w:top w:val="nil"/>
              <w:left w:val="nil"/>
              <w:bottom w:val="single" w:sz="4" w:space="0" w:color="auto"/>
              <w:right w:val="single" w:sz="4" w:space="0" w:color="auto"/>
            </w:tcBorders>
            <w:shd w:val="clear" w:color="auto" w:fill="C6EFCE"/>
            <w:noWrap/>
          </w:tcPr>
          <w:p w14:paraId="671CA440" w14:textId="77777777" w:rsidR="00D21D80" w:rsidRPr="009674F2" w:rsidRDefault="00D21D80" w:rsidP="00C955DB">
            <w:pPr>
              <w:spacing w:after="0" w:line="240" w:lineRule="auto"/>
              <w:jc w:val="center"/>
              <w:rPr>
                <w:rFonts w:ascii="Times New Roman" w:hAnsi="Times New Roman" w:cs="Times New Roman"/>
                <w:noProof/>
                <w:color w:val="006100"/>
              </w:rPr>
            </w:pPr>
            <w:r>
              <w:rPr>
                <w:rFonts w:ascii="Times New Roman" w:hAnsi="Times New Roman"/>
                <w:noProof/>
                <w:color w:val="006100"/>
              </w:rPr>
              <w:t>Ключов етап</w:t>
            </w:r>
          </w:p>
        </w:tc>
        <w:tc>
          <w:tcPr>
            <w:tcW w:w="3465" w:type="dxa"/>
            <w:tcBorders>
              <w:top w:val="nil"/>
              <w:left w:val="nil"/>
              <w:bottom w:val="single" w:sz="4" w:space="0" w:color="auto"/>
              <w:right w:val="single" w:sz="4" w:space="0" w:color="auto"/>
            </w:tcBorders>
            <w:shd w:val="clear" w:color="auto" w:fill="C6EFCE"/>
            <w:noWrap/>
          </w:tcPr>
          <w:p w14:paraId="50D610DA" w14:textId="77777777" w:rsidR="00D21D80" w:rsidRPr="009674F2" w:rsidRDefault="00D21D80" w:rsidP="00C955DB">
            <w:pPr>
              <w:spacing w:after="0" w:line="240" w:lineRule="auto"/>
              <w:rPr>
                <w:rFonts w:ascii="Times New Roman" w:hAnsi="Times New Roman" w:cs="Times New Roman"/>
                <w:noProof/>
                <w:color w:val="006100"/>
              </w:rPr>
            </w:pPr>
            <w:r>
              <w:rPr>
                <w:rFonts w:ascii="Times New Roman" w:hAnsi="Times New Roman"/>
                <w:noProof/>
                <w:color w:val="006100"/>
              </w:rPr>
              <w:t>Влизане в сила на измененията в Закона за енергетиката и подзаконовите актове, за да се даде възможност за подобряване на енергийната ефективност и за проекти за енергия от възобновяеми източници по модела на дружествата за енергийни услуги (ESCO).</w:t>
            </w:r>
          </w:p>
        </w:tc>
      </w:tr>
      <w:tr w:rsidR="00D21D80" w:rsidRPr="005241FC" w14:paraId="69890FBD" w14:textId="77777777" w:rsidTr="00E7285C">
        <w:trPr>
          <w:gridAfter w:val="1"/>
          <w:wAfter w:w="11" w:type="dxa"/>
          <w:trHeight w:val="302"/>
          <w:jc w:val="center"/>
        </w:trPr>
        <w:tc>
          <w:tcPr>
            <w:tcW w:w="1084" w:type="dxa"/>
            <w:tcBorders>
              <w:top w:val="nil"/>
              <w:left w:val="single" w:sz="4" w:space="0" w:color="auto"/>
              <w:bottom w:val="single" w:sz="4" w:space="0" w:color="auto"/>
              <w:right w:val="single" w:sz="4" w:space="0" w:color="auto"/>
            </w:tcBorders>
            <w:shd w:val="clear" w:color="auto" w:fill="C6EFCE"/>
            <w:noWrap/>
          </w:tcPr>
          <w:p w14:paraId="2FF877C5"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85</w:t>
            </w:r>
          </w:p>
        </w:tc>
        <w:tc>
          <w:tcPr>
            <w:tcW w:w="3835" w:type="dxa"/>
            <w:tcBorders>
              <w:top w:val="nil"/>
              <w:left w:val="nil"/>
              <w:bottom w:val="single" w:sz="4" w:space="0" w:color="auto"/>
              <w:right w:val="single" w:sz="4" w:space="0" w:color="auto"/>
            </w:tcBorders>
            <w:shd w:val="clear" w:color="auto" w:fill="C6EFCE"/>
            <w:noWrap/>
          </w:tcPr>
          <w:p w14:paraId="6A177CE2" w14:textId="77777777" w:rsidR="00D21D80" w:rsidRPr="009674F2" w:rsidRDefault="00D21D80" w:rsidP="00C955DB">
            <w:pPr>
              <w:spacing w:after="0" w:line="240" w:lineRule="auto"/>
              <w:rPr>
                <w:rFonts w:ascii="Times New Roman" w:hAnsi="Times New Roman" w:cs="Times New Roman"/>
                <w:noProof/>
                <w:color w:val="006100"/>
              </w:rPr>
            </w:pPr>
            <w:r>
              <w:rPr>
                <w:rFonts w:ascii="Times New Roman" w:hAnsi="Times New Roman"/>
                <w:noProof/>
                <w:color w:val="006100"/>
              </w:rPr>
              <w:t>C4I4 Цифрова трансформация на електропреносната мрежа</w:t>
            </w:r>
          </w:p>
        </w:tc>
        <w:tc>
          <w:tcPr>
            <w:tcW w:w="1418" w:type="dxa"/>
            <w:tcBorders>
              <w:top w:val="nil"/>
              <w:left w:val="nil"/>
              <w:bottom w:val="single" w:sz="4" w:space="0" w:color="auto"/>
              <w:right w:val="single" w:sz="4" w:space="0" w:color="auto"/>
            </w:tcBorders>
            <w:shd w:val="clear" w:color="auto" w:fill="C6EFCE"/>
            <w:noWrap/>
          </w:tcPr>
          <w:p w14:paraId="221ECC69" w14:textId="77777777" w:rsidR="00D21D80" w:rsidRPr="009674F2" w:rsidRDefault="00D21D80" w:rsidP="00C955DB">
            <w:pPr>
              <w:spacing w:after="0" w:line="240" w:lineRule="auto"/>
              <w:jc w:val="center"/>
              <w:rPr>
                <w:rFonts w:ascii="Times New Roman" w:hAnsi="Times New Roman" w:cs="Times New Roman"/>
                <w:noProof/>
                <w:color w:val="006100"/>
              </w:rPr>
            </w:pPr>
            <w:r>
              <w:rPr>
                <w:rFonts w:ascii="Times New Roman" w:hAnsi="Times New Roman"/>
                <w:noProof/>
                <w:color w:val="006100"/>
              </w:rPr>
              <w:t>Ключов етап</w:t>
            </w:r>
          </w:p>
        </w:tc>
        <w:tc>
          <w:tcPr>
            <w:tcW w:w="3465" w:type="dxa"/>
            <w:tcBorders>
              <w:top w:val="nil"/>
              <w:left w:val="nil"/>
              <w:bottom w:val="single" w:sz="4" w:space="0" w:color="auto"/>
              <w:right w:val="single" w:sz="4" w:space="0" w:color="auto"/>
            </w:tcBorders>
            <w:shd w:val="clear" w:color="auto" w:fill="C6EFCE"/>
            <w:noWrap/>
          </w:tcPr>
          <w:p w14:paraId="1294979D" w14:textId="77777777" w:rsidR="00D21D80" w:rsidRPr="009674F2" w:rsidRDefault="00D21D80" w:rsidP="00C955DB">
            <w:pPr>
              <w:spacing w:after="0" w:line="240" w:lineRule="auto"/>
              <w:rPr>
                <w:rFonts w:ascii="Times New Roman" w:hAnsi="Times New Roman" w:cs="Times New Roman"/>
                <w:noProof/>
                <w:color w:val="006100"/>
              </w:rPr>
            </w:pPr>
            <w:r>
              <w:rPr>
                <w:rFonts w:ascii="Times New Roman" w:hAnsi="Times New Roman"/>
                <w:noProof/>
                <w:color w:val="006100"/>
              </w:rPr>
              <w:t xml:space="preserve">Сключване на договори за модернизация и цифровизация на националните преносни системи </w:t>
            </w:r>
          </w:p>
        </w:tc>
      </w:tr>
      <w:tr w:rsidR="00D21D80" w:rsidRPr="005241FC" w14:paraId="5858F37C" w14:textId="77777777" w:rsidTr="00E7285C">
        <w:trPr>
          <w:gridAfter w:val="1"/>
          <w:wAfter w:w="11" w:type="dxa"/>
          <w:trHeight w:val="302"/>
          <w:jc w:val="center"/>
        </w:trPr>
        <w:tc>
          <w:tcPr>
            <w:tcW w:w="1084" w:type="dxa"/>
            <w:tcBorders>
              <w:top w:val="nil"/>
              <w:left w:val="single" w:sz="4" w:space="0" w:color="auto"/>
              <w:bottom w:val="single" w:sz="4" w:space="0" w:color="auto"/>
              <w:right w:val="single" w:sz="4" w:space="0" w:color="auto"/>
            </w:tcBorders>
            <w:shd w:val="clear" w:color="auto" w:fill="C6EFCE"/>
            <w:noWrap/>
          </w:tcPr>
          <w:p w14:paraId="4A2DBE38"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79</w:t>
            </w:r>
          </w:p>
        </w:tc>
        <w:tc>
          <w:tcPr>
            <w:tcW w:w="3835" w:type="dxa"/>
            <w:tcBorders>
              <w:top w:val="nil"/>
              <w:left w:val="nil"/>
              <w:bottom w:val="single" w:sz="4" w:space="0" w:color="auto"/>
              <w:right w:val="single" w:sz="4" w:space="0" w:color="auto"/>
            </w:tcBorders>
            <w:shd w:val="clear" w:color="auto" w:fill="C6EFCE"/>
            <w:noWrap/>
          </w:tcPr>
          <w:p w14:paraId="57E74E26" w14:textId="77777777" w:rsidR="00D21D80" w:rsidRPr="009674F2" w:rsidRDefault="00D21D80" w:rsidP="00C955DB">
            <w:pPr>
              <w:spacing w:after="0" w:line="240" w:lineRule="auto"/>
              <w:rPr>
                <w:rFonts w:ascii="Times New Roman" w:hAnsi="Times New Roman" w:cs="Times New Roman"/>
                <w:noProof/>
                <w:color w:val="006100"/>
              </w:rPr>
            </w:pPr>
            <w:r>
              <w:rPr>
                <w:rFonts w:ascii="Times New Roman" w:hAnsi="Times New Roman"/>
                <w:noProof/>
                <w:color w:val="006100"/>
              </w:rPr>
              <w:t>C4I3 Подкрепа за енергийно ефективни системи за улично осветление</w:t>
            </w:r>
          </w:p>
        </w:tc>
        <w:tc>
          <w:tcPr>
            <w:tcW w:w="1418" w:type="dxa"/>
            <w:tcBorders>
              <w:top w:val="nil"/>
              <w:left w:val="nil"/>
              <w:bottom w:val="single" w:sz="4" w:space="0" w:color="auto"/>
              <w:right w:val="single" w:sz="4" w:space="0" w:color="auto"/>
            </w:tcBorders>
            <w:shd w:val="clear" w:color="auto" w:fill="C6EFCE"/>
            <w:noWrap/>
          </w:tcPr>
          <w:p w14:paraId="5FADDF8B" w14:textId="77777777" w:rsidR="00D21D80" w:rsidRPr="009674F2" w:rsidRDefault="00D21D80" w:rsidP="00C955DB">
            <w:pPr>
              <w:spacing w:after="0" w:line="240" w:lineRule="auto"/>
              <w:jc w:val="center"/>
              <w:rPr>
                <w:rFonts w:ascii="Times New Roman" w:hAnsi="Times New Roman" w:cs="Times New Roman"/>
                <w:noProof/>
                <w:color w:val="006100"/>
              </w:rPr>
            </w:pPr>
            <w:r>
              <w:rPr>
                <w:rFonts w:ascii="Times New Roman" w:hAnsi="Times New Roman"/>
                <w:noProof/>
                <w:color w:val="006100"/>
              </w:rPr>
              <w:t>Ключов етап</w:t>
            </w:r>
          </w:p>
        </w:tc>
        <w:tc>
          <w:tcPr>
            <w:tcW w:w="3465" w:type="dxa"/>
            <w:tcBorders>
              <w:top w:val="nil"/>
              <w:left w:val="nil"/>
              <w:bottom w:val="single" w:sz="4" w:space="0" w:color="auto"/>
              <w:right w:val="single" w:sz="4" w:space="0" w:color="auto"/>
            </w:tcBorders>
            <w:shd w:val="clear" w:color="auto" w:fill="C6EFCE"/>
            <w:noWrap/>
          </w:tcPr>
          <w:p w14:paraId="2C65CC3C" w14:textId="77777777" w:rsidR="00D21D80" w:rsidRPr="009674F2" w:rsidRDefault="00D21D80" w:rsidP="00C955DB">
            <w:pPr>
              <w:spacing w:after="0"/>
              <w:rPr>
                <w:rFonts w:ascii="Times New Roman" w:hAnsi="Times New Roman" w:cs="Times New Roman"/>
                <w:noProof/>
                <w:color w:val="006100"/>
              </w:rPr>
            </w:pPr>
            <w:r>
              <w:rPr>
                <w:rFonts w:ascii="Times New Roman" w:hAnsi="Times New Roman"/>
                <w:noProof/>
                <w:color w:val="006100"/>
              </w:rPr>
              <w:t>Сключване на договори за отпускане на безвъзмездни средства за обновяване на обществените осветителни системи (покана 1)</w:t>
            </w:r>
          </w:p>
        </w:tc>
      </w:tr>
      <w:tr w:rsidR="00D21D80" w:rsidRPr="005241FC" w14:paraId="65A470E9" w14:textId="77777777" w:rsidTr="00E7285C">
        <w:trPr>
          <w:gridAfter w:val="1"/>
          <w:wAfter w:w="11" w:type="dxa"/>
          <w:trHeight w:val="302"/>
          <w:jc w:val="center"/>
        </w:trPr>
        <w:tc>
          <w:tcPr>
            <w:tcW w:w="1084" w:type="dxa"/>
            <w:tcBorders>
              <w:top w:val="nil"/>
              <w:left w:val="single" w:sz="4" w:space="0" w:color="auto"/>
              <w:bottom w:val="single" w:sz="4" w:space="0" w:color="auto"/>
              <w:right w:val="single" w:sz="4" w:space="0" w:color="auto"/>
            </w:tcBorders>
            <w:shd w:val="clear" w:color="auto" w:fill="C6EFCE"/>
            <w:noWrap/>
          </w:tcPr>
          <w:p w14:paraId="6781C625"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29</w:t>
            </w:r>
          </w:p>
        </w:tc>
        <w:tc>
          <w:tcPr>
            <w:tcW w:w="3835" w:type="dxa"/>
            <w:tcBorders>
              <w:top w:val="nil"/>
              <w:left w:val="nil"/>
              <w:bottom w:val="single" w:sz="4" w:space="0" w:color="auto"/>
              <w:right w:val="single" w:sz="4" w:space="0" w:color="auto"/>
            </w:tcBorders>
            <w:shd w:val="clear" w:color="auto" w:fill="C6EFCE"/>
            <w:noWrap/>
          </w:tcPr>
          <w:p w14:paraId="789B5B12" w14:textId="77777777" w:rsidR="00D21D80" w:rsidRPr="003F2934" w:rsidRDefault="00D21D80" w:rsidP="00C955DB">
            <w:pPr>
              <w:spacing w:after="0" w:line="240" w:lineRule="auto"/>
              <w:rPr>
                <w:rFonts w:ascii="Times New Roman" w:hAnsi="Times New Roman" w:cs="Times New Roman"/>
                <w:noProof/>
                <w:color w:val="006100"/>
              </w:rPr>
            </w:pPr>
            <w:r>
              <w:rPr>
                <w:rFonts w:ascii="Times New Roman" w:hAnsi="Times New Roman"/>
                <w:noProof/>
                <w:color w:val="006100"/>
              </w:rPr>
              <w:t>C2I1 Програма за ускоряване на икономическото възстановяване и трансформация чрез научни изследвания и иновации</w:t>
            </w:r>
          </w:p>
        </w:tc>
        <w:tc>
          <w:tcPr>
            <w:tcW w:w="1418" w:type="dxa"/>
            <w:tcBorders>
              <w:top w:val="nil"/>
              <w:left w:val="nil"/>
              <w:bottom w:val="single" w:sz="4" w:space="0" w:color="auto"/>
              <w:right w:val="single" w:sz="4" w:space="0" w:color="auto"/>
            </w:tcBorders>
            <w:shd w:val="clear" w:color="auto" w:fill="C6EFCE"/>
            <w:noWrap/>
          </w:tcPr>
          <w:p w14:paraId="7B01B560" w14:textId="77777777" w:rsidR="00D21D80" w:rsidRPr="003F2934" w:rsidRDefault="00D21D80" w:rsidP="00C955DB">
            <w:pPr>
              <w:spacing w:after="0" w:line="240" w:lineRule="auto"/>
              <w:jc w:val="center"/>
              <w:rPr>
                <w:rFonts w:ascii="Times New Roman" w:hAnsi="Times New Roman" w:cs="Times New Roman"/>
                <w:noProof/>
                <w:color w:val="006100"/>
              </w:rPr>
            </w:pPr>
            <w:r>
              <w:rPr>
                <w:rFonts w:ascii="Times New Roman" w:hAnsi="Times New Roman"/>
                <w:noProof/>
                <w:color w:val="006100"/>
              </w:rPr>
              <w:t xml:space="preserve">Цел </w:t>
            </w:r>
          </w:p>
        </w:tc>
        <w:tc>
          <w:tcPr>
            <w:tcW w:w="3465" w:type="dxa"/>
            <w:tcBorders>
              <w:top w:val="nil"/>
              <w:left w:val="nil"/>
              <w:bottom w:val="single" w:sz="4" w:space="0" w:color="auto"/>
              <w:right w:val="single" w:sz="4" w:space="0" w:color="auto"/>
            </w:tcBorders>
            <w:shd w:val="clear" w:color="auto" w:fill="C6EFCE"/>
            <w:noWrap/>
          </w:tcPr>
          <w:p w14:paraId="0B981D30" w14:textId="77777777" w:rsidR="00D21D80" w:rsidRPr="003F2934" w:rsidRDefault="00D21D80" w:rsidP="00C955DB">
            <w:pPr>
              <w:spacing w:after="0"/>
              <w:rPr>
                <w:rFonts w:ascii="Times New Roman" w:hAnsi="Times New Roman" w:cs="Times New Roman"/>
                <w:noProof/>
                <w:color w:val="006100"/>
              </w:rPr>
            </w:pPr>
            <w:r>
              <w:rPr>
                <w:rFonts w:ascii="Times New Roman" w:hAnsi="Times New Roman"/>
                <w:noProof/>
                <w:color w:val="006100"/>
              </w:rPr>
              <w:t xml:space="preserve">Сключване на договори с научноизследователски висши учебни заведения </w:t>
            </w:r>
          </w:p>
        </w:tc>
      </w:tr>
      <w:tr w:rsidR="00D21D80" w:rsidRPr="005241FC" w14:paraId="034C3A8F" w14:textId="77777777" w:rsidTr="00E7285C">
        <w:trPr>
          <w:gridAfter w:val="1"/>
          <w:wAfter w:w="11" w:type="dxa"/>
          <w:trHeight w:val="302"/>
          <w:jc w:val="center"/>
        </w:trPr>
        <w:tc>
          <w:tcPr>
            <w:tcW w:w="1084" w:type="dxa"/>
            <w:tcBorders>
              <w:top w:val="nil"/>
              <w:left w:val="single" w:sz="4" w:space="0" w:color="auto"/>
              <w:bottom w:val="single" w:sz="4" w:space="0" w:color="auto"/>
              <w:right w:val="single" w:sz="4" w:space="0" w:color="auto"/>
            </w:tcBorders>
            <w:shd w:val="clear" w:color="auto" w:fill="C6EFCE"/>
            <w:noWrap/>
          </w:tcPr>
          <w:p w14:paraId="708C7681"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98</w:t>
            </w:r>
          </w:p>
        </w:tc>
        <w:tc>
          <w:tcPr>
            <w:tcW w:w="3835" w:type="dxa"/>
            <w:tcBorders>
              <w:top w:val="nil"/>
              <w:left w:val="nil"/>
              <w:bottom w:val="single" w:sz="4" w:space="0" w:color="auto"/>
              <w:right w:val="single" w:sz="4" w:space="0" w:color="auto"/>
            </w:tcBorders>
            <w:shd w:val="clear" w:color="auto" w:fill="C6EFCE"/>
            <w:noWrap/>
          </w:tcPr>
          <w:p w14:paraId="57AB273A" w14:textId="77777777" w:rsidR="00D21D80" w:rsidRPr="009674F2" w:rsidRDefault="00D21D80" w:rsidP="00C955DB">
            <w:pPr>
              <w:spacing w:after="0" w:line="240" w:lineRule="auto"/>
              <w:rPr>
                <w:rFonts w:ascii="Times New Roman" w:hAnsi="Times New Roman" w:cs="Times New Roman"/>
                <w:noProof/>
                <w:color w:val="006100"/>
                <w:highlight w:val="yellow"/>
              </w:rPr>
            </w:pPr>
            <w:r>
              <w:rPr>
                <w:rFonts w:ascii="Times New Roman" w:hAnsi="Times New Roman"/>
                <w:noProof/>
                <w:color w:val="006100"/>
              </w:rPr>
              <w:t>C4I6 Подкрепа за нови мощности за производство на електроенергия от възобновяеми източници и съхранение на електроенергия</w:t>
            </w:r>
          </w:p>
        </w:tc>
        <w:tc>
          <w:tcPr>
            <w:tcW w:w="1418" w:type="dxa"/>
            <w:tcBorders>
              <w:top w:val="nil"/>
              <w:left w:val="nil"/>
              <w:bottom w:val="single" w:sz="4" w:space="0" w:color="auto"/>
              <w:right w:val="single" w:sz="4" w:space="0" w:color="auto"/>
            </w:tcBorders>
            <w:shd w:val="clear" w:color="auto" w:fill="C6EFCE"/>
            <w:noWrap/>
          </w:tcPr>
          <w:p w14:paraId="5C0CB95B" w14:textId="77777777" w:rsidR="00D21D80" w:rsidRPr="009674F2" w:rsidRDefault="00D21D80" w:rsidP="00C955DB">
            <w:pPr>
              <w:spacing w:after="0" w:line="240" w:lineRule="auto"/>
              <w:jc w:val="center"/>
              <w:rPr>
                <w:rFonts w:ascii="Times New Roman" w:hAnsi="Times New Roman" w:cs="Times New Roman"/>
                <w:noProof/>
                <w:color w:val="006100"/>
              </w:rPr>
            </w:pPr>
            <w:r>
              <w:rPr>
                <w:rFonts w:ascii="Times New Roman" w:hAnsi="Times New Roman"/>
                <w:noProof/>
                <w:color w:val="006100"/>
              </w:rPr>
              <w:t>Ключов етап</w:t>
            </w:r>
          </w:p>
        </w:tc>
        <w:tc>
          <w:tcPr>
            <w:tcW w:w="3465" w:type="dxa"/>
            <w:tcBorders>
              <w:top w:val="nil"/>
              <w:left w:val="nil"/>
              <w:bottom w:val="single" w:sz="4" w:space="0" w:color="auto"/>
              <w:right w:val="single" w:sz="4" w:space="0" w:color="auto"/>
            </w:tcBorders>
            <w:shd w:val="clear" w:color="auto" w:fill="C6EFCE"/>
            <w:noWrap/>
          </w:tcPr>
          <w:p w14:paraId="6F2FB75D" w14:textId="77777777" w:rsidR="00D21D80" w:rsidRPr="009674F2" w:rsidRDefault="00D21D80" w:rsidP="00C955DB">
            <w:pPr>
              <w:spacing w:after="0"/>
              <w:rPr>
                <w:rFonts w:ascii="Times New Roman" w:hAnsi="Times New Roman" w:cs="Times New Roman"/>
                <w:noProof/>
                <w:color w:val="006100"/>
              </w:rPr>
            </w:pPr>
            <w:r>
              <w:rPr>
                <w:rFonts w:ascii="Times New Roman" w:hAnsi="Times New Roman"/>
                <w:noProof/>
                <w:color w:val="006100"/>
              </w:rPr>
              <w:t>Обявяване на търг за изграждане на капацитет от 285 MW за производство на електроенергия от възобновяеми източници (вятърна и слънчева енергия)</w:t>
            </w:r>
          </w:p>
          <w:p w14:paraId="149A6CCA" w14:textId="77777777" w:rsidR="00D21D80" w:rsidRPr="009674F2" w:rsidRDefault="00D21D80" w:rsidP="00C955DB">
            <w:pPr>
              <w:spacing w:after="0" w:line="240" w:lineRule="auto"/>
              <w:rPr>
                <w:rFonts w:ascii="Times New Roman" w:hAnsi="Times New Roman" w:cs="Times New Roman"/>
                <w:noProof/>
                <w:color w:val="006100"/>
              </w:rPr>
            </w:pPr>
            <w:r>
              <w:rPr>
                <w:rFonts w:ascii="Times New Roman" w:hAnsi="Times New Roman"/>
                <w:noProof/>
                <w:color w:val="006100"/>
              </w:rPr>
              <w:t>разположени съвместно със системи за акумулиране на енергия</w:t>
            </w:r>
          </w:p>
        </w:tc>
      </w:tr>
      <w:tr w:rsidR="00D21D80" w:rsidRPr="00F41C75" w14:paraId="680F4DFF" w14:textId="77777777" w:rsidTr="00E7285C">
        <w:trPr>
          <w:gridAfter w:val="1"/>
          <w:wAfter w:w="11" w:type="dxa"/>
          <w:trHeight w:val="302"/>
          <w:jc w:val="center"/>
        </w:trPr>
        <w:tc>
          <w:tcPr>
            <w:tcW w:w="1084" w:type="dxa"/>
            <w:tcBorders>
              <w:top w:val="nil"/>
              <w:left w:val="single" w:sz="4" w:space="0" w:color="auto"/>
              <w:bottom w:val="single" w:sz="4" w:space="0" w:color="auto"/>
              <w:right w:val="single" w:sz="4" w:space="0" w:color="auto"/>
            </w:tcBorders>
            <w:shd w:val="clear" w:color="auto" w:fill="C6EFCE"/>
            <w:noWrap/>
          </w:tcPr>
          <w:p w14:paraId="1E6F23C4"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92</w:t>
            </w:r>
          </w:p>
        </w:tc>
        <w:tc>
          <w:tcPr>
            <w:tcW w:w="3835" w:type="dxa"/>
            <w:tcBorders>
              <w:top w:val="nil"/>
              <w:left w:val="nil"/>
              <w:bottom w:val="single" w:sz="4" w:space="0" w:color="auto"/>
              <w:right w:val="single" w:sz="4" w:space="0" w:color="auto"/>
            </w:tcBorders>
            <w:shd w:val="clear" w:color="auto" w:fill="C6EFCE"/>
            <w:noWrap/>
          </w:tcPr>
          <w:p w14:paraId="28BBE94D" w14:textId="77777777" w:rsidR="00D21D80" w:rsidRPr="009674F2" w:rsidRDefault="00D21D80" w:rsidP="00C955DB">
            <w:pPr>
              <w:spacing w:after="0" w:line="240" w:lineRule="auto"/>
              <w:rPr>
                <w:rFonts w:ascii="Times New Roman" w:hAnsi="Times New Roman" w:cs="Times New Roman"/>
                <w:noProof/>
                <w:color w:val="006100"/>
              </w:rPr>
            </w:pPr>
            <w:r>
              <w:rPr>
                <w:rFonts w:ascii="Times New Roman" w:hAnsi="Times New Roman"/>
                <w:noProof/>
                <w:color w:val="006100"/>
              </w:rPr>
              <w:t>C4R8 Либерализация на пазара на електроенергия</w:t>
            </w:r>
          </w:p>
        </w:tc>
        <w:tc>
          <w:tcPr>
            <w:tcW w:w="1418" w:type="dxa"/>
            <w:tcBorders>
              <w:top w:val="nil"/>
              <w:left w:val="nil"/>
              <w:bottom w:val="single" w:sz="4" w:space="0" w:color="auto"/>
              <w:right w:val="single" w:sz="4" w:space="0" w:color="auto"/>
            </w:tcBorders>
            <w:shd w:val="clear" w:color="auto" w:fill="C6EFCE"/>
            <w:noWrap/>
          </w:tcPr>
          <w:p w14:paraId="4BF20A4F" w14:textId="77777777" w:rsidR="00D21D80" w:rsidRPr="009674F2" w:rsidRDefault="00D21D80" w:rsidP="00C955DB">
            <w:pPr>
              <w:spacing w:after="0" w:line="240" w:lineRule="auto"/>
              <w:jc w:val="center"/>
              <w:rPr>
                <w:rFonts w:ascii="Times New Roman" w:hAnsi="Times New Roman" w:cs="Times New Roman"/>
                <w:noProof/>
                <w:color w:val="006100"/>
              </w:rPr>
            </w:pPr>
            <w:r>
              <w:rPr>
                <w:rFonts w:ascii="Times New Roman" w:hAnsi="Times New Roman"/>
                <w:noProof/>
                <w:color w:val="006100"/>
              </w:rPr>
              <w:t>Ключов етап</w:t>
            </w:r>
          </w:p>
        </w:tc>
        <w:tc>
          <w:tcPr>
            <w:tcW w:w="3465" w:type="dxa"/>
            <w:tcBorders>
              <w:top w:val="nil"/>
              <w:left w:val="nil"/>
              <w:bottom w:val="single" w:sz="4" w:space="0" w:color="auto"/>
              <w:right w:val="single" w:sz="4" w:space="0" w:color="auto"/>
            </w:tcBorders>
            <w:shd w:val="clear" w:color="auto" w:fill="C6EFCE"/>
            <w:noWrap/>
          </w:tcPr>
          <w:p w14:paraId="1F8262A6" w14:textId="77777777" w:rsidR="00D21D80" w:rsidRPr="009674F2" w:rsidRDefault="00D21D80" w:rsidP="00C955DB">
            <w:pPr>
              <w:spacing w:after="0" w:line="240" w:lineRule="auto"/>
              <w:jc w:val="both"/>
              <w:rPr>
                <w:rFonts w:ascii="Times New Roman" w:hAnsi="Times New Roman" w:cs="Times New Roman"/>
                <w:noProof/>
                <w:color w:val="006100"/>
              </w:rPr>
            </w:pPr>
            <w:r>
              <w:rPr>
                <w:rFonts w:ascii="Times New Roman" w:hAnsi="Times New Roman"/>
                <w:noProof/>
                <w:color w:val="006100"/>
              </w:rPr>
              <w:t>Интеграция на пазара на електроенергия</w:t>
            </w:r>
          </w:p>
        </w:tc>
      </w:tr>
      <w:tr w:rsidR="00D21D80" w:rsidRPr="005241FC" w14:paraId="5ABC98EE" w14:textId="77777777" w:rsidTr="00E7285C">
        <w:trPr>
          <w:gridAfter w:val="1"/>
          <w:wAfter w:w="11" w:type="dxa"/>
          <w:trHeight w:val="302"/>
          <w:jc w:val="center"/>
        </w:trPr>
        <w:tc>
          <w:tcPr>
            <w:tcW w:w="1084" w:type="dxa"/>
            <w:tcBorders>
              <w:top w:val="nil"/>
              <w:left w:val="single" w:sz="4" w:space="0" w:color="auto"/>
              <w:bottom w:val="single" w:sz="4" w:space="0" w:color="auto"/>
              <w:right w:val="single" w:sz="4" w:space="0" w:color="auto"/>
            </w:tcBorders>
            <w:shd w:val="clear" w:color="auto" w:fill="C6EFCE"/>
            <w:noWrap/>
          </w:tcPr>
          <w:p w14:paraId="2E302BB8"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83</w:t>
            </w:r>
          </w:p>
        </w:tc>
        <w:tc>
          <w:tcPr>
            <w:tcW w:w="3835" w:type="dxa"/>
            <w:tcBorders>
              <w:top w:val="nil"/>
              <w:left w:val="nil"/>
              <w:bottom w:val="single" w:sz="4" w:space="0" w:color="auto"/>
              <w:right w:val="single" w:sz="4" w:space="0" w:color="auto"/>
            </w:tcBorders>
            <w:shd w:val="clear" w:color="auto" w:fill="C6EFCE"/>
            <w:noWrap/>
          </w:tcPr>
          <w:p w14:paraId="090A03E5" w14:textId="77777777" w:rsidR="00D21D80" w:rsidRPr="009674F2" w:rsidRDefault="00D21D80" w:rsidP="00C955DB">
            <w:pPr>
              <w:spacing w:after="0" w:line="240" w:lineRule="auto"/>
              <w:rPr>
                <w:rFonts w:ascii="Times New Roman" w:hAnsi="Times New Roman" w:cs="Times New Roman"/>
                <w:noProof/>
                <w:color w:val="006100"/>
              </w:rPr>
            </w:pPr>
            <w:r>
              <w:rPr>
                <w:rFonts w:ascii="Times New Roman" w:hAnsi="Times New Roman"/>
                <w:noProof/>
                <w:color w:val="006100"/>
              </w:rPr>
              <w:t>C4R5 Обслужване на едно гише за обновяване</w:t>
            </w:r>
          </w:p>
        </w:tc>
        <w:tc>
          <w:tcPr>
            <w:tcW w:w="1418" w:type="dxa"/>
            <w:tcBorders>
              <w:top w:val="nil"/>
              <w:left w:val="nil"/>
              <w:bottom w:val="single" w:sz="4" w:space="0" w:color="auto"/>
              <w:right w:val="single" w:sz="4" w:space="0" w:color="auto"/>
            </w:tcBorders>
            <w:shd w:val="clear" w:color="auto" w:fill="C6EFCE"/>
            <w:noWrap/>
          </w:tcPr>
          <w:p w14:paraId="604417B2" w14:textId="77777777" w:rsidR="00D21D80" w:rsidRPr="009674F2" w:rsidRDefault="00D21D80" w:rsidP="00C955DB">
            <w:pPr>
              <w:spacing w:after="0" w:line="240" w:lineRule="auto"/>
              <w:jc w:val="center"/>
              <w:rPr>
                <w:rFonts w:ascii="Times New Roman" w:hAnsi="Times New Roman" w:cs="Times New Roman"/>
                <w:noProof/>
                <w:color w:val="006100"/>
              </w:rPr>
            </w:pPr>
            <w:r>
              <w:rPr>
                <w:rFonts w:ascii="Times New Roman" w:hAnsi="Times New Roman"/>
                <w:noProof/>
                <w:color w:val="006100"/>
              </w:rPr>
              <w:t>Ключов етап</w:t>
            </w:r>
          </w:p>
        </w:tc>
        <w:tc>
          <w:tcPr>
            <w:tcW w:w="3465" w:type="dxa"/>
            <w:tcBorders>
              <w:top w:val="nil"/>
              <w:left w:val="nil"/>
              <w:bottom w:val="single" w:sz="4" w:space="0" w:color="auto"/>
              <w:right w:val="single" w:sz="4" w:space="0" w:color="auto"/>
            </w:tcBorders>
            <w:shd w:val="clear" w:color="auto" w:fill="C6EFCE"/>
            <w:noWrap/>
          </w:tcPr>
          <w:p w14:paraId="2F4DE7A6" w14:textId="77777777" w:rsidR="00D21D80" w:rsidRPr="009674F2" w:rsidRDefault="00D21D80" w:rsidP="00C955DB">
            <w:pPr>
              <w:spacing w:after="0" w:line="240" w:lineRule="auto"/>
              <w:jc w:val="both"/>
              <w:rPr>
                <w:rFonts w:ascii="Times New Roman" w:hAnsi="Times New Roman" w:cs="Times New Roman"/>
                <w:noProof/>
                <w:color w:val="006100"/>
              </w:rPr>
            </w:pPr>
            <w:r>
              <w:rPr>
                <w:rFonts w:ascii="Times New Roman" w:hAnsi="Times New Roman"/>
                <w:noProof/>
                <w:color w:val="006100"/>
              </w:rPr>
              <w:t>Създаване на пилотно обслужване на едно гише за енергийно обновяване</w:t>
            </w:r>
          </w:p>
        </w:tc>
      </w:tr>
      <w:tr w:rsidR="00D21D80" w:rsidRPr="005241FC" w14:paraId="72516A82" w14:textId="77777777" w:rsidTr="00E7285C">
        <w:trPr>
          <w:gridAfter w:val="1"/>
          <w:wAfter w:w="11" w:type="dxa"/>
          <w:trHeight w:val="302"/>
          <w:jc w:val="center"/>
        </w:trPr>
        <w:tc>
          <w:tcPr>
            <w:tcW w:w="1084" w:type="dxa"/>
            <w:tcBorders>
              <w:top w:val="nil"/>
              <w:left w:val="single" w:sz="4" w:space="0" w:color="auto"/>
              <w:bottom w:val="single" w:sz="4" w:space="0" w:color="auto"/>
              <w:right w:val="single" w:sz="4" w:space="0" w:color="auto"/>
            </w:tcBorders>
            <w:shd w:val="clear" w:color="auto" w:fill="C6EFCE"/>
            <w:noWrap/>
          </w:tcPr>
          <w:p w14:paraId="1043C332"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91</w:t>
            </w:r>
          </w:p>
        </w:tc>
        <w:tc>
          <w:tcPr>
            <w:tcW w:w="3835" w:type="dxa"/>
            <w:tcBorders>
              <w:top w:val="nil"/>
              <w:left w:val="nil"/>
              <w:bottom w:val="single" w:sz="4" w:space="0" w:color="auto"/>
              <w:right w:val="single" w:sz="4" w:space="0" w:color="auto"/>
            </w:tcBorders>
            <w:shd w:val="clear" w:color="auto" w:fill="C6EFCE"/>
            <w:noWrap/>
          </w:tcPr>
          <w:p w14:paraId="12A41BC0" w14:textId="77777777" w:rsidR="00D21D80" w:rsidRPr="009674F2" w:rsidRDefault="00D21D80" w:rsidP="00C955DB">
            <w:pPr>
              <w:spacing w:after="0" w:line="240" w:lineRule="auto"/>
              <w:rPr>
                <w:rFonts w:ascii="Times New Roman" w:hAnsi="Times New Roman" w:cs="Times New Roman"/>
                <w:noProof/>
                <w:color w:val="006100"/>
              </w:rPr>
            </w:pPr>
            <w:r>
              <w:rPr>
                <w:rFonts w:ascii="Times New Roman" w:hAnsi="Times New Roman"/>
                <w:noProof/>
                <w:color w:val="006100"/>
              </w:rPr>
              <w:t>C4R8 Либерализация на пазара на електроенергия</w:t>
            </w:r>
          </w:p>
        </w:tc>
        <w:tc>
          <w:tcPr>
            <w:tcW w:w="1418" w:type="dxa"/>
            <w:tcBorders>
              <w:top w:val="nil"/>
              <w:left w:val="nil"/>
              <w:bottom w:val="single" w:sz="4" w:space="0" w:color="auto"/>
              <w:right w:val="single" w:sz="4" w:space="0" w:color="auto"/>
            </w:tcBorders>
            <w:shd w:val="clear" w:color="auto" w:fill="C6EFCE"/>
            <w:noWrap/>
          </w:tcPr>
          <w:p w14:paraId="3CC94C46" w14:textId="77777777" w:rsidR="00D21D80" w:rsidRPr="009674F2" w:rsidRDefault="00D21D80" w:rsidP="00C955DB">
            <w:pPr>
              <w:spacing w:after="0" w:line="240" w:lineRule="auto"/>
              <w:jc w:val="center"/>
              <w:rPr>
                <w:rFonts w:ascii="Times New Roman" w:hAnsi="Times New Roman" w:cs="Times New Roman"/>
                <w:noProof/>
                <w:color w:val="006100"/>
              </w:rPr>
            </w:pPr>
            <w:r>
              <w:rPr>
                <w:rFonts w:ascii="Times New Roman" w:hAnsi="Times New Roman"/>
                <w:noProof/>
                <w:color w:val="006100"/>
              </w:rPr>
              <w:t>Ключов етап</w:t>
            </w:r>
          </w:p>
        </w:tc>
        <w:tc>
          <w:tcPr>
            <w:tcW w:w="3465" w:type="dxa"/>
            <w:tcBorders>
              <w:top w:val="nil"/>
              <w:left w:val="nil"/>
              <w:bottom w:val="single" w:sz="4" w:space="0" w:color="auto"/>
              <w:right w:val="single" w:sz="4" w:space="0" w:color="auto"/>
            </w:tcBorders>
            <w:shd w:val="clear" w:color="auto" w:fill="C6EFCE"/>
            <w:noWrap/>
          </w:tcPr>
          <w:p w14:paraId="117FE3C3" w14:textId="77777777" w:rsidR="00D21D80" w:rsidRPr="009674F2" w:rsidRDefault="00D21D80" w:rsidP="00C955DB">
            <w:pPr>
              <w:spacing w:after="0" w:line="240" w:lineRule="auto"/>
              <w:jc w:val="both"/>
              <w:rPr>
                <w:rFonts w:ascii="Times New Roman" w:hAnsi="Times New Roman" w:cs="Times New Roman"/>
                <w:noProof/>
                <w:color w:val="006100"/>
              </w:rPr>
            </w:pPr>
            <w:r>
              <w:rPr>
                <w:rFonts w:ascii="Times New Roman" w:hAnsi="Times New Roman"/>
                <w:noProof/>
                <w:color w:val="006100"/>
              </w:rPr>
              <w:t>Влизане в сила на измененията на Закона за енергетиката за реформа на пазарите на електрическа енергия (търговия на едро, балансиране и търговия на дребно)</w:t>
            </w:r>
          </w:p>
        </w:tc>
      </w:tr>
      <w:tr w:rsidR="00D21D80" w:rsidRPr="005241FC" w14:paraId="36A41A6B" w14:textId="77777777" w:rsidTr="00E7285C">
        <w:trPr>
          <w:gridAfter w:val="1"/>
          <w:wAfter w:w="11" w:type="dxa"/>
          <w:trHeight w:val="302"/>
          <w:jc w:val="center"/>
        </w:trPr>
        <w:tc>
          <w:tcPr>
            <w:tcW w:w="1084" w:type="dxa"/>
            <w:tcBorders>
              <w:top w:val="nil"/>
              <w:left w:val="single" w:sz="4" w:space="0" w:color="auto"/>
              <w:bottom w:val="single" w:sz="4" w:space="0" w:color="auto"/>
              <w:right w:val="single" w:sz="4" w:space="0" w:color="auto"/>
            </w:tcBorders>
            <w:shd w:val="clear" w:color="auto" w:fill="C6EFCE"/>
            <w:noWrap/>
          </w:tcPr>
          <w:p w14:paraId="386FDFAF"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105</w:t>
            </w:r>
          </w:p>
        </w:tc>
        <w:tc>
          <w:tcPr>
            <w:tcW w:w="3835" w:type="dxa"/>
            <w:tcBorders>
              <w:top w:val="nil"/>
              <w:left w:val="nil"/>
              <w:bottom w:val="single" w:sz="4" w:space="0" w:color="auto"/>
              <w:right w:val="single" w:sz="4" w:space="0" w:color="auto"/>
            </w:tcBorders>
            <w:shd w:val="clear" w:color="auto" w:fill="C6EFCE"/>
            <w:noWrap/>
          </w:tcPr>
          <w:p w14:paraId="36E50A20" w14:textId="77777777" w:rsidR="00D21D80" w:rsidRPr="009674F2" w:rsidRDefault="00D21D80" w:rsidP="00C955DB">
            <w:pPr>
              <w:spacing w:after="0" w:line="240" w:lineRule="auto"/>
              <w:rPr>
                <w:rFonts w:ascii="Times New Roman" w:eastAsia="Times New Roman" w:hAnsi="Times New Roman" w:cs="Times New Roman"/>
                <w:noProof/>
                <w:color w:val="006100"/>
              </w:rPr>
            </w:pPr>
            <w:r>
              <w:rPr>
                <w:rFonts w:ascii="Times New Roman" w:hAnsi="Times New Roman"/>
                <w:noProof/>
                <w:color w:val="006100"/>
              </w:rPr>
              <w:t>C4I7 Пилотен проект за комбинирано производство на топлинна и електрическа енергия от геотермални източници</w:t>
            </w:r>
          </w:p>
        </w:tc>
        <w:tc>
          <w:tcPr>
            <w:tcW w:w="1418" w:type="dxa"/>
            <w:tcBorders>
              <w:top w:val="nil"/>
              <w:left w:val="nil"/>
              <w:bottom w:val="single" w:sz="4" w:space="0" w:color="auto"/>
              <w:right w:val="single" w:sz="4" w:space="0" w:color="auto"/>
            </w:tcBorders>
            <w:shd w:val="clear" w:color="auto" w:fill="C6EFCE"/>
            <w:noWrap/>
          </w:tcPr>
          <w:p w14:paraId="0BC24765"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Ключов етап</w:t>
            </w:r>
          </w:p>
        </w:tc>
        <w:tc>
          <w:tcPr>
            <w:tcW w:w="3465" w:type="dxa"/>
            <w:tcBorders>
              <w:top w:val="nil"/>
              <w:left w:val="nil"/>
              <w:bottom w:val="single" w:sz="4" w:space="0" w:color="auto"/>
              <w:right w:val="single" w:sz="4" w:space="0" w:color="auto"/>
            </w:tcBorders>
            <w:shd w:val="clear" w:color="auto" w:fill="C6EFCE"/>
            <w:noWrap/>
          </w:tcPr>
          <w:p w14:paraId="37399208"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Влизане в сила на измененията в Закона за водите, Закона за енергетиката и Закона за концесиите във връзка с изграждането на нов вид електроцентрала и използването на геотермална енергия.</w:t>
            </w:r>
          </w:p>
        </w:tc>
      </w:tr>
      <w:tr w:rsidR="00D21D80" w:rsidRPr="005241FC" w14:paraId="445E163F" w14:textId="77777777" w:rsidTr="00E7285C">
        <w:trPr>
          <w:gridAfter w:val="1"/>
          <w:wAfter w:w="11" w:type="dxa"/>
          <w:trHeight w:val="302"/>
          <w:jc w:val="center"/>
        </w:trPr>
        <w:tc>
          <w:tcPr>
            <w:tcW w:w="1084" w:type="dxa"/>
            <w:tcBorders>
              <w:top w:val="nil"/>
              <w:left w:val="single" w:sz="4" w:space="0" w:color="auto"/>
              <w:bottom w:val="single" w:sz="4" w:space="0" w:color="auto"/>
              <w:right w:val="single" w:sz="4" w:space="0" w:color="auto"/>
            </w:tcBorders>
            <w:shd w:val="clear" w:color="auto" w:fill="C6EFCE"/>
            <w:noWrap/>
          </w:tcPr>
          <w:p w14:paraId="509648B9"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114</w:t>
            </w:r>
          </w:p>
        </w:tc>
        <w:tc>
          <w:tcPr>
            <w:tcW w:w="3835" w:type="dxa"/>
            <w:tcBorders>
              <w:top w:val="nil"/>
              <w:left w:val="nil"/>
              <w:bottom w:val="single" w:sz="4" w:space="0" w:color="auto"/>
              <w:right w:val="single" w:sz="4" w:space="0" w:color="auto"/>
            </w:tcBorders>
            <w:shd w:val="clear" w:color="auto" w:fill="C6EFCE"/>
            <w:noWrap/>
          </w:tcPr>
          <w:p w14:paraId="3070B07C" w14:textId="77777777" w:rsidR="00D21D80" w:rsidRPr="009674F2" w:rsidRDefault="00D21D80" w:rsidP="00C955DB">
            <w:pPr>
              <w:spacing w:after="0" w:line="240" w:lineRule="auto"/>
              <w:rPr>
                <w:rFonts w:ascii="Times New Roman" w:hAnsi="Times New Roman" w:cs="Times New Roman"/>
                <w:noProof/>
                <w:color w:val="006100"/>
              </w:rPr>
            </w:pPr>
            <w:r>
              <w:rPr>
                <w:rFonts w:ascii="Times New Roman" w:hAnsi="Times New Roman"/>
                <w:noProof/>
                <w:color w:val="006100"/>
              </w:rPr>
              <w:t>C4R9 Пътна карта за неутралност по отношение на климата</w:t>
            </w:r>
          </w:p>
        </w:tc>
        <w:tc>
          <w:tcPr>
            <w:tcW w:w="1418" w:type="dxa"/>
            <w:tcBorders>
              <w:top w:val="nil"/>
              <w:left w:val="nil"/>
              <w:bottom w:val="single" w:sz="4" w:space="0" w:color="auto"/>
              <w:right w:val="single" w:sz="4" w:space="0" w:color="auto"/>
            </w:tcBorders>
            <w:shd w:val="clear" w:color="auto" w:fill="C6EFCE"/>
            <w:noWrap/>
          </w:tcPr>
          <w:p w14:paraId="6E2F3F43" w14:textId="77777777" w:rsidR="00D21D80" w:rsidRPr="009674F2" w:rsidRDefault="00D21D80" w:rsidP="00C955DB">
            <w:pPr>
              <w:spacing w:after="0" w:line="240" w:lineRule="auto"/>
              <w:jc w:val="center"/>
              <w:rPr>
                <w:rFonts w:ascii="Times New Roman" w:hAnsi="Times New Roman" w:cs="Times New Roman"/>
                <w:noProof/>
                <w:color w:val="006100"/>
              </w:rPr>
            </w:pPr>
            <w:r>
              <w:rPr>
                <w:rFonts w:ascii="Times New Roman" w:hAnsi="Times New Roman"/>
                <w:noProof/>
                <w:color w:val="006100"/>
              </w:rPr>
              <w:t>Ключов етап</w:t>
            </w:r>
          </w:p>
        </w:tc>
        <w:tc>
          <w:tcPr>
            <w:tcW w:w="3465" w:type="dxa"/>
            <w:tcBorders>
              <w:top w:val="nil"/>
              <w:left w:val="nil"/>
              <w:bottom w:val="single" w:sz="4" w:space="0" w:color="auto"/>
              <w:right w:val="single" w:sz="4" w:space="0" w:color="auto"/>
            </w:tcBorders>
            <w:shd w:val="clear" w:color="auto" w:fill="C6EFCE"/>
            <w:noWrap/>
          </w:tcPr>
          <w:p w14:paraId="259AF2B7" w14:textId="77777777" w:rsidR="00D21D80" w:rsidRPr="009674F2" w:rsidRDefault="00D21D80" w:rsidP="00C955DB">
            <w:pPr>
              <w:spacing w:after="0" w:line="240" w:lineRule="auto"/>
              <w:jc w:val="both"/>
              <w:rPr>
                <w:rFonts w:ascii="Times New Roman" w:hAnsi="Times New Roman" w:cs="Times New Roman"/>
                <w:noProof/>
                <w:color w:val="006100"/>
              </w:rPr>
            </w:pPr>
            <w:r>
              <w:rPr>
                <w:rFonts w:ascii="Times New Roman" w:hAnsi="Times New Roman"/>
                <w:noProof/>
                <w:color w:val="006100"/>
              </w:rPr>
              <w:t>Представяне на доклад за сценариите и препоръки и одобрение от Народното събрание на пътна карта за неутралност по отношение на климата.</w:t>
            </w:r>
          </w:p>
        </w:tc>
      </w:tr>
      <w:tr w:rsidR="00D21D80" w:rsidRPr="005241FC" w14:paraId="12C3F58E" w14:textId="77777777" w:rsidTr="00E7285C">
        <w:trPr>
          <w:gridAfter w:val="1"/>
          <w:wAfter w:w="11" w:type="dxa"/>
          <w:trHeight w:val="302"/>
          <w:jc w:val="center"/>
        </w:trPr>
        <w:tc>
          <w:tcPr>
            <w:tcW w:w="1084" w:type="dxa"/>
            <w:tcBorders>
              <w:top w:val="nil"/>
              <w:left w:val="single" w:sz="4" w:space="0" w:color="auto"/>
              <w:bottom w:val="single" w:sz="4" w:space="0" w:color="auto"/>
              <w:right w:val="single" w:sz="4" w:space="0" w:color="auto"/>
            </w:tcBorders>
            <w:shd w:val="clear" w:color="auto" w:fill="C6EFCE"/>
            <w:noWrap/>
          </w:tcPr>
          <w:p w14:paraId="68883877"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95</w:t>
            </w:r>
          </w:p>
        </w:tc>
        <w:tc>
          <w:tcPr>
            <w:tcW w:w="3835" w:type="dxa"/>
            <w:tcBorders>
              <w:top w:val="nil"/>
              <w:left w:val="nil"/>
              <w:bottom w:val="single" w:sz="4" w:space="0" w:color="auto"/>
              <w:right w:val="single" w:sz="4" w:space="0" w:color="auto"/>
            </w:tcBorders>
            <w:shd w:val="clear" w:color="auto" w:fill="C6EFCE"/>
            <w:noWrap/>
          </w:tcPr>
          <w:p w14:paraId="4CEB154E" w14:textId="77777777" w:rsidR="00D21D80" w:rsidRPr="009674F2" w:rsidRDefault="00D21D80" w:rsidP="00C955DB">
            <w:pPr>
              <w:spacing w:after="0" w:line="240" w:lineRule="auto"/>
              <w:rPr>
                <w:rFonts w:ascii="Times New Roman" w:eastAsia="Times New Roman" w:hAnsi="Times New Roman" w:cs="Times New Roman"/>
                <w:noProof/>
                <w:color w:val="006100"/>
              </w:rPr>
            </w:pPr>
            <w:r>
              <w:rPr>
                <w:rFonts w:ascii="Times New Roman" w:hAnsi="Times New Roman"/>
                <w:noProof/>
                <w:color w:val="006100"/>
              </w:rPr>
              <w:t>C4R6 Стимулиране на производството на електроенергия от възобновяеми източници</w:t>
            </w:r>
          </w:p>
        </w:tc>
        <w:tc>
          <w:tcPr>
            <w:tcW w:w="1418" w:type="dxa"/>
            <w:tcBorders>
              <w:top w:val="nil"/>
              <w:left w:val="nil"/>
              <w:bottom w:val="single" w:sz="4" w:space="0" w:color="auto"/>
              <w:right w:val="single" w:sz="4" w:space="0" w:color="auto"/>
            </w:tcBorders>
            <w:shd w:val="clear" w:color="auto" w:fill="C6EFCE"/>
            <w:noWrap/>
          </w:tcPr>
          <w:p w14:paraId="719D36A3"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Ключов етап</w:t>
            </w:r>
          </w:p>
        </w:tc>
        <w:tc>
          <w:tcPr>
            <w:tcW w:w="3465" w:type="dxa"/>
            <w:tcBorders>
              <w:top w:val="nil"/>
              <w:left w:val="nil"/>
              <w:bottom w:val="single" w:sz="4" w:space="0" w:color="auto"/>
              <w:right w:val="single" w:sz="4" w:space="0" w:color="auto"/>
            </w:tcBorders>
            <w:shd w:val="clear" w:color="auto" w:fill="C6EFCE"/>
            <w:noWrap/>
          </w:tcPr>
          <w:p w14:paraId="3745FB3C"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Влизане в сила на изменението в националната законодателна рамка</w:t>
            </w:r>
          </w:p>
        </w:tc>
      </w:tr>
      <w:tr w:rsidR="00D21D80" w:rsidRPr="005241FC" w14:paraId="1FDEAF8A" w14:textId="77777777" w:rsidTr="00E7285C">
        <w:trPr>
          <w:gridAfter w:val="1"/>
          <w:wAfter w:w="11" w:type="dxa"/>
          <w:trHeight w:val="302"/>
          <w:jc w:val="center"/>
        </w:trPr>
        <w:tc>
          <w:tcPr>
            <w:tcW w:w="1084" w:type="dxa"/>
            <w:tcBorders>
              <w:top w:val="nil"/>
              <w:left w:val="single" w:sz="4" w:space="0" w:color="auto"/>
              <w:bottom w:val="single" w:sz="4" w:space="0" w:color="auto"/>
              <w:right w:val="single" w:sz="4" w:space="0" w:color="auto"/>
            </w:tcBorders>
            <w:shd w:val="clear" w:color="auto" w:fill="C6EFCE"/>
            <w:noWrap/>
          </w:tcPr>
          <w:p w14:paraId="02B00A61"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97</w:t>
            </w:r>
          </w:p>
        </w:tc>
        <w:tc>
          <w:tcPr>
            <w:tcW w:w="3835" w:type="dxa"/>
            <w:tcBorders>
              <w:top w:val="nil"/>
              <w:left w:val="nil"/>
              <w:bottom w:val="single" w:sz="4" w:space="0" w:color="auto"/>
              <w:right w:val="single" w:sz="4" w:space="0" w:color="auto"/>
            </w:tcBorders>
            <w:shd w:val="clear" w:color="auto" w:fill="C6EFCE"/>
            <w:noWrap/>
          </w:tcPr>
          <w:p w14:paraId="368ACAC9" w14:textId="77777777" w:rsidR="00D21D80" w:rsidRPr="009674F2" w:rsidRDefault="00D21D80" w:rsidP="00C955DB">
            <w:pPr>
              <w:spacing w:after="0" w:line="240" w:lineRule="auto"/>
              <w:rPr>
                <w:rFonts w:ascii="Times New Roman" w:eastAsia="Times New Roman" w:hAnsi="Times New Roman" w:cs="Times New Roman"/>
                <w:noProof/>
                <w:color w:val="006100"/>
              </w:rPr>
            </w:pPr>
            <w:r>
              <w:rPr>
                <w:rFonts w:ascii="Times New Roman" w:hAnsi="Times New Roman"/>
                <w:noProof/>
                <w:color w:val="006100"/>
              </w:rPr>
              <w:t>C4I8 Национална инфраструктура за съхранение на електроенергия от възобновяеми източници (RESTORE)</w:t>
            </w:r>
          </w:p>
        </w:tc>
        <w:tc>
          <w:tcPr>
            <w:tcW w:w="1418" w:type="dxa"/>
            <w:tcBorders>
              <w:top w:val="nil"/>
              <w:left w:val="nil"/>
              <w:bottom w:val="single" w:sz="4" w:space="0" w:color="auto"/>
              <w:right w:val="single" w:sz="4" w:space="0" w:color="auto"/>
            </w:tcBorders>
            <w:shd w:val="clear" w:color="auto" w:fill="C6EFCE"/>
            <w:noWrap/>
          </w:tcPr>
          <w:p w14:paraId="0592468F"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Ключов етап</w:t>
            </w:r>
          </w:p>
        </w:tc>
        <w:tc>
          <w:tcPr>
            <w:tcW w:w="3465" w:type="dxa"/>
            <w:tcBorders>
              <w:top w:val="nil"/>
              <w:left w:val="nil"/>
              <w:bottom w:val="single" w:sz="4" w:space="0" w:color="auto"/>
              <w:right w:val="single" w:sz="4" w:space="0" w:color="auto"/>
            </w:tcBorders>
            <w:shd w:val="clear" w:color="auto" w:fill="C6EFCE"/>
            <w:noWrap/>
          </w:tcPr>
          <w:p w14:paraId="57A995A5"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Изменение на националната законодателна рамка в подкрепа на бързото внедряване на съхранението на електроенергия</w:t>
            </w:r>
          </w:p>
        </w:tc>
      </w:tr>
      <w:tr w:rsidR="00D21D80" w:rsidRPr="005241FC" w14:paraId="4745E6C9" w14:textId="77777777" w:rsidTr="00E7285C">
        <w:trPr>
          <w:gridAfter w:val="1"/>
          <w:wAfter w:w="11" w:type="dxa"/>
          <w:trHeight w:val="302"/>
          <w:jc w:val="center"/>
        </w:trPr>
        <w:tc>
          <w:tcPr>
            <w:tcW w:w="1084" w:type="dxa"/>
            <w:tcBorders>
              <w:top w:val="nil"/>
              <w:left w:val="single" w:sz="4" w:space="0" w:color="auto"/>
              <w:bottom w:val="single" w:sz="4" w:space="0" w:color="auto"/>
              <w:right w:val="single" w:sz="4" w:space="0" w:color="auto"/>
            </w:tcBorders>
            <w:shd w:val="clear" w:color="auto" w:fill="C6EFCE"/>
            <w:noWrap/>
          </w:tcPr>
          <w:p w14:paraId="3D00F762"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76</w:t>
            </w:r>
          </w:p>
        </w:tc>
        <w:tc>
          <w:tcPr>
            <w:tcW w:w="3835" w:type="dxa"/>
            <w:tcBorders>
              <w:top w:val="nil"/>
              <w:left w:val="nil"/>
              <w:bottom w:val="single" w:sz="4" w:space="0" w:color="auto"/>
              <w:right w:val="single" w:sz="4" w:space="0" w:color="auto"/>
            </w:tcBorders>
            <w:shd w:val="clear" w:color="auto" w:fill="C6EFCE"/>
            <w:noWrap/>
          </w:tcPr>
          <w:p w14:paraId="691F318E" w14:textId="77777777" w:rsidR="00D21D80" w:rsidRPr="009674F2" w:rsidRDefault="00D21D80" w:rsidP="00C955DB">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C4I2 Подкрепа за енергия от възобновяеми източници за домакинствата </w:t>
            </w:r>
          </w:p>
        </w:tc>
        <w:tc>
          <w:tcPr>
            <w:tcW w:w="1418" w:type="dxa"/>
            <w:tcBorders>
              <w:top w:val="nil"/>
              <w:left w:val="nil"/>
              <w:bottom w:val="single" w:sz="4" w:space="0" w:color="auto"/>
              <w:right w:val="single" w:sz="4" w:space="0" w:color="auto"/>
            </w:tcBorders>
            <w:shd w:val="clear" w:color="auto" w:fill="C6EFCE"/>
            <w:noWrap/>
          </w:tcPr>
          <w:p w14:paraId="6CBD154F"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Ключов етап</w:t>
            </w:r>
          </w:p>
        </w:tc>
        <w:tc>
          <w:tcPr>
            <w:tcW w:w="3465" w:type="dxa"/>
            <w:tcBorders>
              <w:top w:val="nil"/>
              <w:left w:val="nil"/>
              <w:bottom w:val="single" w:sz="4" w:space="0" w:color="auto"/>
              <w:right w:val="single" w:sz="4" w:space="0" w:color="auto"/>
            </w:tcBorders>
            <w:shd w:val="clear" w:color="auto" w:fill="C6EFCE"/>
            <w:noWrap/>
          </w:tcPr>
          <w:p w14:paraId="2CE77A27"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 xml:space="preserve">Създаване на национална схема за подпомагане на домакинствата в областта на енергията от възобновяеми източници </w:t>
            </w:r>
          </w:p>
        </w:tc>
      </w:tr>
      <w:tr w:rsidR="00D21D80" w:rsidRPr="005241FC" w14:paraId="33B13558" w14:textId="77777777" w:rsidTr="00E7285C">
        <w:trPr>
          <w:gridAfter w:val="1"/>
          <w:wAfter w:w="11" w:type="dxa"/>
          <w:trHeight w:val="302"/>
          <w:jc w:val="center"/>
        </w:trPr>
        <w:tc>
          <w:tcPr>
            <w:tcW w:w="1084" w:type="dxa"/>
            <w:tcBorders>
              <w:top w:val="nil"/>
              <w:left w:val="single" w:sz="4" w:space="0" w:color="auto"/>
              <w:bottom w:val="single" w:sz="4" w:space="0" w:color="auto"/>
              <w:right w:val="single" w:sz="4" w:space="0" w:color="auto"/>
            </w:tcBorders>
            <w:shd w:val="clear" w:color="auto" w:fill="C6EFCE"/>
            <w:noWrap/>
            <w:hideMark/>
          </w:tcPr>
          <w:p w14:paraId="5FB384D5"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126</w:t>
            </w:r>
          </w:p>
        </w:tc>
        <w:tc>
          <w:tcPr>
            <w:tcW w:w="3835" w:type="dxa"/>
            <w:tcBorders>
              <w:top w:val="nil"/>
              <w:left w:val="nil"/>
              <w:bottom w:val="single" w:sz="4" w:space="0" w:color="auto"/>
              <w:right w:val="single" w:sz="4" w:space="0" w:color="auto"/>
            </w:tcBorders>
            <w:shd w:val="clear" w:color="auto" w:fill="C6EFCE"/>
            <w:noWrap/>
            <w:hideMark/>
          </w:tcPr>
          <w:p w14:paraId="04FBDB17" w14:textId="77777777" w:rsidR="00D21D80" w:rsidRPr="009674F2" w:rsidRDefault="00D21D80" w:rsidP="00C955DB">
            <w:pPr>
              <w:spacing w:after="0" w:line="240" w:lineRule="auto"/>
              <w:rPr>
                <w:rFonts w:ascii="Times New Roman" w:eastAsia="Times New Roman" w:hAnsi="Times New Roman" w:cs="Times New Roman"/>
                <w:noProof/>
                <w:color w:val="006100"/>
              </w:rPr>
            </w:pPr>
            <w:r>
              <w:rPr>
                <w:rFonts w:ascii="Times New Roman" w:hAnsi="Times New Roman"/>
                <w:noProof/>
                <w:color w:val="006100"/>
              </w:rPr>
              <w:t>C5R1 Създаване на управленската структура за мрежата Натура 2000</w:t>
            </w:r>
            <w:r>
              <w:rPr>
                <w:rFonts w:ascii="Times New Roman" w:hAnsi="Times New Roman"/>
                <w:noProof/>
                <w:color w:val="1F497D"/>
              </w:rPr>
              <w:t xml:space="preserve"> </w:t>
            </w:r>
          </w:p>
        </w:tc>
        <w:tc>
          <w:tcPr>
            <w:tcW w:w="1418" w:type="dxa"/>
            <w:tcBorders>
              <w:top w:val="nil"/>
              <w:left w:val="nil"/>
              <w:bottom w:val="single" w:sz="4" w:space="0" w:color="auto"/>
              <w:right w:val="single" w:sz="4" w:space="0" w:color="auto"/>
            </w:tcBorders>
            <w:shd w:val="clear" w:color="auto" w:fill="C6EFCE"/>
            <w:noWrap/>
            <w:hideMark/>
          </w:tcPr>
          <w:p w14:paraId="4D10B08F"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Ключов етап</w:t>
            </w:r>
          </w:p>
        </w:tc>
        <w:tc>
          <w:tcPr>
            <w:tcW w:w="3465" w:type="dxa"/>
            <w:tcBorders>
              <w:top w:val="nil"/>
              <w:left w:val="nil"/>
              <w:bottom w:val="single" w:sz="4" w:space="0" w:color="auto"/>
              <w:right w:val="single" w:sz="4" w:space="0" w:color="auto"/>
            </w:tcBorders>
            <w:shd w:val="clear" w:color="auto" w:fill="C6EFCE"/>
            <w:noWrap/>
            <w:hideMark/>
          </w:tcPr>
          <w:p w14:paraId="1452486D"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Изменения на Закона за биологичното разнообразие</w:t>
            </w:r>
          </w:p>
        </w:tc>
      </w:tr>
      <w:tr w:rsidR="00D21D80" w:rsidRPr="005241FC" w14:paraId="3A7E0BE8" w14:textId="77777777" w:rsidTr="00E7285C">
        <w:trPr>
          <w:trHeight w:val="302"/>
          <w:jc w:val="center"/>
        </w:trPr>
        <w:tc>
          <w:tcPr>
            <w:tcW w:w="1084" w:type="dxa"/>
            <w:tcBorders>
              <w:top w:val="nil"/>
              <w:left w:val="single" w:sz="4" w:space="0" w:color="auto"/>
              <w:bottom w:val="single" w:sz="4" w:space="0" w:color="auto"/>
              <w:right w:val="single" w:sz="4" w:space="0" w:color="auto"/>
            </w:tcBorders>
            <w:shd w:val="clear" w:color="auto" w:fill="C6EFCE"/>
            <w:noWrap/>
            <w:hideMark/>
          </w:tcPr>
          <w:p w14:paraId="30585034"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138</w:t>
            </w:r>
          </w:p>
        </w:tc>
        <w:tc>
          <w:tcPr>
            <w:tcW w:w="3835" w:type="dxa"/>
            <w:tcBorders>
              <w:top w:val="nil"/>
              <w:left w:val="nil"/>
              <w:bottom w:val="single" w:sz="4" w:space="0" w:color="auto"/>
              <w:right w:val="single" w:sz="4" w:space="0" w:color="auto"/>
            </w:tcBorders>
            <w:shd w:val="clear" w:color="auto" w:fill="C6EFCE"/>
            <w:noWrap/>
          </w:tcPr>
          <w:p w14:paraId="4709AF8F" w14:textId="77777777" w:rsidR="00D21D80" w:rsidRPr="009674F2" w:rsidRDefault="00D21D80" w:rsidP="00C955DB">
            <w:pPr>
              <w:spacing w:after="0" w:line="240" w:lineRule="auto"/>
              <w:rPr>
                <w:rFonts w:ascii="Times New Roman" w:eastAsia="Times New Roman" w:hAnsi="Times New Roman" w:cs="Times New Roman"/>
                <w:noProof/>
                <w:color w:val="006100"/>
              </w:rPr>
            </w:pPr>
            <w:r>
              <w:rPr>
                <w:rFonts w:ascii="Times New Roman" w:hAnsi="Times New Roman"/>
                <w:noProof/>
                <w:color w:val="006100"/>
              </w:rPr>
              <w:t>C7R2 Ефективно използване на радиочестотния спектър</w:t>
            </w:r>
          </w:p>
        </w:tc>
        <w:tc>
          <w:tcPr>
            <w:tcW w:w="1418" w:type="dxa"/>
            <w:tcBorders>
              <w:top w:val="nil"/>
              <w:left w:val="nil"/>
              <w:bottom w:val="single" w:sz="4" w:space="0" w:color="auto"/>
              <w:right w:val="single" w:sz="4" w:space="0" w:color="auto"/>
            </w:tcBorders>
            <w:shd w:val="clear" w:color="auto" w:fill="C6EFCE"/>
            <w:noWrap/>
          </w:tcPr>
          <w:p w14:paraId="59A0E487"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Ключов етап</w:t>
            </w:r>
          </w:p>
        </w:tc>
        <w:tc>
          <w:tcPr>
            <w:tcW w:w="3465" w:type="dxa"/>
            <w:tcBorders>
              <w:top w:val="nil"/>
              <w:left w:val="nil"/>
              <w:bottom w:val="single" w:sz="4" w:space="0" w:color="auto"/>
              <w:right w:val="single" w:sz="4" w:space="0" w:color="auto"/>
            </w:tcBorders>
            <w:shd w:val="clear" w:color="auto" w:fill="C6EFCE"/>
            <w:noWrap/>
          </w:tcPr>
          <w:p w14:paraId="0C6BF83F"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 xml:space="preserve">Изпълнение на разпределението на радиочестотен спектър в радиочестотната лента 26 GHz </w:t>
            </w:r>
          </w:p>
        </w:tc>
        <w:tc>
          <w:tcPr>
            <w:tcW w:w="11" w:type="dxa"/>
            <w:vAlign w:val="bottom"/>
          </w:tcPr>
          <w:p w14:paraId="251F3D43" w14:textId="77777777" w:rsidR="00D21D80" w:rsidRPr="008A0F8A" w:rsidRDefault="00D21D80" w:rsidP="00C955DB">
            <w:pPr>
              <w:jc w:val="both"/>
              <w:rPr>
                <w:noProof/>
                <w:lang w:val="ru-RU"/>
              </w:rPr>
            </w:pPr>
          </w:p>
        </w:tc>
      </w:tr>
      <w:tr w:rsidR="00D21D80" w:rsidRPr="005241FC" w14:paraId="75147AF8" w14:textId="77777777" w:rsidTr="00E7285C">
        <w:trPr>
          <w:gridAfter w:val="1"/>
          <w:wAfter w:w="11" w:type="dxa"/>
          <w:trHeight w:val="302"/>
          <w:jc w:val="center"/>
        </w:trPr>
        <w:tc>
          <w:tcPr>
            <w:tcW w:w="1084" w:type="dxa"/>
            <w:tcBorders>
              <w:top w:val="nil"/>
              <w:left w:val="single" w:sz="4" w:space="0" w:color="auto"/>
              <w:bottom w:val="single" w:sz="4" w:space="0" w:color="auto"/>
              <w:right w:val="single" w:sz="4" w:space="0" w:color="auto"/>
            </w:tcBorders>
            <w:shd w:val="clear" w:color="auto" w:fill="C6EFCE"/>
            <w:noWrap/>
          </w:tcPr>
          <w:p w14:paraId="1B429BCB"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162</w:t>
            </w:r>
          </w:p>
        </w:tc>
        <w:tc>
          <w:tcPr>
            <w:tcW w:w="3835" w:type="dxa"/>
            <w:tcBorders>
              <w:top w:val="nil"/>
              <w:left w:val="nil"/>
              <w:bottom w:val="single" w:sz="4" w:space="0" w:color="auto"/>
              <w:right w:val="single" w:sz="4" w:space="0" w:color="auto"/>
            </w:tcBorders>
            <w:shd w:val="clear" w:color="auto" w:fill="C6EFCE"/>
            <w:noWrap/>
          </w:tcPr>
          <w:p w14:paraId="655F800E" w14:textId="77777777" w:rsidR="00D21D80" w:rsidRPr="009674F2" w:rsidRDefault="00D21D80" w:rsidP="00C955DB">
            <w:pPr>
              <w:spacing w:after="0" w:line="240" w:lineRule="auto"/>
              <w:rPr>
                <w:rFonts w:ascii="Times New Roman" w:eastAsia="Times New Roman" w:hAnsi="Times New Roman" w:cs="Times New Roman"/>
                <w:noProof/>
                <w:color w:val="006100"/>
              </w:rPr>
            </w:pPr>
            <w:r>
              <w:rPr>
                <w:rFonts w:ascii="Times New Roman" w:hAnsi="Times New Roman"/>
                <w:noProof/>
                <w:color w:val="006100"/>
              </w:rPr>
              <w:t>C8R1 Стратегическа рамка за транспорта</w:t>
            </w:r>
          </w:p>
        </w:tc>
        <w:tc>
          <w:tcPr>
            <w:tcW w:w="1418" w:type="dxa"/>
            <w:tcBorders>
              <w:top w:val="nil"/>
              <w:left w:val="nil"/>
              <w:bottom w:val="single" w:sz="4" w:space="0" w:color="auto"/>
              <w:right w:val="single" w:sz="4" w:space="0" w:color="auto"/>
            </w:tcBorders>
            <w:shd w:val="clear" w:color="auto" w:fill="C6EFCE"/>
            <w:noWrap/>
          </w:tcPr>
          <w:p w14:paraId="1BC0739A"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Цел</w:t>
            </w:r>
          </w:p>
        </w:tc>
        <w:tc>
          <w:tcPr>
            <w:tcW w:w="3465" w:type="dxa"/>
            <w:tcBorders>
              <w:top w:val="nil"/>
              <w:left w:val="nil"/>
              <w:bottom w:val="single" w:sz="4" w:space="0" w:color="auto"/>
              <w:right w:val="single" w:sz="4" w:space="0" w:color="auto"/>
            </w:tcBorders>
            <w:shd w:val="clear" w:color="auto" w:fill="C6EFCE"/>
            <w:noWrap/>
          </w:tcPr>
          <w:p w14:paraId="411F9E9B"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Укрепване на капацитета за управление и изпълнение на железопътни проекти за TEN-T</w:t>
            </w:r>
          </w:p>
        </w:tc>
      </w:tr>
      <w:tr w:rsidR="00D21D80" w:rsidRPr="005241FC" w14:paraId="71629D95" w14:textId="77777777" w:rsidTr="00E7285C">
        <w:trPr>
          <w:gridAfter w:val="1"/>
          <w:wAfter w:w="11" w:type="dxa"/>
          <w:trHeight w:val="302"/>
          <w:jc w:val="center"/>
        </w:trPr>
        <w:tc>
          <w:tcPr>
            <w:tcW w:w="1084" w:type="dxa"/>
            <w:tcBorders>
              <w:top w:val="nil"/>
              <w:left w:val="single" w:sz="4" w:space="0" w:color="auto"/>
              <w:bottom w:val="single" w:sz="4" w:space="0" w:color="auto"/>
              <w:right w:val="single" w:sz="4" w:space="0" w:color="auto"/>
            </w:tcBorders>
            <w:shd w:val="clear" w:color="auto" w:fill="C6EFCE"/>
            <w:noWrap/>
          </w:tcPr>
          <w:p w14:paraId="2DBE740E"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173</w:t>
            </w:r>
          </w:p>
        </w:tc>
        <w:tc>
          <w:tcPr>
            <w:tcW w:w="3835" w:type="dxa"/>
            <w:tcBorders>
              <w:top w:val="nil"/>
              <w:left w:val="nil"/>
              <w:bottom w:val="single" w:sz="4" w:space="0" w:color="auto"/>
              <w:right w:val="single" w:sz="4" w:space="0" w:color="auto"/>
            </w:tcBorders>
            <w:shd w:val="clear" w:color="auto" w:fill="C6EFCE"/>
            <w:noWrap/>
          </w:tcPr>
          <w:p w14:paraId="7E770F94" w14:textId="77777777" w:rsidR="00D21D80" w:rsidRPr="009674F2" w:rsidRDefault="00D21D80" w:rsidP="00C955DB">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C8R3 Устойчива градска мобилност </w:t>
            </w:r>
          </w:p>
        </w:tc>
        <w:tc>
          <w:tcPr>
            <w:tcW w:w="1418" w:type="dxa"/>
            <w:tcBorders>
              <w:top w:val="nil"/>
              <w:left w:val="nil"/>
              <w:bottom w:val="single" w:sz="4" w:space="0" w:color="auto"/>
              <w:right w:val="single" w:sz="4" w:space="0" w:color="auto"/>
            </w:tcBorders>
            <w:shd w:val="clear" w:color="auto" w:fill="C6EFCE"/>
            <w:noWrap/>
          </w:tcPr>
          <w:p w14:paraId="389DA072"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Ключов етап</w:t>
            </w:r>
          </w:p>
        </w:tc>
        <w:tc>
          <w:tcPr>
            <w:tcW w:w="3465" w:type="dxa"/>
            <w:tcBorders>
              <w:top w:val="nil"/>
              <w:left w:val="nil"/>
              <w:bottom w:val="single" w:sz="4" w:space="0" w:color="auto"/>
              <w:right w:val="single" w:sz="4" w:space="0" w:color="auto"/>
            </w:tcBorders>
            <w:shd w:val="clear" w:color="auto" w:fill="C6EFCE"/>
            <w:noWrap/>
          </w:tcPr>
          <w:p w14:paraId="1220FCAD" w14:textId="77777777" w:rsidR="00D21D80" w:rsidRPr="009674F2" w:rsidRDefault="00D21D80" w:rsidP="00C955DB">
            <w:pPr>
              <w:spacing w:after="0" w:line="240" w:lineRule="auto"/>
              <w:rPr>
                <w:rFonts w:ascii="Times New Roman" w:eastAsia="Times New Roman" w:hAnsi="Times New Roman" w:cs="Times New Roman"/>
                <w:noProof/>
                <w:color w:val="006100"/>
              </w:rPr>
            </w:pPr>
            <w:r>
              <w:rPr>
                <w:rFonts w:ascii="Times New Roman" w:hAnsi="Times New Roman"/>
                <w:noProof/>
                <w:color w:val="006100"/>
              </w:rPr>
              <w:t>Интегриране на устойчивата градска мобилност в териториалните стратегии и планирането на развитието</w:t>
            </w:r>
          </w:p>
          <w:p w14:paraId="168A225C" w14:textId="77777777" w:rsidR="00D21D80" w:rsidRPr="008A0F8A" w:rsidRDefault="00D21D80" w:rsidP="00C955DB">
            <w:pPr>
              <w:spacing w:after="0" w:line="240" w:lineRule="auto"/>
              <w:rPr>
                <w:rFonts w:ascii="Times New Roman" w:eastAsia="Times New Roman" w:hAnsi="Times New Roman" w:cs="Times New Roman"/>
                <w:noProof/>
                <w:color w:val="006100"/>
                <w:lang w:val="ru-RU"/>
              </w:rPr>
            </w:pPr>
          </w:p>
          <w:p w14:paraId="4C54EF06" w14:textId="77777777" w:rsidR="00D21D80" w:rsidRPr="008A0F8A" w:rsidRDefault="00D21D80" w:rsidP="00C955DB">
            <w:pPr>
              <w:spacing w:after="0" w:line="240" w:lineRule="auto"/>
              <w:rPr>
                <w:rFonts w:ascii="Times New Roman" w:eastAsia="Times New Roman" w:hAnsi="Times New Roman" w:cs="Times New Roman"/>
                <w:noProof/>
                <w:color w:val="006100"/>
                <w:lang w:val="ru-RU" w:eastAsia="en-GB"/>
              </w:rPr>
            </w:pPr>
          </w:p>
        </w:tc>
      </w:tr>
      <w:tr w:rsidR="00D21D80" w:rsidRPr="005241FC" w14:paraId="3DE15089" w14:textId="77777777" w:rsidTr="00E7285C">
        <w:trPr>
          <w:gridAfter w:val="1"/>
          <w:wAfter w:w="11" w:type="dxa"/>
          <w:trHeight w:val="302"/>
          <w:jc w:val="center"/>
        </w:trPr>
        <w:tc>
          <w:tcPr>
            <w:tcW w:w="1084" w:type="dxa"/>
            <w:tcBorders>
              <w:top w:val="nil"/>
              <w:left w:val="single" w:sz="4" w:space="0" w:color="auto"/>
              <w:bottom w:val="single" w:sz="4" w:space="0" w:color="auto"/>
              <w:right w:val="single" w:sz="4" w:space="0" w:color="auto"/>
            </w:tcBorders>
            <w:shd w:val="clear" w:color="auto" w:fill="C6EFCE"/>
            <w:noWrap/>
          </w:tcPr>
          <w:p w14:paraId="6F444640"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187</w:t>
            </w:r>
          </w:p>
        </w:tc>
        <w:tc>
          <w:tcPr>
            <w:tcW w:w="3835" w:type="dxa"/>
            <w:tcBorders>
              <w:top w:val="nil"/>
              <w:left w:val="nil"/>
              <w:bottom w:val="single" w:sz="4" w:space="0" w:color="auto"/>
              <w:right w:val="single" w:sz="4" w:space="0" w:color="auto"/>
            </w:tcBorders>
            <w:shd w:val="clear" w:color="auto" w:fill="C6EFCE"/>
            <w:noWrap/>
          </w:tcPr>
          <w:p w14:paraId="2947FF76" w14:textId="77777777" w:rsidR="00D21D80" w:rsidRPr="009674F2" w:rsidRDefault="00D21D80" w:rsidP="00C955DB">
            <w:pPr>
              <w:spacing w:after="0" w:line="240" w:lineRule="auto"/>
              <w:rPr>
                <w:rFonts w:ascii="Times New Roman" w:eastAsia="Times New Roman" w:hAnsi="Times New Roman" w:cs="Times New Roman"/>
                <w:noProof/>
                <w:color w:val="006100"/>
              </w:rPr>
            </w:pPr>
            <w:r>
              <w:rPr>
                <w:rFonts w:ascii="Times New Roman" w:hAnsi="Times New Roman"/>
                <w:noProof/>
                <w:color w:val="006100"/>
              </w:rPr>
              <w:t>C8I2 Бордово оборудване за Европейската система за управление на влаковете</w:t>
            </w:r>
          </w:p>
        </w:tc>
        <w:tc>
          <w:tcPr>
            <w:tcW w:w="1418" w:type="dxa"/>
            <w:tcBorders>
              <w:top w:val="nil"/>
              <w:left w:val="nil"/>
              <w:bottom w:val="single" w:sz="4" w:space="0" w:color="auto"/>
              <w:right w:val="single" w:sz="4" w:space="0" w:color="auto"/>
            </w:tcBorders>
            <w:shd w:val="clear" w:color="auto" w:fill="C6EFCE"/>
            <w:noWrap/>
          </w:tcPr>
          <w:p w14:paraId="4A200F3C"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Ключов етап</w:t>
            </w:r>
          </w:p>
        </w:tc>
        <w:tc>
          <w:tcPr>
            <w:tcW w:w="3465" w:type="dxa"/>
            <w:tcBorders>
              <w:top w:val="nil"/>
              <w:left w:val="nil"/>
              <w:bottom w:val="single" w:sz="4" w:space="0" w:color="auto"/>
              <w:right w:val="single" w:sz="4" w:space="0" w:color="auto"/>
            </w:tcBorders>
            <w:shd w:val="clear" w:color="auto" w:fill="C6EFCE"/>
            <w:noWrap/>
          </w:tcPr>
          <w:p w14:paraId="4AF54192" w14:textId="77777777" w:rsidR="00D21D80" w:rsidRPr="009674F2" w:rsidRDefault="00D21D80" w:rsidP="00C955DB">
            <w:pPr>
              <w:spacing w:after="0" w:line="240" w:lineRule="auto"/>
              <w:rPr>
                <w:rFonts w:ascii="Times New Roman" w:eastAsia="Times New Roman" w:hAnsi="Times New Roman" w:cs="Times New Roman"/>
                <w:noProof/>
                <w:color w:val="006100"/>
              </w:rPr>
            </w:pPr>
            <w:r>
              <w:rPr>
                <w:rFonts w:ascii="Times New Roman" w:hAnsi="Times New Roman"/>
                <w:noProof/>
                <w:color w:val="385623"/>
              </w:rPr>
              <w:t>Механизъм за подбор на подпомагани оператори за железопътни превози за бордово оборудване за ERTMS/ETCS</w:t>
            </w:r>
          </w:p>
        </w:tc>
      </w:tr>
      <w:tr w:rsidR="00D21D80" w:rsidRPr="005241FC" w14:paraId="0EB08ADA" w14:textId="77777777" w:rsidTr="00E7285C">
        <w:trPr>
          <w:gridAfter w:val="1"/>
          <w:wAfter w:w="11" w:type="dxa"/>
          <w:trHeight w:val="302"/>
          <w:jc w:val="center"/>
        </w:trPr>
        <w:tc>
          <w:tcPr>
            <w:tcW w:w="1084" w:type="dxa"/>
            <w:tcBorders>
              <w:top w:val="nil"/>
              <w:left w:val="single" w:sz="4" w:space="0" w:color="auto"/>
              <w:bottom w:val="single" w:sz="4" w:space="0" w:color="auto"/>
              <w:right w:val="single" w:sz="4" w:space="0" w:color="auto"/>
            </w:tcBorders>
            <w:shd w:val="clear" w:color="auto" w:fill="C6EFCE"/>
            <w:noWrap/>
          </w:tcPr>
          <w:p w14:paraId="7C2CADC2"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214</w:t>
            </w:r>
          </w:p>
        </w:tc>
        <w:tc>
          <w:tcPr>
            <w:tcW w:w="3835" w:type="dxa"/>
            <w:tcBorders>
              <w:top w:val="nil"/>
              <w:left w:val="nil"/>
              <w:bottom w:val="single" w:sz="4" w:space="0" w:color="auto"/>
              <w:right w:val="single" w:sz="4" w:space="0" w:color="auto"/>
            </w:tcBorders>
            <w:shd w:val="clear" w:color="auto" w:fill="C6EFCE"/>
            <w:noWrap/>
          </w:tcPr>
          <w:p w14:paraId="5912E78E" w14:textId="77777777" w:rsidR="00D21D80" w:rsidRPr="009674F2" w:rsidRDefault="00D21D80" w:rsidP="00C955DB">
            <w:pPr>
              <w:spacing w:after="0" w:line="240" w:lineRule="auto"/>
              <w:rPr>
                <w:rFonts w:ascii="Times New Roman" w:eastAsia="Times New Roman" w:hAnsi="Times New Roman" w:cs="Times New Roman"/>
                <w:noProof/>
                <w:color w:val="006100"/>
              </w:rPr>
            </w:pPr>
            <w:r>
              <w:rPr>
                <w:rFonts w:ascii="Times New Roman" w:hAnsi="Times New Roman"/>
                <w:noProof/>
                <w:color w:val="006100"/>
              </w:rPr>
              <w:t>C10R1 Достъпно, ефективно и предвидимо правосъдие</w:t>
            </w:r>
          </w:p>
        </w:tc>
        <w:tc>
          <w:tcPr>
            <w:tcW w:w="1418" w:type="dxa"/>
            <w:tcBorders>
              <w:top w:val="nil"/>
              <w:left w:val="nil"/>
              <w:bottom w:val="single" w:sz="4" w:space="0" w:color="auto"/>
              <w:right w:val="single" w:sz="4" w:space="0" w:color="auto"/>
            </w:tcBorders>
            <w:shd w:val="clear" w:color="auto" w:fill="C6EFCE"/>
            <w:noWrap/>
          </w:tcPr>
          <w:p w14:paraId="454A2AFF"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Ключов етап</w:t>
            </w:r>
          </w:p>
        </w:tc>
        <w:tc>
          <w:tcPr>
            <w:tcW w:w="3465" w:type="dxa"/>
            <w:tcBorders>
              <w:top w:val="nil"/>
              <w:left w:val="nil"/>
              <w:bottom w:val="single" w:sz="4" w:space="0" w:color="auto"/>
              <w:right w:val="single" w:sz="4" w:space="0" w:color="auto"/>
            </w:tcBorders>
            <w:shd w:val="clear" w:color="auto" w:fill="C6EFCE"/>
            <w:noWrap/>
          </w:tcPr>
          <w:p w14:paraId="49604E81" w14:textId="77777777" w:rsidR="00D21D80" w:rsidRPr="009674F2" w:rsidRDefault="00D21D80" w:rsidP="00C955DB">
            <w:pPr>
              <w:spacing w:after="0" w:line="240" w:lineRule="auto"/>
              <w:rPr>
                <w:rFonts w:ascii="Times New Roman" w:eastAsia="Times New Roman" w:hAnsi="Times New Roman" w:cs="Times New Roman"/>
                <w:noProof/>
                <w:color w:val="006100"/>
              </w:rPr>
            </w:pPr>
            <w:r>
              <w:rPr>
                <w:rFonts w:ascii="Times New Roman" w:hAnsi="Times New Roman"/>
                <w:noProof/>
                <w:color w:val="006100"/>
              </w:rPr>
              <w:t>Влизане в сила на законодателните изменения на Закона за правната помощ</w:t>
            </w:r>
          </w:p>
        </w:tc>
      </w:tr>
      <w:tr w:rsidR="00D21D80" w:rsidRPr="005241FC" w14:paraId="2F546DFA" w14:textId="77777777" w:rsidTr="00E7285C">
        <w:trPr>
          <w:gridAfter w:val="1"/>
          <w:wAfter w:w="11" w:type="dxa"/>
          <w:trHeight w:val="302"/>
          <w:jc w:val="center"/>
        </w:trPr>
        <w:tc>
          <w:tcPr>
            <w:tcW w:w="1084" w:type="dxa"/>
            <w:tcBorders>
              <w:top w:val="nil"/>
              <w:left w:val="single" w:sz="4" w:space="0" w:color="auto"/>
              <w:bottom w:val="single" w:sz="4" w:space="0" w:color="auto"/>
              <w:right w:val="single" w:sz="4" w:space="0" w:color="auto"/>
            </w:tcBorders>
            <w:shd w:val="clear" w:color="auto" w:fill="C6EFCE"/>
            <w:noWrap/>
          </w:tcPr>
          <w:p w14:paraId="25CB7476"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217</w:t>
            </w:r>
          </w:p>
        </w:tc>
        <w:tc>
          <w:tcPr>
            <w:tcW w:w="3835" w:type="dxa"/>
            <w:tcBorders>
              <w:top w:val="nil"/>
              <w:left w:val="nil"/>
              <w:bottom w:val="single" w:sz="4" w:space="0" w:color="auto"/>
              <w:right w:val="single" w:sz="4" w:space="0" w:color="auto"/>
            </w:tcBorders>
            <w:shd w:val="clear" w:color="auto" w:fill="C6EFCE"/>
            <w:noWrap/>
          </w:tcPr>
          <w:p w14:paraId="093F8D3D" w14:textId="77777777" w:rsidR="00D21D80" w:rsidRPr="009674F2" w:rsidRDefault="00D21D80" w:rsidP="00C955DB">
            <w:pPr>
              <w:spacing w:after="0" w:line="240" w:lineRule="auto"/>
              <w:rPr>
                <w:rFonts w:ascii="Times New Roman" w:eastAsia="Times New Roman" w:hAnsi="Times New Roman" w:cs="Times New Roman"/>
                <w:noProof/>
                <w:color w:val="006100"/>
                <w:highlight w:val="yellow"/>
              </w:rPr>
            </w:pPr>
            <w:r>
              <w:rPr>
                <w:rFonts w:ascii="Times New Roman" w:hAnsi="Times New Roman"/>
                <w:noProof/>
                <w:color w:val="006100"/>
              </w:rPr>
              <w:t>C10R2 Противодействие на корупцията</w:t>
            </w:r>
          </w:p>
        </w:tc>
        <w:tc>
          <w:tcPr>
            <w:tcW w:w="1418" w:type="dxa"/>
            <w:tcBorders>
              <w:top w:val="nil"/>
              <w:left w:val="nil"/>
              <w:bottom w:val="single" w:sz="4" w:space="0" w:color="auto"/>
              <w:right w:val="single" w:sz="4" w:space="0" w:color="auto"/>
            </w:tcBorders>
            <w:shd w:val="clear" w:color="auto" w:fill="C6EFCE"/>
            <w:noWrap/>
          </w:tcPr>
          <w:p w14:paraId="661A23BE"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Ключов етап</w:t>
            </w:r>
          </w:p>
        </w:tc>
        <w:tc>
          <w:tcPr>
            <w:tcW w:w="3465" w:type="dxa"/>
            <w:tcBorders>
              <w:top w:val="nil"/>
              <w:left w:val="nil"/>
              <w:bottom w:val="single" w:sz="4" w:space="0" w:color="auto"/>
              <w:right w:val="single" w:sz="4" w:space="0" w:color="auto"/>
            </w:tcBorders>
            <w:shd w:val="clear" w:color="auto" w:fill="C6EFCE"/>
            <w:noWrap/>
          </w:tcPr>
          <w:p w14:paraId="13DA0DE9" w14:textId="77777777" w:rsidR="00D21D80" w:rsidRPr="009674F2" w:rsidRDefault="00D21D80" w:rsidP="00C955DB">
            <w:pPr>
              <w:spacing w:after="0" w:line="240" w:lineRule="auto"/>
              <w:rPr>
                <w:rFonts w:ascii="Times New Roman" w:eastAsia="Times New Roman" w:hAnsi="Times New Roman" w:cs="Times New Roman"/>
                <w:noProof/>
                <w:color w:val="006100"/>
              </w:rPr>
            </w:pPr>
            <w:r>
              <w:rPr>
                <w:rFonts w:ascii="Times New Roman" w:hAnsi="Times New Roman"/>
                <w:noProof/>
                <w:color w:val="006100"/>
              </w:rPr>
              <w:t>Влизане в сила на изменения на нормативната уредба във връзка с подаването на сигнали за нередности</w:t>
            </w:r>
            <w:r>
              <w:rPr>
                <w:rFonts w:ascii="Times New Roman" w:hAnsi="Times New Roman"/>
                <w:noProof/>
              </w:rPr>
              <w:t xml:space="preserve"> </w:t>
            </w:r>
          </w:p>
        </w:tc>
      </w:tr>
      <w:tr w:rsidR="00D21D80" w:rsidRPr="005241FC" w14:paraId="7653172A" w14:textId="77777777" w:rsidTr="00E7285C">
        <w:trPr>
          <w:gridAfter w:val="1"/>
          <w:wAfter w:w="11" w:type="dxa"/>
          <w:trHeight w:val="302"/>
          <w:jc w:val="center"/>
        </w:trPr>
        <w:tc>
          <w:tcPr>
            <w:tcW w:w="1084" w:type="dxa"/>
            <w:tcBorders>
              <w:top w:val="nil"/>
              <w:left w:val="single" w:sz="4" w:space="0" w:color="auto"/>
              <w:bottom w:val="single" w:sz="4" w:space="0" w:color="auto"/>
              <w:right w:val="single" w:sz="4" w:space="0" w:color="auto"/>
            </w:tcBorders>
            <w:shd w:val="clear" w:color="auto" w:fill="C6EFCE"/>
            <w:noWrap/>
          </w:tcPr>
          <w:p w14:paraId="550BCA7D"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218</w:t>
            </w:r>
          </w:p>
        </w:tc>
        <w:tc>
          <w:tcPr>
            <w:tcW w:w="3835" w:type="dxa"/>
            <w:tcBorders>
              <w:top w:val="nil"/>
              <w:left w:val="nil"/>
              <w:bottom w:val="single" w:sz="4" w:space="0" w:color="auto"/>
              <w:right w:val="single" w:sz="4" w:space="0" w:color="auto"/>
            </w:tcBorders>
            <w:shd w:val="clear" w:color="auto" w:fill="C6EFCE"/>
            <w:noWrap/>
          </w:tcPr>
          <w:p w14:paraId="4063FFDE" w14:textId="77777777" w:rsidR="00D21D80" w:rsidRPr="009674F2" w:rsidRDefault="00D21D80" w:rsidP="00C955DB">
            <w:pPr>
              <w:spacing w:after="0" w:line="240" w:lineRule="auto"/>
              <w:rPr>
                <w:rFonts w:ascii="Times New Roman" w:eastAsia="Times New Roman" w:hAnsi="Times New Roman" w:cs="Times New Roman"/>
                <w:noProof/>
                <w:color w:val="006100"/>
                <w:highlight w:val="yellow"/>
              </w:rPr>
            </w:pPr>
            <w:r>
              <w:rPr>
                <w:rFonts w:ascii="Times New Roman" w:hAnsi="Times New Roman"/>
                <w:noProof/>
                <w:color w:val="006100"/>
              </w:rPr>
              <w:t>C10R2 Противодействие на корупцията</w:t>
            </w:r>
          </w:p>
        </w:tc>
        <w:tc>
          <w:tcPr>
            <w:tcW w:w="1418" w:type="dxa"/>
            <w:tcBorders>
              <w:top w:val="nil"/>
              <w:left w:val="nil"/>
              <w:bottom w:val="single" w:sz="4" w:space="0" w:color="auto"/>
              <w:right w:val="single" w:sz="4" w:space="0" w:color="auto"/>
            </w:tcBorders>
            <w:shd w:val="clear" w:color="auto" w:fill="C6EFCE"/>
            <w:noWrap/>
          </w:tcPr>
          <w:p w14:paraId="575BB50C"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Ключов етап</w:t>
            </w:r>
          </w:p>
        </w:tc>
        <w:tc>
          <w:tcPr>
            <w:tcW w:w="3465" w:type="dxa"/>
            <w:tcBorders>
              <w:top w:val="nil"/>
              <w:left w:val="nil"/>
              <w:bottom w:val="single" w:sz="4" w:space="0" w:color="auto"/>
              <w:right w:val="single" w:sz="4" w:space="0" w:color="auto"/>
            </w:tcBorders>
            <w:shd w:val="clear" w:color="auto" w:fill="C6EFCE"/>
            <w:noWrap/>
          </w:tcPr>
          <w:p w14:paraId="743D7F8C" w14:textId="77777777" w:rsidR="00D21D80" w:rsidRPr="009674F2" w:rsidRDefault="00D21D80" w:rsidP="00C955DB">
            <w:pPr>
              <w:spacing w:after="0" w:line="240" w:lineRule="auto"/>
              <w:rPr>
                <w:rFonts w:ascii="Times New Roman" w:eastAsia="Times New Roman" w:hAnsi="Times New Roman" w:cs="Times New Roman"/>
                <w:noProof/>
                <w:color w:val="006100"/>
              </w:rPr>
            </w:pPr>
            <w:r>
              <w:rPr>
                <w:rFonts w:ascii="Times New Roman" w:hAnsi="Times New Roman"/>
                <w:noProof/>
                <w:color w:val="006100"/>
              </w:rPr>
              <w:t>Влизане в сила на законодателните изменения за реформа на Комисия за противодействие на корупцията и за отнемане на незаконно придобитото имущество</w:t>
            </w:r>
          </w:p>
        </w:tc>
      </w:tr>
      <w:tr w:rsidR="00D21D80" w:rsidRPr="005241FC" w14:paraId="64B60FE3" w14:textId="77777777" w:rsidTr="00E7285C">
        <w:trPr>
          <w:gridAfter w:val="1"/>
          <w:wAfter w:w="11" w:type="dxa"/>
          <w:trHeight w:val="302"/>
          <w:jc w:val="center"/>
        </w:trPr>
        <w:tc>
          <w:tcPr>
            <w:tcW w:w="1084" w:type="dxa"/>
            <w:tcBorders>
              <w:top w:val="nil"/>
              <w:left w:val="single" w:sz="4" w:space="0" w:color="auto"/>
              <w:bottom w:val="single" w:sz="4" w:space="0" w:color="auto"/>
              <w:right w:val="single" w:sz="4" w:space="0" w:color="auto"/>
            </w:tcBorders>
            <w:shd w:val="clear" w:color="auto" w:fill="C6EFCE"/>
            <w:noWrap/>
          </w:tcPr>
          <w:p w14:paraId="6CACA974"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219</w:t>
            </w:r>
          </w:p>
        </w:tc>
        <w:tc>
          <w:tcPr>
            <w:tcW w:w="3835" w:type="dxa"/>
            <w:tcBorders>
              <w:top w:val="nil"/>
              <w:left w:val="nil"/>
              <w:bottom w:val="single" w:sz="4" w:space="0" w:color="auto"/>
              <w:right w:val="single" w:sz="4" w:space="0" w:color="auto"/>
            </w:tcBorders>
            <w:shd w:val="clear" w:color="auto" w:fill="C6EFCE"/>
            <w:noWrap/>
          </w:tcPr>
          <w:p w14:paraId="36EDC971" w14:textId="77777777" w:rsidR="00D21D80" w:rsidRPr="009674F2" w:rsidRDefault="00D21D80" w:rsidP="00C955DB">
            <w:pPr>
              <w:spacing w:after="0" w:line="240" w:lineRule="auto"/>
              <w:rPr>
                <w:rFonts w:ascii="Times New Roman" w:eastAsia="Times New Roman" w:hAnsi="Times New Roman" w:cs="Times New Roman"/>
                <w:noProof/>
                <w:color w:val="006100"/>
              </w:rPr>
            </w:pPr>
            <w:r>
              <w:rPr>
                <w:rFonts w:ascii="Times New Roman" w:hAnsi="Times New Roman"/>
                <w:noProof/>
                <w:color w:val="006100"/>
              </w:rPr>
              <w:t>C10R2 Противодействие на корупцията</w:t>
            </w:r>
          </w:p>
        </w:tc>
        <w:tc>
          <w:tcPr>
            <w:tcW w:w="1418" w:type="dxa"/>
            <w:tcBorders>
              <w:top w:val="nil"/>
              <w:left w:val="nil"/>
              <w:bottom w:val="single" w:sz="4" w:space="0" w:color="auto"/>
              <w:right w:val="single" w:sz="4" w:space="0" w:color="auto"/>
            </w:tcBorders>
            <w:shd w:val="clear" w:color="auto" w:fill="C6EFCE"/>
            <w:noWrap/>
          </w:tcPr>
          <w:p w14:paraId="5B55C918"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Ключов етап</w:t>
            </w:r>
          </w:p>
        </w:tc>
        <w:tc>
          <w:tcPr>
            <w:tcW w:w="3465" w:type="dxa"/>
            <w:tcBorders>
              <w:top w:val="nil"/>
              <w:left w:val="nil"/>
              <w:bottom w:val="single" w:sz="4" w:space="0" w:color="auto"/>
              <w:right w:val="single" w:sz="4" w:space="0" w:color="auto"/>
            </w:tcBorders>
            <w:shd w:val="clear" w:color="auto" w:fill="C6EFCE"/>
            <w:noWrap/>
          </w:tcPr>
          <w:p w14:paraId="05107DC8" w14:textId="77777777" w:rsidR="00D21D80" w:rsidRPr="009674F2" w:rsidRDefault="00D21D80" w:rsidP="00C955DB">
            <w:pPr>
              <w:spacing w:after="0" w:line="240" w:lineRule="auto"/>
              <w:rPr>
                <w:rFonts w:ascii="Times New Roman" w:eastAsia="Times New Roman" w:hAnsi="Times New Roman" w:cs="Times New Roman"/>
                <w:noProof/>
                <w:color w:val="006100"/>
              </w:rPr>
            </w:pPr>
            <w:r>
              <w:rPr>
                <w:rFonts w:ascii="Times New Roman" w:hAnsi="Times New Roman"/>
                <w:noProof/>
                <w:color w:val="006100"/>
              </w:rPr>
              <w:t>Укрепване на капацитета на Инспектората към Висшия съдебен съвет за превенция и противодействие на корупцията в съдебната власт</w:t>
            </w:r>
          </w:p>
        </w:tc>
      </w:tr>
      <w:tr w:rsidR="00D21D80" w:rsidRPr="005241FC" w14:paraId="04983209" w14:textId="77777777" w:rsidTr="00E7285C">
        <w:trPr>
          <w:gridAfter w:val="1"/>
          <w:wAfter w:w="11" w:type="dxa"/>
          <w:trHeight w:val="302"/>
          <w:jc w:val="center"/>
        </w:trPr>
        <w:tc>
          <w:tcPr>
            <w:tcW w:w="1084" w:type="dxa"/>
            <w:tcBorders>
              <w:top w:val="nil"/>
              <w:left w:val="single" w:sz="4" w:space="0" w:color="auto"/>
              <w:bottom w:val="single" w:sz="4" w:space="0" w:color="auto"/>
              <w:right w:val="single" w:sz="4" w:space="0" w:color="auto"/>
            </w:tcBorders>
            <w:shd w:val="clear" w:color="auto" w:fill="C6EFCE"/>
            <w:noWrap/>
          </w:tcPr>
          <w:p w14:paraId="378C5414"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227</w:t>
            </w:r>
          </w:p>
        </w:tc>
        <w:tc>
          <w:tcPr>
            <w:tcW w:w="3835" w:type="dxa"/>
            <w:tcBorders>
              <w:top w:val="nil"/>
              <w:left w:val="nil"/>
              <w:bottom w:val="single" w:sz="4" w:space="0" w:color="auto"/>
              <w:right w:val="single" w:sz="4" w:space="0" w:color="auto"/>
            </w:tcBorders>
            <w:shd w:val="clear" w:color="auto" w:fill="C6EFCE"/>
            <w:noWrap/>
          </w:tcPr>
          <w:p w14:paraId="1D824A3A" w14:textId="77777777" w:rsidR="00D21D80" w:rsidRPr="009674F2" w:rsidRDefault="00D21D80" w:rsidP="00C955DB">
            <w:pPr>
              <w:spacing w:after="0" w:line="240" w:lineRule="auto"/>
              <w:rPr>
                <w:rFonts w:ascii="Times New Roman" w:eastAsia="Times New Roman" w:hAnsi="Times New Roman" w:cs="Times New Roman"/>
                <w:noProof/>
                <w:color w:val="006100"/>
              </w:rPr>
            </w:pPr>
            <w:r>
              <w:rPr>
                <w:rFonts w:ascii="Times New Roman" w:hAnsi="Times New Roman"/>
                <w:noProof/>
                <w:color w:val="006100"/>
              </w:rPr>
              <w:t>C10R3 Въвеждане на задължителна съдебна медиация</w:t>
            </w:r>
          </w:p>
        </w:tc>
        <w:tc>
          <w:tcPr>
            <w:tcW w:w="1418" w:type="dxa"/>
            <w:tcBorders>
              <w:top w:val="nil"/>
              <w:left w:val="nil"/>
              <w:bottom w:val="single" w:sz="4" w:space="0" w:color="auto"/>
              <w:right w:val="single" w:sz="4" w:space="0" w:color="auto"/>
            </w:tcBorders>
            <w:shd w:val="clear" w:color="auto" w:fill="C6EFCE"/>
            <w:noWrap/>
          </w:tcPr>
          <w:p w14:paraId="2A664712"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Ключов етап</w:t>
            </w:r>
          </w:p>
        </w:tc>
        <w:tc>
          <w:tcPr>
            <w:tcW w:w="3465" w:type="dxa"/>
            <w:tcBorders>
              <w:top w:val="nil"/>
              <w:left w:val="nil"/>
              <w:bottom w:val="single" w:sz="4" w:space="0" w:color="auto"/>
              <w:right w:val="single" w:sz="4" w:space="0" w:color="auto"/>
            </w:tcBorders>
            <w:shd w:val="clear" w:color="auto" w:fill="C6EFCE"/>
            <w:noWrap/>
          </w:tcPr>
          <w:p w14:paraId="30C159A1" w14:textId="77777777" w:rsidR="00D21D80" w:rsidRPr="009674F2" w:rsidRDefault="00D21D80" w:rsidP="00C955DB">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Влизане в сила на законодателните изменения в съответните правни актове за въвеждането на задължителна съдебна медиация по някои граждански и търговски спорове </w:t>
            </w:r>
          </w:p>
        </w:tc>
      </w:tr>
      <w:tr w:rsidR="00D21D80" w:rsidRPr="005241FC" w14:paraId="2386E55B" w14:textId="77777777" w:rsidTr="00E7285C">
        <w:trPr>
          <w:gridAfter w:val="1"/>
          <w:wAfter w:w="11" w:type="dxa"/>
          <w:trHeight w:val="302"/>
          <w:jc w:val="center"/>
        </w:trPr>
        <w:tc>
          <w:tcPr>
            <w:tcW w:w="1084" w:type="dxa"/>
            <w:tcBorders>
              <w:top w:val="nil"/>
              <w:left w:val="single" w:sz="4" w:space="0" w:color="auto"/>
              <w:bottom w:val="single" w:sz="4" w:space="0" w:color="auto"/>
              <w:right w:val="single" w:sz="4" w:space="0" w:color="auto"/>
            </w:tcBorders>
            <w:shd w:val="clear" w:color="auto" w:fill="C6EFCE"/>
            <w:noWrap/>
          </w:tcPr>
          <w:p w14:paraId="5DC42DC1"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228</w:t>
            </w:r>
          </w:p>
        </w:tc>
        <w:tc>
          <w:tcPr>
            <w:tcW w:w="3835" w:type="dxa"/>
            <w:tcBorders>
              <w:top w:val="nil"/>
              <w:left w:val="nil"/>
              <w:bottom w:val="single" w:sz="4" w:space="0" w:color="auto"/>
              <w:right w:val="single" w:sz="4" w:space="0" w:color="auto"/>
            </w:tcBorders>
            <w:shd w:val="clear" w:color="auto" w:fill="C6EFCE"/>
            <w:noWrap/>
          </w:tcPr>
          <w:p w14:paraId="4A1C1E94" w14:textId="77777777" w:rsidR="00D21D80" w:rsidRPr="009674F2" w:rsidRDefault="00D21D80" w:rsidP="00C955DB">
            <w:pPr>
              <w:spacing w:after="0" w:line="240" w:lineRule="auto"/>
              <w:rPr>
                <w:rFonts w:ascii="Times New Roman" w:eastAsia="Times New Roman" w:hAnsi="Times New Roman" w:cs="Times New Roman"/>
                <w:noProof/>
                <w:color w:val="006100"/>
              </w:rPr>
            </w:pPr>
            <w:r>
              <w:rPr>
                <w:rFonts w:ascii="Times New Roman" w:hAnsi="Times New Roman"/>
                <w:noProof/>
                <w:color w:val="006100"/>
              </w:rPr>
              <w:t>C10R4 Укрепване на производствата по несъстоятелност</w:t>
            </w:r>
          </w:p>
        </w:tc>
        <w:tc>
          <w:tcPr>
            <w:tcW w:w="1418" w:type="dxa"/>
            <w:tcBorders>
              <w:top w:val="nil"/>
              <w:left w:val="nil"/>
              <w:bottom w:val="single" w:sz="4" w:space="0" w:color="auto"/>
              <w:right w:val="single" w:sz="4" w:space="0" w:color="auto"/>
            </w:tcBorders>
            <w:shd w:val="clear" w:color="auto" w:fill="C6EFCE"/>
            <w:noWrap/>
          </w:tcPr>
          <w:p w14:paraId="33CDE8F6"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Ключов етап</w:t>
            </w:r>
          </w:p>
        </w:tc>
        <w:tc>
          <w:tcPr>
            <w:tcW w:w="3465" w:type="dxa"/>
            <w:tcBorders>
              <w:top w:val="nil"/>
              <w:left w:val="nil"/>
              <w:bottom w:val="single" w:sz="4" w:space="0" w:color="auto"/>
              <w:right w:val="single" w:sz="4" w:space="0" w:color="auto"/>
            </w:tcBorders>
            <w:shd w:val="clear" w:color="auto" w:fill="C6EFCE"/>
            <w:noWrap/>
          </w:tcPr>
          <w:p w14:paraId="7D6EECFF" w14:textId="77777777" w:rsidR="00D21D80" w:rsidRPr="009674F2" w:rsidRDefault="00D21D80" w:rsidP="00C955DB">
            <w:pPr>
              <w:spacing w:after="0" w:line="240" w:lineRule="auto"/>
              <w:rPr>
                <w:rFonts w:ascii="Times New Roman" w:eastAsia="Times New Roman" w:hAnsi="Times New Roman" w:cs="Times New Roman"/>
                <w:noProof/>
                <w:color w:val="006100"/>
              </w:rPr>
            </w:pPr>
            <w:r>
              <w:rPr>
                <w:rFonts w:ascii="Times New Roman" w:hAnsi="Times New Roman"/>
                <w:noProof/>
                <w:color w:val="006100"/>
              </w:rPr>
              <w:t>Влизане в сила на законодателни изменения на Търговския закон по отношение на производствата по несъстоятелност и преструктуриране</w:t>
            </w:r>
          </w:p>
        </w:tc>
      </w:tr>
      <w:tr w:rsidR="00D21D80" w:rsidRPr="005241FC" w14:paraId="1F7C7642" w14:textId="77777777" w:rsidTr="00E7285C">
        <w:trPr>
          <w:gridAfter w:val="1"/>
          <w:wAfter w:w="11" w:type="dxa"/>
          <w:trHeight w:val="302"/>
          <w:jc w:val="center"/>
        </w:trPr>
        <w:tc>
          <w:tcPr>
            <w:tcW w:w="1084" w:type="dxa"/>
            <w:tcBorders>
              <w:top w:val="nil"/>
              <w:left w:val="single" w:sz="4" w:space="0" w:color="auto"/>
              <w:bottom w:val="single" w:sz="4" w:space="0" w:color="auto"/>
              <w:right w:val="single" w:sz="4" w:space="0" w:color="auto"/>
            </w:tcBorders>
            <w:shd w:val="clear" w:color="auto" w:fill="C6EFCE"/>
            <w:noWrap/>
          </w:tcPr>
          <w:p w14:paraId="09198B22"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231</w:t>
            </w:r>
          </w:p>
        </w:tc>
        <w:tc>
          <w:tcPr>
            <w:tcW w:w="3835" w:type="dxa"/>
            <w:tcBorders>
              <w:top w:val="nil"/>
              <w:left w:val="nil"/>
              <w:bottom w:val="single" w:sz="4" w:space="0" w:color="auto"/>
              <w:right w:val="single" w:sz="4" w:space="0" w:color="auto"/>
            </w:tcBorders>
            <w:shd w:val="clear" w:color="auto" w:fill="C6EFCE"/>
            <w:noWrap/>
          </w:tcPr>
          <w:p w14:paraId="33FB5E3C" w14:textId="77777777" w:rsidR="00D21D80" w:rsidRPr="009674F2" w:rsidRDefault="00D21D80" w:rsidP="00C955DB">
            <w:pPr>
              <w:spacing w:after="0" w:line="240" w:lineRule="auto"/>
              <w:rPr>
                <w:rFonts w:ascii="Times New Roman" w:eastAsia="Times New Roman" w:hAnsi="Times New Roman" w:cs="Times New Roman"/>
                <w:noProof/>
                <w:color w:val="006100"/>
              </w:rPr>
            </w:pPr>
            <w:r>
              <w:rPr>
                <w:rFonts w:ascii="Times New Roman" w:hAnsi="Times New Roman"/>
                <w:noProof/>
                <w:color w:val="006100"/>
              </w:rPr>
              <w:t>C10R6 Регистрова реформа за разгръщане потенциала на електронното управление за подобряване на бизнес средата</w:t>
            </w:r>
          </w:p>
        </w:tc>
        <w:tc>
          <w:tcPr>
            <w:tcW w:w="1418" w:type="dxa"/>
            <w:tcBorders>
              <w:top w:val="nil"/>
              <w:left w:val="nil"/>
              <w:bottom w:val="single" w:sz="4" w:space="0" w:color="auto"/>
              <w:right w:val="single" w:sz="4" w:space="0" w:color="auto"/>
            </w:tcBorders>
            <w:shd w:val="clear" w:color="auto" w:fill="C6EFCE"/>
            <w:noWrap/>
          </w:tcPr>
          <w:p w14:paraId="4D5AF731"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Ключов етап</w:t>
            </w:r>
          </w:p>
        </w:tc>
        <w:tc>
          <w:tcPr>
            <w:tcW w:w="3465" w:type="dxa"/>
            <w:tcBorders>
              <w:top w:val="nil"/>
              <w:left w:val="nil"/>
              <w:bottom w:val="single" w:sz="4" w:space="0" w:color="auto"/>
              <w:right w:val="single" w:sz="4" w:space="0" w:color="auto"/>
            </w:tcBorders>
            <w:shd w:val="clear" w:color="auto" w:fill="C6EFCE"/>
            <w:noWrap/>
          </w:tcPr>
          <w:p w14:paraId="35C9F302" w14:textId="77777777" w:rsidR="00D21D80" w:rsidRPr="009674F2" w:rsidRDefault="00D21D80" w:rsidP="00C955DB">
            <w:pPr>
              <w:spacing w:after="0" w:line="240" w:lineRule="auto"/>
              <w:rPr>
                <w:rFonts w:ascii="Times New Roman" w:eastAsia="Times New Roman" w:hAnsi="Times New Roman" w:cs="Times New Roman"/>
                <w:noProof/>
                <w:color w:val="006100"/>
              </w:rPr>
            </w:pPr>
            <w:r>
              <w:rPr>
                <w:rFonts w:ascii="Times New Roman" w:hAnsi="Times New Roman"/>
                <w:noProof/>
                <w:color w:val="006100"/>
              </w:rPr>
              <w:t>Влизане в сила на измененията на Закона за социалните грижи</w:t>
            </w:r>
          </w:p>
        </w:tc>
      </w:tr>
      <w:tr w:rsidR="00D21D80" w:rsidRPr="005241FC" w14:paraId="7BE83163" w14:textId="77777777" w:rsidTr="00E7285C">
        <w:trPr>
          <w:gridAfter w:val="1"/>
          <w:wAfter w:w="11" w:type="dxa"/>
          <w:trHeight w:val="302"/>
          <w:jc w:val="center"/>
        </w:trPr>
        <w:tc>
          <w:tcPr>
            <w:tcW w:w="1084" w:type="dxa"/>
            <w:tcBorders>
              <w:top w:val="nil"/>
              <w:left w:val="single" w:sz="4" w:space="0" w:color="auto"/>
              <w:bottom w:val="single" w:sz="4" w:space="0" w:color="auto"/>
              <w:right w:val="single" w:sz="4" w:space="0" w:color="auto"/>
            </w:tcBorders>
            <w:shd w:val="clear" w:color="auto" w:fill="C6EFCE"/>
            <w:noWrap/>
          </w:tcPr>
          <w:p w14:paraId="04D1965A"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232</w:t>
            </w:r>
          </w:p>
        </w:tc>
        <w:tc>
          <w:tcPr>
            <w:tcW w:w="3835" w:type="dxa"/>
            <w:tcBorders>
              <w:top w:val="nil"/>
              <w:left w:val="nil"/>
              <w:bottom w:val="single" w:sz="4" w:space="0" w:color="auto"/>
              <w:right w:val="single" w:sz="4" w:space="0" w:color="auto"/>
            </w:tcBorders>
            <w:shd w:val="clear" w:color="auto" w:fill="C6EFCE"/>
            <w:noWrap/>
          </w:tcPr>
          <w:p w14:paraId="77819C09" w14:textId="77777777" w:rsidR="00D21D80" w:rsidRPr="009674F2" w:rsidRDefault="00D21D80" w:rsidP="00C955DB">
            <w:pPr>
              <w:spacing w:after="0" w:line="240" w:lineRule="auto"/>
              <w:rPr>
                <w:rFonts w:ascii="Times New Roman" w:eastAsia="Times New Roman" w:hAnsi="Times New Roman" w:cs="Times New Roman"/>
                <w:noProof/>
                <w:color w:val="006100"/>
              </w:rPr>
            </w:pPr>
            <w:r>
              <w:rPr>
                <w:rFonts w:ascii="Times New Roman" w:hAnsi="Times New Roman"/>
                <w:noProof/>
                <w:color w:val="006100"/>
              </w:rPr>
              <w:t>C10R6 Регистрова реформа за разгръщане потенциала на електронното управление за подобряване на бизнес средата</w:t>
            </w:r>
          </w:p>
        </w:tc>
        <w:tc>
          <w:tcPr>
            <w:tcW w:w="1418" w:type="dxa"/>
            <w:tcBorders>
              <w:top w:val="nil"/>
              <w:left w:val="nil"/>
              <w:bottom w:val="single" w:sz="4" w:space="0" w:color="auto"/>
              <w:right w:val="single" w:sz="4" w:space="0" w:color="auto"/>
            </w:tcBorders>
            <w:shd w:val="clear" w:color="auto" w:fill="C6EFCE"/>
            <w:noWrap/>
          </w:tcPr>
          <w:p w14:paraId="424BFEF4"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Ключов етап</w:t>
            </w:r>
          </w:p>
        </w:tc>
        <w:tc>
          <w:tcPr>
            <w:tcW w:w="3465" w:type="dxa"/>
            <w:tcBorders>
              <w:top w:val="nil"/>
              <w:left w:val="nil"/>
              <w:bottom w:val="single" w:sz="4" w:space="0" w:color="auto"/>
              <w:right w:val="single" w:sz="4" w:space="0" w:color="auto"/>
            </w:tcBorders>
            <w:shd w:val="clear" w:color="auto" w:fill="C6EFCE"/>
            <w:noWrap/>
          </w:tcPr>
          <w:p w14:paraId="7880AFE1" w14:textId="77777777" w:rsidR="00D21D80" w:rsidRPr="009674F2" w:rsidRDefault="00D21D80" w:rsidP="00C955DB">
            <w:pPr>
              <w:spacing w:after="0" w:line="240" w:lineRule="auto"/>
              <w:rPr>
                <w:rFonts w:ascii="Times New Roman" w:eastAsia="Times New Roman" w:hAnsi="Times New Roman" w:cs="Times New Roman"/>
                <w:noProof/>
                <w:color w:val="006100"/>
              </w:rPr>
            </w:pPr>
            <w:r>
              <w:rPr>
                <w:rFonts w:ascii="Times New Roman" w:hAnsi="Times New Roman"/>
                <w:noProof/>
                <w:color w:val="006100"/>
              </w:rPr>
              <w:t>Влизане в сила на измененията на Закона за кадастъра и имотния регистър</w:t>
            </w:r>
          </w:p>
        </w:tc>
      </w:tr>
      <w:tr w:rsidR="00D21D80" w:rsidRPr="005241FC" w14:paraId="6B9731F6" w14:textId="77777777" w:rsidTr="00E7285C">
        <w:trPr>
          <w:gridAfter w:val="1"/>
          <w:wAfter w:w="11" w:type="dxa"/>
          <w:trHeight w:val="302"/>
          <w:jc w:val="center"/>
        </w:trPr>
        <w:tc>
          <w:tcPr>
            <w:tcW w:w="1084" w:type="dxa"/>
            <w:tcBorders>
              <w:top w:val="nil"/>
              <w:left w:val="single" w:sz="4" w:space="0" w:color="auto"/>
              <w:bottom w:val="single" w:sz="4" w:space="0" w:color="auto"/>
              <w:right w:val="single" w:sz="4" w:space="0" w:color="auto"/>
            </w:tcBorders>
            <w:shd w:val="clear" w:color="auto" w:fill="C6EFCE"/>
            <w:noWrap/>
          </w:tcPr>
          <w:p w14:paraId="15BB9D7A"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234</w:t>
            </w:r>
          </w:p>
        </w:tc>
        <w:tc>
          <w:tcPr>
            <w:tcW w:w="3835" w:type="dxa"/>
            <w:tcBorders>
              <w:top w:val="nil"/>
              <w:left w:val="nil"/>
              <w:bottom w:val="single" w:sz="4" w:space="0" w:color="auto"/>
              <w:right w:val="single" w:sz="4" w:space="0" w:color="auto"/>
            </w:tcBorders>
            <w:shd w:val="clear" w:color="auto" w:fill="C6EFCE"/>
            <w:noWrap/>
            <w:vAlign w:val="bottom"/>
          </w:tcPr>
          <w:p w14:paraId="59950432" w14:textId="77777777" w:rsidR="00D21D80" w:rsidRPr="009674F2" w:rsidRDefault="00D21D80" w:rsidP="00C955DB">
            <w:pPr>
              <w:spacing w:after="0" w:line="240" w:lineRule="auto"/>
              <w:rPr>
                <w:rFonts w:ascii="Times New Roman" w:eastAsia="Times New Roman" w:hAnsi="Times New Roman" w:cs="Times New Roman"/>
                <w:noProof/>
                <w:color w:val="006100"/>
              </w:rPr>
            </w:pPr>
            <w:r>
              <w:rPr>
                <w:rFonts w:ascii="Times New Roman" w:hAnsi="Times New Roman"/>
                <w:noProof/>
                <w:color w:val="006100"/>
              </w:rPr>
              <w:t>закони C10R7 Подобряване на рамката за управление на държавните предприятия</w:t>
            </w:r>
          </w:p>
        </w:tc>
        <w:tc>
          <w:tcPr>
            <w:tcW w:w="1418" w:type="dxa"/>
            <w:tcBorders>
              <w:top w:val="nil"/>
              <w:left w:val="nil"/>
              <w:bottom w:val="single" w:sz="4" w:space="0" w:color="auto"/>
              <w:right w:val="single" w:sz="4" w:space="0" w:color="auto"/>
            </w:tcBorders>
            <w:shd w:val="clear" w:color="auto" w:fill="C6EFCE"/>
            <w:noWrap/>
            <w:vAlign w:val="bottom"/>
          </w:tcPr>
          <w:p w14:paraId="44CED8D1"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Ключов етап</w:t>
            </w:r>
          </w:p>
        </w:tc>
        <w:tc>
          <w:tcPr>
            <w:tcW w:w="3465" w:type="dxa"/>
            <w:tcBorders>
              <w:top w:val="nil"/>
              <w:left w:val="nil"/>
              <w:bottom w:val="single" w:sz="4" w:space="0" w:color="auto"/>
              <w:right w:val="single" w:sz="4" w:space="0" w:color="auto"/>
            </w:tcBorders>
            <w:shd w:val="clear" w:color="auto" w:fill="C6EFCE"/>
            <w:noWrap/>
            <w:vAlign w:val="bottom"/>
          </w:tcPr>
          <w:p w14:paraId="4E609DEB" w14:textId="77777777" w:rsidR="00D21D80" w:rsidRPr="009674F2" w:rsidRDefault="00D21D80" w:rsidP="00C955DB">
            <w:pPr>
              <w:spacing w:after="0" w:line="240" w:lineRule="auto"/>
              <w:rPr>
                <w:rFonts w:ascii="Times New Roman" w:eastAsia="Times New Roman" w:hAnsi="Times New Roman" w:cs="Times New Roman"/>
                <w:noProof/>
                <w:color w:val="006100"/>
              </w:rPr>
            </w:pPr>
            <w:r>
              <w:rPr>
                <w:rFonts w:ascii="Times New Roman" w:hAnsi="Times New Roman"/>
                <w:noProof/>
                <w:color w:val="006100"/>
              </w:rPr>
              <w:t>Приемане на политиката за държавната собственост</w:t>
            </w:r>
          </w:p>
        </w:tc>
      </w:tr>
      <w:tr w:rsidR="00D21D80" w:rsidRPr="005241FC" w14:paraId="20200A8B" w14:textId="77777777" w:rsidTr="00E7285C">
        <w:trPr>
          <w:gridAfter w:val="1"/>
          <w:wAfter w:w="11" w:type="dxa"/>
          <w:trHeight w:val="302"/>
          <w:jc w:val="center"/>
        </w:trPr>
        <w:tc>
          <w:tcPr>
            <w:tcW w:w="1084" w:type="dxa"/>
            <w:tcBorders>
              <w:top w:val="nil"/>
              <w:left w:val="single" w:sz="4" w:space="0" w:color="auto"/>
              <w:bottom w:val="single" w:sz="4" w:space="0" w:color="auto"/>
              <w:right w:val="single" w:sz="4" w:space="0" w:color="auto"/>
            </w:tcBorders>
            <w:shd w:val="clear" w:color="auto" w:fill="C6EFCE"/>
            <w:noWrap/>
          </w:tcPr>
          <w:p w14:paraId="2264924B"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239</w:t>
            </w:r>
          </w:p>
        </w:tc>
        <w:tc>
          <w:tcPr>
            <w:tcW w:w="3835" w:type="dxa"/>
            <w:tcBorders>
              <w:top w:val="nil"/>
              <w:left w:val="nil"/>
              <w:bottom w:val="single" w:sz="4" w:space="0" w:color="auto"/>
              <w:right w:val="single" w:sz="4" w:space="0" w:color="auto"/>
            </w:tcBorders>
            <w:shd w:val="clear" w:color="auto" w:fill="C6EFCE"/>
            <w:noWrap/>
          </w:tcPr>
          <w:p w14:paraId="074D1EB1" w14:textId="77777777" w:rsidR="00D21D80" w:rsidRPr="009674F2" w:rsidRDefault="00D21D80" w:rsidP="00C955DB">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C10R8 Подобряване на рамката за борба с изпирането на пари </w:t>
            </w:r>
          </w:p>
        </w:tc>
        <w:tc>
          <w:tcPr>
            <w:tcW w:w="1418" w:type="dxa"/>
            <w:tcBorders>
              <w:top w:val="nil"/>
              <w:left w:val="nil"/>
              <w:bottom w:val="single" w:sz="4" w:space="0" w:color="auto"/>
              <w:right w:val="single" w:sz="4" w:space="0" w:color="auto"/>
            </w:tcBorders>
            <w:shd w:val="clear" w:color="auto" w:fill="C6EFCE"/>
            <w:noWrap/>
          </w:tcPr>
          <w:p w14:paraId="349F1ECE"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Ключов етап</w:t>
            </w:r>
          </w:p>
        </w:tc>
        <w:tc>
          <w:tcPr>
            <w:tcW w:w="3465" w:type="dxa"/>
            <w:tcBorders>
              <w:top w:val="nil"/>
              <w:left w:val="nil"/>
              <w:bottom w:val="single" w:sz="4" w:space="0" w:color="auto"/>
              <w:right w:val="single" w:sz="4" w:space="0" w:color="auto"/>
            </w:tcBorders>
            <w:shd w:val="clear" w:color="auto" w:fill="C6EFCE"/>
            <w:noWrap/>
          </w:tcPr>
          <w:p w14:paraId="576D88A5" w14:textId="77777777" w:rsidR="00D21D80" w:rsidRPr="009674F2" w:rsidRDefault="00D21D80" w:rsidP="00C955DB">
            <w:pPr>
              <w:spacing w:after="0" w:line="240" w:lineRule="auto"/>
              <w:rPr>
                <w:rFonts w:ascii="Times New Roman" w:eastAsia="Times New Roman" w:hAnsi="Times New Roman" w:cs="Times New Roman"/>
                <w:noProof/>
                <w:color w:val="006100"/>
              </w:rPr>
            </w:pPr>
            <w:r>
              <w:rPr>
                <w:rFonts w:ascii="Times New Roman" w:hAnsi="Times New Roman"/>
                <w:noProof/>
                <w:color w:val="006100"/>
              </w:rPr>
              <w:t>Приемане на актуализация на националната оценка на риска във връзка с изпирането на пари и финансирането на тероризма, включително секторните оценки на риска на сектора на организациите с нестопанска цел, виртуалните активи и схемите за гражданство срещу инвестиции</w:t>
            </w:r>
          </w:p>
        </w:tc>
      </w:tr>
      <w:tr w:rsidR="00D21D80" w:rsidRPr="005241FC" w14:paraId="388069BB" w14:textId="77777777" w:rsidTr="00E7285C">
        <w:trPr>
          <w:gridAfter w:val="1"/>
          <w:wAfter w:w="11" w:type="dxa"/>
          <w:trHeight w:val="302"/>
          <w:jc w:val="center"/>
        </w:trPr>
        <w:tc>
          <w:tcPr>
            <w:tcW w:w="1084" w:type="dxa"/>
            <w:tcBorders>
              <w:top w:val="nil"/>
              <w:left w:val="single" w:sz="4" w:space="0" w:color="auto"/>
              <w:bottom w:val="single" w:sz="4" w:space="0" w:color="auto"/>
              <w:right w:val="single" w:sz="4" w:space="0" w:color="auto"/>
            </w:tcBorders>
            <w:shd w:val="clear" w:color="auto" w:fill="C6EFCE"/>
            <w:noWrap/>
          </w:tcPr>
          <w:p w14:paraId="08413FDB"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242</w:t>
            </w:r>
          </w:p>
        </w:tc>
        <w:tc>
          <w:tcPr>
            <w:tcW w:w="3835" w:type="dxa"/>
            <w:tcBorders>
              <w:top w:val="nil"/>
              <w:left w:val="nil"/>
              <w:bottom w:val="single" w:sz="4" w:space="0" w:color="auto"/>
              <w:right w:val="single" w:sz="4" w:space="0" w:color="auto"/>
            </w:tcBorders>
            <w:shd w:val="clear" w:color="auto" w:fill="C6EFCE"/>
            <w:noWrap/>
          </w:tcPr>
          <w:p w14:paraId="4A3B615E" w14:textId="77777777" w:rsidR="00D21D80" w:rsidRPr="009674F2" w:rsidRDefault="00D21D80" w:rsidP="00C955DB">
            <w:pPr>
              <w:spacing w:after="0" w:line="240" w:lineRule="auto"/>
              <w:rPr>
                <w:rFonts w:ascii="Times New Roman" w:eastAsia="Times New Roman" w:hAnsi="Times New Roman" w:cs="Times New Roman"/>
                <w:noProof/>
                <w:color w:val="006100"/>
              </w:rPr>
            </w:pPr>
            <w:r>
              <w:rPr>
                <w:rFonts w:ascii="Times New Roman" w:hAnsi="Times New Roman"/>
                <w:noProof/>
                <w:color w:val="006100"/>
              </w:rPr>
              <w:t>C10R10 Обществени поръчки</w:t>
            </w:r>
          </w:p>
        </w:tc>
        <w:tc>
          <w:tcPr>
            <w:tcW w:w="1418" w:type="dxa"/>
            <w:tcBorders>
              <w:top w:val="nil"/>
              <w:left w:val="nil"/>
              <w:bottom w:val="single" w:sz="4" w:space="0" w:color="auto"/>
              <w:right w:val="single" w:sz="4" w:space="0" w:color="auto"/>
            </w:tcBorders>
            <w:shd w:val="clear" w:color="auto" w:fill="C6EFCE"/>
            <w:noWrap/>
          </w:tcPr>
          <w:p w14:paraId="63131E73"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Ключов етап</w:t>
            </w:r>
          </w:p>
        </w:tc>
        <w:tc>
          <w:tcPr>
            <w:tcW w:w="3465" w:type="dxa"/>
            <w:tcBorders>
              <w:top w:val="nil"/>
              <w:left w:val="nil"/>
              <w:bottom w:val="single" w:sz="4" w:space="0" w:color="auto"/>
              <w:right w:val="single" w:sz="4" w:space="0" w:color="auto"/>
            </w:tcBorders>
            <w:shd w:val="clear" w:color="auto" w:fill="C6EFCE"/>
            <w:noWrap/>
          </w:tcPr>
          <w:p w14:paraId="6F8410AB" w14:textId="77777777" w:rsidR="00D21D80" w:rsidRPr="009674F2" w:rsidRDefault="00D21D80" w:rsidP="00C955DB">
            <w:pPr>
              <w:spacing w:after="0" w:line="240" w:lineRule="auto"/>
              <w:rPr>
                <w:rFonts w:ascii="Times New Roman" w:eastAsia="Times New Roman" w:hAnsi="Times New Roman" w:cs="Times New Roman"/>
                <w:noProof/>
                <w:color w:val="006100"/>
              </w:rPr>
            </w:pPr>
            <w:r>
              <w:rPr>
                <w:rFonts w:ascii="Times New Roman" w:hAnsi="Times New Roman"/>
                <w:noProof/>
                <w:color w:val="006100"/>
              </w:rPr>
              <w:t>Влизане в сила на законодателни изменения на Закона за обществените поръчки с цел намаляване на броя на договорите без покана за участие в тръжна процедура („без покана“) и на офертите в резултат само на една покана</w:t>
            </w:r>
          </w:p>
        </w:tc>
      </w:tr>
      <w:tr w:rsidR="00D21D80" w:rsidRPr="005241FC" w14:paraId="0DA4BD73" w14:textId="77777777" w:rsidTr="00E7285C">
        <w:trPr>
          <w:gridAfter w:val="1"/>
          <w:wAfter w:w="11" w:type="dxa"/>
          <w:trHeight w:val="302"/>
          <w:jc w:val="center"/>
        </w:trPr>
        <w:tc>
          <w:tcPr>
            <w:tcW w:w="1084" w:type="dxa"/>
            <w:tcBorders>
              <w:top w:val="nil"/>
              <w:left w:val="single" w:sz="4" w:space="0" w:color="auto"/>
              <w:bottom w:val="single" w:sz="4" w:space="0" w:color="auto"/>
              <w:right w:val="single" w:sz="4" w:space="0" w:color="auto"/>
            </w:tcBorders>
            <w:shd w:val="clear" w:color="auto" w:fill="C6EFCE"/>
            <w:noWrap/>
          </w:tcPr>
          <w:p w14:paraId="3164FD48"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243</w:t>
            </w:r>
          </w:p>
        </w:tc>
        <w:tc>
          <w:tcPr>
            <w:tcW w:w="3835" w:type="dxa"/>
            <w:tcBorders>
              <w:top w:val="nil"/>
              <w:left w:val="nil"/>
              <w:bottom w:val="single" w:sz="4" w:space="0" w:color="auto"/>
              <w:right w:val="single" w:sz="4" w:space="0" w:color="auto"/>
            </w:tcBorders>
            <w:shd w:val="clear" w:color="auto" w:fill="C6EFCE"/>
            <w:noWrap/>
          </w:tcPr>
          <w:p w14:paraId="0A557E8A" w14:textId="77777777" w:rsidR="00D21D80" w:rsidRPr="009674F2" w:rsidRDefault="00D21D80" w:rsidP="00C955DB">
            <w:pPr>
              <w:spacing w:after="0" w:line="240" w:lineRule="auto"/>
              <w:rPr>
                <w:rFonts w:ascii="Times New Roman" w:eastAsia="Times New Roman" w:hAnsi="Times New Roman" w:cs="Times New Roman"/>
                <w:noProof/>
                <w:color w:val="006100"/>
              </w:rPr>
            </w:pPr>
            <w:r>
              <w:rPr>
                <w:rFonts w:ascii="Times New Roman" w:hAnsi="Times New Roman"/>
                <w:noProof/>
                <w:color w:val="006100"/>
              </w:rPr>
              <w:t>C10R10 Обществени поръчки</w:t>
            </w:r>
          </w:p>
        </w:tc>
        <w:tc>
          <w:tcPr>
            <w:tcW w:w="1418" w:type="dxa"/>
            <w:tcBorders>
              <w:top w:val="nil"/>
              <w:left w:val="nil"/>
              <w:bottom w:val="single" w:sz="4" w:space="0" w:color="auto"/>
              <w:right w:val="single" w:sz="4" w:space="0" w:color="auto"/>
            </w:tcBorders>
            <w:shd w:val="clear" w:color="auto" w:fill="C6EFCE"/>
            <w:noWrap/>
          </w:tcPr>
          <w:p w14:paraId="0CE41D46"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Цел</w:t>
            </w:r>
          </w:p>
        </w:tc>
        <w:tc>
          <w:tcPr>
            <w:tcW w:w="3465" w:type="dxa"/>
            <w:tcBorders>
              <w:top w:val="nil"/>
              <w:left w:val="nil"/>
              <w:bottom w:val="single" w:sz="4" w:space="0" w:color="auto"/>
              <w:right w:val="single" w:sz="4" w:space="0" w:color="auto"/>
            </w:tcBorders>
            <w:shd w:val="clear" w:color="auto" w:fill="C6EFCE"/>
            <w:noWrap/>
          </w:tcPr>
          <w:p w14:paraId="2643AF31" w14:textId="77777777" w:rsidR="00D21D80" w:rsidRPr="009674F2" w:rsidRDefault="00D21D80" w:rsidP="00C955DB">
            <w:pPr>
              <w:spacing w:after="0" w:line="240" w:lineRule="auto"/>
              <w:rPr>
                <w:rFonts w:ascii="Times New Roman" w:eastAsia="Times New Roman" w:hAnsi="Times New Roman" w:cs="Times New Roman"/>
                <w:noProof/>
                <w:color w:val="006100"/>
              </w:rPr>
            </w:pPr>
            <w:r>
              <w:rPr>
                <w:rFonts w:ascii="Times New Roman" w:hAnsi="Times New Roman"/>
                <w:noProof/>
                <w:color w:val="006100"/>
              </w:rPr>
              <w:t>Намаляване на дела на обществените поръчки, възложени въз основа на един-единствен оферент</w:t>
            </w:r>
          </w:p>
        </w:tc>
      </w:tr>
      <w:tr w:rsidR="00D21D80" w:rsidRPr="005241FC" w14:paraId="121B6D70" w14:textId="77777777" w:rsidTr="00E7285C">
        <w:trPr>
          <w:gridAfter w:val="1"/>
          <w:wAfter w:w="11" w:type="dxa"/>
          <w:trHeight w:val="302"/>
          <w:jc w:val="center"/>
        </w:trPr>
        <w:tc>
          <w:tcPr>
            <w:tcW w:w="1084" w:type="dxa"/>
            <w:tcBorders>
              <w:top w:val="nil"/>
              <w:left w:val="single" w:sz="4" w:space="0" w:color="auto"/>
              <w:bottom w:val="single" w:sz="4" w:space="0" w:color="auto"/>
              <w:right w:val="single" w:sz="4" w:space="0" w:color="auto"/>
            </w:tcBorders>
            <w:shd w:val="clear" w:color="auto" w:fill="C6EFCE"/>
            <w:noWrap/>
          </w:tcPr>
          <w:p w14:paraId="0404A5AB"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235</w:t>
            </w:r>
          </w:p>
          <w:p w14:paraId="41545023" w14:textId="77777777" w:rsidR="00D21D80" w:rsidRPr="009674F2" w:rsidRDefault="00D21D80" w:rsidP="00C955DB">
            <w:pPr>
              <w:spacing w:after="0" w:line="240" w:lineRule="auto"/>
              <w:jc w:val="center"/>
              <w:rPr>
                <w:rFonts w:ascii="Times New Roman" w:eastAsia="Times New Roman" w:hAnsi="Times New Roman" w:cs="Times New Roman"/>
                <w:noProof/>
                <w:color w:val="006100"/>
                <w:lang w:val="en-GB" w:eastAsia="en-GB"/>
              </w:rPr>
            </w:pPr>
          </w:p>
        </w:tc>
        <w:tc>
          <w:tcPr>
            <w:tcW w:w="3835" w:type="dxa"/>
            <w:tcBorders>
              <w:top w:val="nil"/>
              <w:left w:val="nil"/>
              <w:bottom w:val="single" w:sz="4" w:space="0" w:color="auto"/>
              <w:right w:val="single" w:sz="4" w:space="0" w:color="auto"/>
            </w:tcBorders>
            <w:shd w:val="clear" w:color="auto" w:fill="C6EFCE"/>
            <w:noWrap/>
          </w:tcPr>
          <w:p w14:paraId="5A931F56" w14:textId="77777777" w:rsidR="00D21D80" w:rsidRPr="009674F2" w:rsidRDefault="00D21D80" w:rsidP="00C955DB">
            <w:pPr>
              <w:spacing w:after="0" w:line="240" w:lineRule="auto"/>
              <w:rPr>
                <w:rFonts w:ascii="Times New Roman" w:eastAsia="Times New Roman" w:hAnsi="Times New Roman" w:cs="Times New Roman"/>
                <w:noProof/>
                <w:color w:val="006100"/>
                <w:highlight w:val="yellow"/>
              </w:rPr>
            </w:pPr>
            <w:r>
              <w:rPr>
                <w:rFonts w:ascii="Times New Roman" w:hAnsi="Times New Roman"/>
                <w:noProof/>
                <w:color w:val="006100"/>
              </w:rPr>
              <w:t>закони C10R7 Подобряване на рамката за управление на държавните предприятия</w:t>
            </w:r>
          </w:p>
        </w:tc>
        <w:tc>
          <w:tcPr>
            <w:tcW w:w="1418" w:type="dxa"/>
            <w:tcBorders>
              <w:top w:val="nil"/>
              <w:left w:val="nil"/>
              <w:bottom w:val="single" w:sz="4" w:space="0" w:color="auto"/>
              <w:right w:val="single" w:sz="4" w:space="0" w:color="auto"/>
            </w:tcBorders>
            <w:shd w:val="clear" w:color="auto" w:fill="C6EFCE"/>
            <w:noWrap/>
          </w:tcPr>
          <w:p w14:paraId="5926112A"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Ключов етап</w:t>
            </w:r>
          </w:p>
        </w:tc>
        <w:tc>
          <w:tcPr>
            <w:tcW w:w="3465" w:type="dxa"/>
            <w:tcBorders>
              <w:top w:val="nil"/>
              <w:left w:val="nil"/>
              <w:bottom w:val="single" w:sz="4" w:space="0" w:color="auto"/>
              <w:right w:val="single" w:sz="4" w:space="0" w:color="auto"/>
            </w:tcBorders>
            <w:shd w:val="clear" w:color="auto" w:fill="C6EFCE"/>
            <w:noWrap/>
          </w:tcPr>
          <w:p w14:paraId="246D59D1" w14:textId="77777777" w:rsidR="00D21D80" w:rsidRPr="009674F2" w:rsidRDefault="00D21D80" w:rsidP="00C955DB">
            <w:pPr>
              <w:spacing w:after="0" w:line="240" w:lineRule="auto"/>
              <w:rPr>
                <w:rFonts w:ascii="Times New Roman" w:eastAsia="Times New Roman" w:hAnsi="Times New Roman" w:cs="Times New Roman"/>
                <w:noProof/>
                <w:color w:val="006100"/>
              </w:rPr>
            </w:pPr>
            <w:r>
              <w:rPr>
                <w:rFonts w:ascii="Times New Roman" w:hAnsi="Times New Roman"/>
                <w:noProof/>
                <w:color w:val="006100"/>
              </w:rPr>
              <w:t>Приемане на ежегодния обобщен доклад за резултатите на държавните предприятия</w:t>
            </w:r>
          </w:p>
        </w:tc>
      </w:tr>
      <w:tr w:rsidR="00D21D80" w:rsidRPr="005241FC" w14:paraId="258AAC99" w14:textId="77777777" w:rsidTr="00E7285C">
        <w:trPr>
          <w:gridAfter w:val="1"/>
          <w:wAfter w:w="11" w:type="dxa"/>
          <w:trHeight w:val="302"/>
          <w:jc w:val="center"/>
        </w:trPr>
        <w:tc>
          <w:tcPr>
            <w:tcW w:w="1084" w:type="dxa"/>
            <w:tcBorders>
              <w:top w:val="nil"/>
              <w:left w:val="single" w:sz="4" w:space="0" w:color="auto"/>
              <w:bottom w:val="single" w:sz="4" w:space="0" w:color="auto"/>
              <w:right w:val="single" w:sz="4" w:space="0" w:color="auto"/>
            </w:tcBorders>
            <w:shd w:val="clear" w:color="auto" w:fill="C6EFCE"/>
            <w:noWrap/>
          </w:tcPr>
          <w:p w14:paraId="4142123E"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251</w:t>
            </w:r>
          </w:p>
        </w:tc>
        <w:tc>
          <w:tcPr>
            <w:tcW w:w="3835" w:type="dxa"/>
            <w:tcBorders>
              <w:top w:val="nil"/>
              <w:left w:val="nil"/>
              <w:bottom w:val="single" w:sz="4" w:space="0" w:color="auto"/>
              <w:right w:val="single" w:sz="4" w:space="0" w:color="auto"/>
            </w:tcBorders>
            <w:shd w:val="clear" w:color="auto" w:fill="C6EFCE"/>
            <w:noWrap/>
          </w:tcPr>
          <w:p w14:paraId="1EC2A2FA" w14:textId="77777777" w:rsidR="00D21D80" w:rsidRPr="009674F2" w:rsidRDefault="00D21D80" w:rsidP="00C955DB">
            <w:pPr>
              <w:spacing w:after="0" w:line="240" w:lineRule="auto"/>
              <w:rPr>
                <w:rFonts w:ascii="Times New Roman" w:eastAsia="Times New Roman" w:hAnsi="Times New Roman" w:cs="Times New Roman"/>
                <w:noProof/>
                <w:color w:val="006100"/>
              </w:rPr>
            </w:pPr>
            <w:r>
              <w:rPr>
                <w:rFonts w:ascii="Times New Roman" w:hAnsi="Times New Roman"/>
                <w:noProof/>
                <w:color w:val="006100"/>
              </w:rPr>
              <w:t>C10R11 Разрастване България</w:t>
            </w:r>
          </w:p>
        </w:tc>
        <w:tc>
          <w:tcPr>
            <w:tcW w:w="1418" w:type="dxa"/>
            <w:tcBorders>
              <w:top w:val="nil"/>
              <w:left w:val="nil"/>
              <w:bottom w:val="single" w:sz="4" w:space="0" w:color="auto"/>
              <w:right w:val="single" w:sz="4" w:space="0" w:color="auto"/>
            </w:tcBorders>
            <w:shd w:val="clear" w:color="auto" w:fill="C6EFCE"/>
            <w:noWrap/>
          </w:tcPr>
          <w:p w14:paraId="2BF30B1E"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Ключов етап</w:t>
            </w:r>
          </w:p>
        </w:tc>
        <w:tc>
          <w:tcPr>
            <w:tcW w:w="3465" w:type="dxa"/>
            <w:tcBorders>
              <w:top w:val="nil"/>
              <w:left w:val="nil"/>
              <w:bottom w:val="single" w:sz="4" w:space="0" w:color="auto"/>
              <w:right w:val="single" w:sz="4" w:space="0" w:color="auto"/>
            </w:tcBorders>
            <w:shd w:val="clear" w:color="auto" w:fill="C6EFCE"/>
            <w:noWrap/>
          </w:tcPr>
          <w:p w14:paraId="25FE3D84" w14:textId="77777777" w:rsidR="00D21D80" w:rsidRPr="009674F2" w:rsidRDefault="00D21D80" w:rsidP="00C955DB">
            <w:pPr>
              <w:spacing w:after="0" w:line="240" w:lineRule="auto"/>
              <w:rPr>
                <w:rFonts w:ascii="Times New Roman" w:eastAsia="Times New Roman" w:hAnsi="Times New Roman" w:cs="Times New Roman"/>
                <w:noProof/>
                <w:color w:val="006100"/>
              </w:rPr>
            </w:pPr>
            <w:r>
              <w:rPr>
                <w:rFonts w:ascii="Times New Roman" w:hAnsi="Times New Roman"/>
                <w:noProof/>
                <w:color w:val="006100"/>
              </w:rPr>
              <w:t>Въвеждане на процедура и изисквания за издаване и отнемане на Стартъп виза;</w:t>
            </w:r>
          </w:p>
        </w:tc>
      </w:tr>
      <w:tr w:rsidR="00D21D80" w:rsidRPr="005241FC" w14:paraId="73C85396" w14:textId="77777777" w:rsidTr="00E7285C">
        <w:trPr>
          <w:gridAfter w:val="1"/>
          <w:wAfter w:w="11" w:type="dxa"/>
          <w:trHeight w:val="302"/>
          <w:jc w:val="center"/>
        </w:trPr>
        <w:tc>
          <w:tcPr>
            <w:tcW w:w="1084" w:type="dxa"/>
            <w:tcBorders>
              <w:top w:val="nil"/>
              <w:left w:val="single" w:sz="4" w:space="0" w:color="auto"/>
              <w:bottom w:val="single" w:sz="4" w:space="0" w:color="auto"/>
              <w:right w:val="single" w:sz="4" w:space="0" w:color="auto"/>
            </w:tcBorders>
            <w:shd w:val="clear" w:color="auto" w:fill="C6EFCE"/>
            <w:noWrap/>
          </w:tcPr>
          <w:p w14:paraId="540C3389"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252</w:t>
            </w:r>
          </w:p>
        </w:tc>
        <w:tc>
          <w:tcPr>
            <w:tcW w:w="3835" w:type="dxa"/>
            <w:tcBorders>
              <w:top w:val="nil"/>
              <w:left w:val="nil"/>
              <w:bottom w:val="single" w:sz="4" w:space="0" w:color="auto"/>
              <w:right w:val="single" w:sz="4" w:space="0" w:color="auto"/>
            </w:tcBorders>
            <w:shd w:val="clear" w:color="auto" w:fill="C6EFCE"/>
            <w:noWrap/>
          </w:tcPr>
          <w:p w14:paraId="7321F352" w14:textId="77777777" w:rsidR="00D21D80" w:rsidRPr="009674F2" w:rsidRDefault="00D21D80" w:rsidP="00C955DB">
            <w:pPr>
              <w:spacing w:after="0" w:line="240" w:lineRule="auto"/>
              <w:rPr>
                <w:rFonts w:ascii="Times New Roman" w:eastAsia="Times New Roman" w:hAnsi="Times New Roman" w:cs="Times New Roman"/>
                <w:noProof/>
                <w:color w:val="006100"/>
              </w:rPr>
            </w:pPr>
            <w:r>
              <w:rPr>
                <w:rFonts w:ascii="Times New Roman" w:hAnsi="Times New Roman"/>
                <w:noProof/>
                <w:color w:val="006100"/>
              </w:rPr>
              <w:t>C10R11 Разрастване България</w:t>
            </w:r>
          </w:p>
        </w:tc>
        <w:tc>
          <w:tcPr>
            <w:tcW w:w="1418" w:type="dxa"/>
            <w:tcBorders>
              <w:top w:val="nil"/>
              <w:left w:val="nil"/>
              <w:bottom w:val="single" w:sz="4" w:space="0" w:color="auto"/>
              <w:right w:val="single" w:sz="4" w:space="0" w:color="auto"/>
            </w:tcBorders>
            <w:shd w:val="clear" w:color="auto" w:fill="C6EFCE"/>
            <w:noWrap/>
          </w:tcPr>
          <w:p w14:paraId="788087D9"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Ключов етап</w:t>
            </w:r>
          </w:p>
        </w:tc>
        <w:tc>
          <w:tcPr>
            <w:tcW w:w="3465" w:type="dxa"/>
            <w:tcBorders>
              <w:top w:val="nil"/>
              <w:left w:val="nil"/>
              <w:bottom w:val="single" w:sz="4" w:space="0" w:color="auto"/>
              <w:right w:val="single" w:sz="4" w:space="0" w:color="auto"/>
            </w:tcBorders>
            <w:shd w:val="clear" w:color="auto" w:fill="C6EFCE"/>
            <w:noWrap/>
          </w:tcPr>
          <w:p w14:paraId="75E881CC" w14:textId="77777777" w:rsidR="00D21D80" w:rsidRPr="009674F2" w:rsidRDefault="00D21D80" w:rsidP="00C955DB">
            <w:pPr>
              <w:spacing w:after="0" w:line="240" w:lineRule="auto"/>
              <w:rPr>
                <w:rFonts w:ascii="Times New Roman" w:eastAsia="Times New Roman" w:hAnsi="Times New Roman" w:cs="Times New Roman"/>
                <w:noProof/>
                <w:color w:val="006100"/>
              </w:rPr>
            </w:pPr>
            <w:r>
              <w:rPr>
                <w:rFonts w:ascii="Times New Roman" w:hAnsi="Times New Roman"/>
                <w:noProof/>
                <w:color w:val="006100"/>
              </w:rPr>
              <w:t>Влизане в сила на Закона за несъстоятелност на физическите лица</w:t>
            </w:r>
          </w:p>
        </w:tc>
      </w:tr>
      <w:tr w:rsidR="00D21D80" w:rsidRPr="005241FC" w14:paraId="1E2A3642" w14:textId="77777777" w:rsidTr="00E7285C">
        <w:trPr>
          <w:gridAfter w:val="1"/>
          <w:wAfter w:w="11" w:type="dxa"/>
          <w:trHeight w:val="302"/>
          <w:jc w:val="center"/>
        </w:trPr>
        <w:tc>
          <w:tcPr>
            <w:tcW w:w="1084" w:type="dxa"/>
            <w:tcBorders>
              <w:top w:val="nil"/>
              <w:left w:val="single" w:sz="4" w:space="0" w:color="auto"/>
              <w:bottom w:val="single" w:sz="4" w:space="0" w:color="auto"/>
              <w:right w:val="single" w:sz="4" w:space="0" w:color="auto"/>
            </w:tcBorders>
            <w:shd w:val="clear" w:color="auto" w:fill="C6EFCE"/>
            <w:noWrap/>
          </w:tcPr>
          <w:p w14:paraId="673B91A8"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253</w:t>
            </w:r>
          </w:p>
        </w:tc>
        <w:tc>
          <w:tcPr>
            <w:tcW w:w="3835" w:type="dxa"/>
            <w:tcBorders>
              <w:top w:val="nil"/>
              <w:left w:val="nil"/>
              <w:bottom w:val="single" w:sz="4" w:space="0" w:color="auto"/>
              <w:right w:val="single" w:sz="4" w:space="0" w:color="auto"/>
            </w:tcBorders>
            <w:shd w:val="clear" w:color="auto" w:fill="C6EFCE"/>
            <w:noWrap/>
          </w:tcPr>
          <w:p w14:paraId="734FD715" w14:textId="77777777" w:rsidR="00D21D80" w:rsidRPr="009674F2" w:rsidRDefault="00D21D80" w:rsidP="00C955DB">
            <w:pPr>
              <w:spacing w:after="0" w:line="240" w:lineRule="auto"/>
              <w:rPr>
                <w:rFonts w:ascii="Times New Roman" w:eastAsia="Times New Roman" w:hAnsi="Times New Roman" w:cs="Times New Roman"/>
                <w:noProof/>
                <w:color w:val="006100"/>
              </w:rPr>
            </w:pPr>
            <w:r>
              <w:rPr>
                <w:rFonts w:ascii="Times New Roman" w:hAnsi="Times New Roman"/>
                <w:noProof/>
                <w:color w:val="006100"/>
              </w:rPr>
              <w:t>C10R11 Разрастване България</w:t>
            </w:r>
          </w:p>
        </w:tc>
        <w:tc>
          <w:tcPr>
            <w:tcW w:w="1418" w:type="dxa"/>
            <w:tcBorders>
              <w:top w:val="nil"/>
              <w:left w:val="nil"/>
              <w:bottom w:val="single" w:sz="4" w:space="0" w:color="auto"/>
              <w:right w:val="single" w:sz="4" w:space="0" w:color="auto"/>
            </w:tcBorders>
            <w:shd w:val="clear" w:color="auto" w:fill="C6EFCE"/>
            <w:noWrap/>
          </w:tcPr>
          <w:p w14:paraId="58FB46E6"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Ключов етап</w:t>
            </w:r>
          </w:p>
        </w:tc>
        <w:tc>
          <w:tcPr>
            <w:tcW w:w="3465" w:type="dxa"/>
            <w:tcBorders>
              <w:top w:val="nil"/>
              <w:left w:val="nil"/>
              <w:bottom w:val="single" w:sz="4" w:space="0" w:color="auto"/>
              <w:right w:val="single" w:sz="4" w:space="0" w:color="auto"/>
            </w:tcBorders>
            <w:shd w:val="clear" w:color="auto" w:fill="C6EFCE"/>
            <w:noWrap/>
          </w:tcPr>
          <w:p w14:paraId="3ADBD293" w14:textId="77777777" w:rsidR="00D21D80" w:rsidRPr="009674F2" w:rsidRDefault="00D21D80" w:rsidP="00C955DB">
            <w:pPr>
              <w:spacing w:after="0" w:line="240" w:lineRule="auto"/>
              <w:rPr>
                <w:rFonts w:ascii="Times New Roman" w:eastAsia="Times New Roman" w:hAnsi="Times New Roman" w:cs="Times New Roman"/>
                <w:noProof/>
                <w:color w:val="006100"/>
              </w:rPr>
            </w:pPr>
            <w:r>
              <w:rPr>
                <w:rFonts w:ascii="Times New Roman" w:hAnsi="Times New Roman"/>
                <w:noProof/>
                <w:color w:val="006100"/>
              </w:rPr>
              <w:t>Влизане в сила на нова глава в Търговския закон за въвеждането на нова правна форма на търговско дружество</w:t>
            </w:r>
          </w:p>
        </w:tc>
      </w:tr>
      <w:tr w:rsidR="00D21D80" w:rsidRPr="005241FC" w14:paraId="7706D084" w14:textId="77777777" w:rsidTr="00E7285C">
        <w:trPr>
          <w:gridAfter w:val="1"/>
          <w:wAfter w:w="11" w:type="dxa"/>
          <w:trHeight w:val="302"/>
          <w:jc w:val="center"/>
        </w:trPr>
        <w:tc>
          <w:tcPr>
            <w:tcW w:w="1084" w:type="dxa"/>
            <w:tcBorders>
              <w:top w:val="nil"/>
              <w:left w:val="single" w:sz="4" w:space="0" w:color="auto"/>
              <w:bottom w:val="single" w:sz="4" w:space="0" w:color="auto"/>
              <w:right w:val="single" w:sz="4" w:space="0" w:color="auto"/>
            </w:tcBorders>
            <w:shd w:val="clear" w:color="auto" w:fill="C6EFCE"/>
            <w:noWrap/>
          </w:tcPr>
          <w:p w14:paraId="5470482F"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256</w:t>
            </w:r>
          </w:p>
        </w:tc>
        <w:tc>
          <w:tcPr>
            <w:tcW w:w="3835" w:type="dxa"/>
            <w:tcBorders>
              <w:top w:val="nil"/>
              <w:left w:val="nil"/>
              <w:bottom w:val="single" w:sz="4" w:space="0" w:color="auto"/>
              <w:right w:val="single" w:sz="4" w:space="0" w:color="auto"/>
            </w:tcBorders>
            <w:shd w:val="clear" w:color="auto" w:fill="C6EFCE"/>
            <w:noWrap/>
          </w:tcPr>
          <w:p w14:paraId="728E147A" w14:textId="77777777" w:rsidR="00D21D80" w:rsidRPr="009674F2" w:rsidRDefault="00D21D80" w:rsidP="00C955DB">
            <w:pPr>
              <w:spacing w:after="0" w:line="240" w:lineRule="auto"/>
              <w:rPr>
                <w:rFonts w:ascii="Times New Roman" w:eastAsia="Times New Roman" w:hAnsi="Times New Roman" w:cs="Times New Roman"/>
                <w:noProof/>
                <w:color w:val="006100"/>
              </w:rPr>
            </w:pPr>
            <w:r>
              <w:rPr>
                <w:rFonts w:ascii="Times New Roman" w:hAnsi="Times New Roman"/>
                <w:noProof/>
                <w:color w:val="006100"/>
              </w:rPr>
              <w:t>C10R12 Съвет за икономически анализи</w:t>
            </w:r>
          </w:p>
        </w:tc>
        <w:tc>
          <w:tcPr>
            <w:tcW w:w="1418" w:type="dxa"/>
            <w:tcBorders>
              <w:top w:val="nil"/>
              <w:left w:val="nil"/>
              <w:bottom w:val="single" w:sz="4" w:space="0" w:color="auto"/>
              <w:right w:val="single" w:sz="4" w:space="0" w:color="auto"/>
            </w:tcBorders>
            <w:shd w:val="clear" w:color="auto" w:fill="C6EFCE"/>
            <w:noWrap/>
          </w:tcPr>
          <w:p w14:paraId="4FB4919E"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Ключов етап</w:t>
            </w:r>
          </w:p>
        </w:tc>
        <w:tc>
          <w:tcPr>
            <w:tcW w:w="3465" w:type="dxa"/>
            <w:tcBorders>
              <w:top w:val="nil"/>
              <w:left w:val="nil"/>
              <w:bottom w:val="single" w:sz="4" w:space="0" w:color="auto"/>
              <w:right w:val="single" w:sz="4" w:space="0" w:color="auto"/>
            </w:tcBorders>
            <w:shd w:val="clear" w:color="auto" w:fill="C6EFCE"/>
            <w:noWrap/>
          </w:tcPr>
          <w:p w14:paraId="5D4339A1" w14:textId="77777777" w:rsidR="00D21D80" w:rsidRPr="009674F2" w:rsidRDefault="00D21D80" w:rsidP="00C955DB">
            <w:pPr>
              <w:spacing w:after="0" w:line="240" w:lineRule="auto"/>
              <w:rPr>
                <w:rFonts w:ascii="Times New Roman" w:eastAsia="Times New Roman" w:hAnsi="Times New Roman" w:cs="Times New Roman"/>
                <w:noProof/>
                <w:color w:val="006100"/>
              </w:rPr>
            </w:pPr>
            <w:r>
              <w:rPr>
                <w:rFonts w:ascii="Times New Roman" w:hAnsi="Times New Roman"/>
                <w:noProof/>
                <w:color w:val="006100"/>
              </w:rPr>
              <w:t>Институционализиране на Съвета за икономически анализ</w:t>
            </w:r>
          </w:p>
        </w:tc>
      </w:tr>
      <w:tr w:rsidR="00D21D80" w:rsidRPr="005241FC" w14:paraId="42A81907" w14:textId="77777777" w:rsidTr="00E7285C">
        <w:trPr>
          <w:gridAfter w:val="1"/>
          <w:wAfter w:w="11" w:type="dxa"/>
          <w:trHeight w:val="302"/>
          <w:jc w:val="center"/>
        </w:trPr>
        <w:tc>
          <w:tcPr>
            <w:tcW w:w="1084" w:type="dxa"/>
            <w:tcBorders>
              <w:top w:val="nil"/>
              <w:left w:val="single" w:sz="4" w:space="0" w:color="auto"/>
              <w:bottom w:val="single" w:sz="4" w:space="0" w:color="auto"/>
              <w:right w:val="single" w:sz="4" w:space="0" w:color="auto"/>
            </w:tcBorders>
            <w:shd w:val="clear" w:color="auto" w:fill="C6EFCE"/>
            <w:noWrap/>
          </w:tcPr>
          <w:p w14:paraId="5B7A61E5"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283</w:t>
            </w:r>
          </w:p>
        </w:tc>
        <w:tc>
          <w:tcPr>
            <w:tcW w:w="3835" w:type="dxa"/>
            <w:tcBorders>
              <w:top w:val="nil"/>
              <w:left w:val="nil"/>
              <w:bottom w:val="single" w:sz="4" w:space="0" w:color="auto"/>
              <w:right w:val="single" w:sz="4" w:space="0" w:color="auto"/>
            </w:tcBorders>
            <w:shd w:val="clear" w:color="auto" w:fill="C6EFCE"/>
            <w:noWrap/>
          </w:tcPr>
          <w:p w14:paraId="010A7778" w14:textId="77777777" w:rsidR="00D21D80" w:rsidRPr="009674F2" w:rsidRDefault="00D21D80" w:rsidP="00C955DB">
            <w:pPr>
              <w:spacing w:after="0" w:line="240" w:lineRule="auto"/>
              <w:rPr>
                <w:rFonts w:ascii="Times New Roman" w:eastAsia="Times New Roman" w:hAnsi="Times New Roman" w:cs="Times New Roman"/>
                <w:noProof/>
                <w:color w:val="006100"/>
              </w:rPr>
            </w:pPr>
            <w:r>
              <w:rPr>
                <w:rFonts w:ascii="Times New Roman" w:hAnsi="Times New Roman"/>
                <w:noProof/>
                <w:color w:val="006100"/>
              </w:rPr>
              <w:t>C10I11 Осигуряване на адекватна информационна и административна среда за изпълнение на Плана за възстановяване и устойчивост</w:t>
            </w:r>
          </w:p>
        </w:tc>
        <w:tc>
          <w:tcPr>
            <w:tcW w:w="1418" w:type="dxa"/>
            <w:tcBorders>
              <w:top w:val="nil"/>
              <w:left w:val="nil"/>
              <w:bottom w:val="single" w:sz="4" w:space="0" w:color="auto"/>
              <w:right w:val="single" w:sz="4" w:space="0" w:color="auto"/>
            </w:tcBorders>
            <w:shd w:val="clear" w:color="auto" w:fill="C6EFCE"/>
            <w:noWrap/>
          </w:tcPr>
          <w:p w14:paraId="0995F1F1"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Цел</w:t>
            </w:r>
          </w:p>
        </w:tc>
        <w:tc>
          <w:tcPr>
            <w:tcW w:w="3465" w:type="dxa"/>
            <w:tcBorders>
              <w:top w:val="nil"/>
              <w:left w:val="nil"/>
              <w:bottom w:val="single" w:sz="4" w:space="0" w:color="auto"/>
              <w:right w:val="single" w:sz="4" w:space="0" w:color="auto"/>
            </w:tcBorders>
            <w:shd w:val="clear" w:color="auto" w:fill="C6EFCE"/>
            <w:noWrap/>
          </w:tcPr>
          <w:p w14:paraId="586F58A2" w14:textId="77777777" w:rsidR="00D21D80" w:rsidRPr="009674F2" w:rsidRDefault="00D21D80" w:rsidP="00C955DB">
            <w:pPr>
              <w:spacing w:after="0" w:line="240" w:lineRule="auto"/>
              <w:rPr>
                <w:rFonts w:ascii="Times New Roman" w:eastAsia="Times New Roman" w:hAnsi="Times New Roman" w:cs="Times New Roman"/>
                <w:noProof/>
                <w:color w:val="006100"/>
              </w:rPr>
            </w:pPr>
            <w:r>
              <w:rPr>
                <w:rFonts w:ascii="Times New Roman" w:hAnsi="Times New Roman"/>
                <w:noProof/>
                <w:color w:val="006100"/>
              </w:rPr>
              <w:t>Крайни получатели, обучени да подобрят капацитета си за възлагане на поръчки, включително този на възложителите</w:t>
            </w:r>
          </w:p>
        </w:tc>
      </w:tr>
      <w:tr w:rsidR="00D21D80" w:rsidRPr="005241FC" w14:paraId="00E68E44" w14:textId="77777777" w:rsidTr="00E7285C">
        <w:trPr>
          <w:gridAfter w:val="1"/>
          <w:wAfter w:w="11" w:type="dxa"/>
          <w:trHeight w:val="302"/>
          <w:jc w:val="center"/>
        </w:trPr>
        <w:tc>
          <w:tcPr>
            <w:tcW w:w="1084" w:type="dxa"/>
            <w:tcBorders>
              <w:top w:val="nil"/>
              <w:left w:val="single" w:sz="4" w:space="0" w:color="auto"/>
              <w:bottom w:val="single" w:sz="4" w:space="0" w:color="auto"/>
              <w:right w:val="single" w:sz="4" w:space="0" w:color="auto"/>
            </w:tcBorders>
            <w:shd w:val="clear" w:color="auto" w:fill="C6EFCE"/>
            <w:noWrap/>
          </w:tcPr>
          <w:p w14:paraId="45D4FF5A"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287</w:t>
            </w:r>
          </w:p>
        </w:tc>
        <w:tc>
          <w:tcPr>
            <w:tcW w:w="3835" w:type="dxa"/>
            <w:tcBorders>
              <w:top w:val="nil"/>
              <w:left w:val="nil"/>
              <w:bottom w:val="single" w:sz="4" w:space="0" w:color="auto"/>
              <w:right w:val="single" w:sz="4" w:space="0" w:color="auto"/>
            </w:tcBorders>
            <w:shd w:val="clear" w:color="auto" w:fill="C6EFCE"/>
            <w:noWrap/>
          </w:tcPr>
          <w:p w14:paraId="1755096C" w14:textId="77777777" w:rsidR="00D21D80" w:rsidRPr="009674F2" w:rsidRDefault="00D21D80" w:rsidP="00C955DB">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C11R1 Реформа на схемата за минимален доход </w:t>
            </w:r>
          </w:p>
        </w:tc>
        <w:tc>
          <w:tcPr>
            <w:tcW w:w="1418" w:type="dxa"/>
            <w:tcBorders>
              <w:top w:val="nil"/>
              <w:left w:val="nil"/>
              <w:bottom w:val="single" w:sz="4" w:space="0" w:color="auto"/>
              <w:right w:val="single" w:sz="4" w:space="0" w:color="auto"/>
            </w:tcBorders>
            <w:shd w:val="clear" w:color="auto" w:fill="C6EFCE"/>
            <w:noWrap/>
          </w:tcPr>
          <w:p w14:paraId="34573306"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Ключов етап</w:t>
            </w:r>
          </w:p>
        </w:tc>
        <w:tc>
          <w:tcPr>
            <w:tcW w:w="3465" w:type="dxa"/>
            <w:tcBorders>
              <w:top w:val="nil"/>
              <w:left w:val="nil"/>
              <w:bottom w:val="single" w:sz="4" w:space="0" w:color="auto"/>
              <w:right w:val="single" w:sz="4" w:space="0" w:color="auto"/>
            </w:tcBorders>
            <w:shd w:val="clear" w:color="auto" w:fill="C6EFCE"/>
            <w:noWrap/>
          </w:tcPr>
          <w:p w14:paraId="104D4F44" w14:textId="77777777" w:rsidR="00D21D80" w:rsidRPr="009674F2" w:rsidRDefault="00D21D80" w:rsidP="00C955DB">
            <w:pPr>
              <w:spacing w:after="0" w:line="240" w:lineRule="auto"/>
              <w:rPr>
                <w:rFonts w:ascii="Times New Roman" w:eastAsia="Times New Roman" w:hAnsi="Times New Roman" w:cs="Times New Roman"/>
                <w:noProof/>
                <w:color w:val="006100"/>
              </w:rPr>
            </w:pPr>
            <w:r>
              <w:rPr>
                <w:rFonts w:ascii="Times New Roman" w:hAnsi="Times New Roman"/>
                <w:noProof/>
                <w:color w:val="006100"/>
              </w:rPr>
              <w:t>Финализиране на доклада за схемата за минимален доход</w:t>
            </w:r>
          </w:p>
        </w:tc>
      </w:tr>
      <w:tr w:rsidR="00D21D80" w:rsidRPr="005241FC" w14:paraId="70D086E0" w14:textId="77777777" w:rsidTr="00E7285C">
        <w:trPr>
          <w:gridAfter w:val="1"/>
          <w:wAfter w:w="11" w:type="dxa"/>
          <w:trHeight w:val="302"/>
          <w:jc w:val="center"/>
        </w:trPr>
        <w:tc>
          <w:tcPr>
            <w:tcW w:w="1084" w:type="dxa"/>
            <w:tcBorders>
              <w:top w:val="nil"/>
              <w:left w:val="single" w:sz="4" w:space="0" w:color="auto"/>
              <w:bottom w:val="single" w:sz="4" w:space="0" w:color="auto"/>
              <w:right w:val="single" w:sz="4" w:space="0" w:color="auto"/>
            </w:tcBorders>
            <w:shd w:val="clear" w:color="auto" w:fill="C6EFCE"/>
            <w:noWrap/>
          </w:tcPr>
          <w:p w14:paraId="27EC80C6"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297</w:t>
            </w:r>
          </w:p>
        </w:tc>
        <w:tc>
          <w:tcPr>
            <w:tcW w:w="3835" w:type="dxa"/>
            <w:tcBorders>
              <w:top w:val="nil"/>
              <w:left w:val="nil"/>
              <w:bottom w:val="single" w:sz="4" w:space="0" w:color="auto"/>
              <w:right w:val="single" w:sz="4" w:space="0" w:color="auto"/>
            </w:tcBorders>
            <w:shd w:val="clear" w:color="auto" w:fill="C6EFCE"/>
            <w:noWrap/>
          </w:tcPr>
          <w:p w14:paraId="3714FD01" w14:textId="77777777" w:rsidR="00D21D80" w:rsidRPr="009674F2" w:rsidRDefault="00D21D80" w:rsidP="00C955DB">
            <w:pPr>
              <w:spacing w:after="0" w:line="240" w:lineRule="auto"/>
              <w:rPr>
                <w:rFonts w:ascii="Times New Roman" w:hAnsi="Times New Roman" w:cs="Times New Roman"/>
                <w:noProof/>
                <w:color w:val="006100"/>
              </w:rPr>
            </w:pPr>
            <w:r>
              <w:rPr>
                <w:rFonts w:ascii="Times New Roman" w:hAnsi="Times New Roman"/>
                <w:noProof/>
                <w:color w:val="006100"/>
              </w:rPr>
              <w:t>C11I2 Предоставяне на помощни средства на лица с трайни увреждания</w:t>
            </w:r>
          </w:p>
        </w:tc>
        <w:tc>
          <w:tcPr>
            <w:tcW w:w="1418" w:type="dxa"/>
            <w:tcBorders>
              <w:top w:val="nil"/>
              <w:left w:val="nil"/>
              <w:bottom w:val="single" w:sz="4" w:space="0" w:color="auto"/>
              <w:right w:val="single" w:sz="4" w:space="0" w:color="auto"/>
            </w:tcBorders>
            <w:shd w:val="clear" w:color="auto" w:fill="C6EFCE"/>
            <w:noWrap/>
          </w:tcPr>
          <w:p w14:paraId="3B3AE2DF" w14:textId="77777777" w:rsidR="00D21D80" w:rsidRPr="009674F2" w:rsidRDefault="00D21D80" w:rsidP="00C955DB">
            <w:pPr>
              <w:spacing w:after="0" w:line="240" w:lineRule="auto"/>
              <w:jc w:val="center"/>
              <w:rPr>
                <w:rFonts w:ascii="Times New Roman" w:hAnsi="Times New Roman" w:cs="Times New Roman"/>
                <w:noProof/>
                <w:color w:val="006100"/>
              </w:rPr>
            </w:pPr>
            <w:r>
              <w:rPr>
                <w:rFonts w:ascii="Times New Roman" w:hAnsi="Times New Roman"/>
                <w:noProof/>
                <w:color w:val="006100"/>
              </w:rPr>
              <w:t>Ключов етап</w:t>
            </w:r>
          </w:p>
        </w:tc>
        <w:tc>
          <w:tcPr>
            <w:tcW w:w="3465" w:type="dxa"/>
            <w:tcBorders>
              <w:top w:val="nil"/>
              <w:left w:val="nil"/>
              <w:bottom w:val="single" w:sz="4" w:space="0" w:color="auto"/>
              <w:right w:val="single" w:sz="4" w:space="0" w:color="auto"/>
            </w:tcBorders>
            <w:shd w:val="clear" w:color="auto" w:fill="C6EFCE"/>
            <w:noWrap/>
          </w:tcPr>
          <w:p w14:paraId="5D1E5C87" w14:textId="77777777" w:rsidR="00D21D80" w:rsidRPr="009674F2" w:rsidRDefault="00D21D80" w:rsidP="00C955DB">
            <w:pPr>
              <w:spacing w:after="0" w:line="240" w:lineRule="auto"/>
              <w:rPr>
                <w:rFonts w:ascii="Times New Roman" w:hAnsi="Times New Roman" w:cs="Times New Roman"/>
                <w:noProof/>
                <w:color w:val="006100"/>
              </w:rPr>
            </w:pPr>
            <w:r>
              <w:rPr>
                <w:rFonts w:ascii="Times New Roman" w:hAnsi="Times New Roman"/>
                <w:noProof/>
                <w:color w:val="006100"/>
              </w:rPr>
              <w:t>Методика за подбор на лица с трайни увреждания</w:t>
            </w:r>
          </w:p>
        </w:tc>
      </w:tr>
      <w:tr w:rsidR="00D21D80" w:rsidRPr="005241FC" w14:paraId="0F32C728" w14:textId="77777777" w:rsidTr="00E7285C">
        <w:trPr>
          <w:gridAfter w:val="1"/>
          <w:wAfter w:w="11" w:type="dxa"/>
          <w:trHeight w:val="302"/>
          <w:jc w:val="center"/>
        </w:trPr>
        <w:tc>
          <w:tcPr>
            <w:tcW w:w="1084" w:type="dxa"/>
            <w:tcBorders>
              <w:top w:val="nil"/>
              <w:left w:val="single" w:sz="4" w:space="0" w:color="auto"/>
              <w:bottom w:val="single" w:sz="4" w:space="0" w:color="auto"/>
              <w:right w:val="single" w:sz="4" w:space="0" w:color="auto"/>
            </w:tcBorders>
            <w:shd w:val="clear" w:color="auto" w:fill="C6EFCE"/>
            <w:noWrap/>
          </w:tcPr>
          <w:p w14:paraId="0AD3256E"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299</w:t>
            </w:r>
          </w:p>
        </w:tc>
        <w:tc>
          <w:tcPr>
            <w:tcW w:w="3835" w:type="dxa"/>
            <w:tcBorders>
              <w:top w:val="nil"/>
              <w:left w:val="nil"/>
              <w:bottom w:val="single" w:sz="4" w:space="0" w:color="auto"/>
              <w:right w:val="single" w:sz="4" w:space="0" w:color="auto"/>
            </w:tcBorders>
            <w:shd w:val="clear" w:color="auto" w:fill="C6EFCE"/>
            <w:noWrap/>
          </w:tcPr>
          <w:p w14:paraId="614FAFB8" w14:textId="77777777" w:rsidR="00D21D80" w:rsidRPr="009674F2" w:rsidRDefault="00D21D80" w:rsidP="00C955DB">
            <w:pPr>
              <w:spacing w:after="0" w:line="240" w:lineRule="auto"/>
              <w:rPr>
                <w:rFonts w:ascii="Times New Roman" w:hAnsi="Times New Roman" w:cs="Times New Roman"/>
                <w:noProof/>
                <w:color w:val="006100"/>
              </w:rPr>
            </w:pPr>
            <w:r>
              <w:rPr>
                <w:rFonts w:ascii="Times New Roman" w:hAnsi="Times New Roman"/>
                <w:noProof/>
                <w:color w:val="006100"/>
              </w:rPr>
              <w:t>C11I3 Развитие на социалната икономика</w:t>
            </w:r>
          </w:p>
        </w:tc>
        <w:tc>
          <w:tcPr>
            <w:tcW w:w="1418" w:type="dxa"/>
            <w:tcBorders>
              <w:top w:val="nil"/>
              <w:left w:val="nil"/>
              <w:bottom w:val="single" w:sz="4" w:space="0" w:color="auto"/>
              <w:right w:val="single" w:sz="4" w:space="0" w:color="auto"/>
            </w:tcBorders>
            <w:shd w:val="clear" w:color="auto" w:fill="C6EFCE"/>
            <w:noWrap/>
          </w:tcPr>
          <w:p w14:paraId="49151FFA" w14:textId="77777777" w:rsidR="00D21D80" w:rsidRPr="009674F2" w:rsidRDefault="00D21D80" w:rsidP="00C955DB">
            <w:pPr>
              <w:spacing w:after="0" w:line="240" w:lineRule="auto"/>
              <w:jc w:val="center"/>
              <w:rPr>
                <w:rFonts w:ascii="Times New Roman" w:hAnsi="Times New Roman" w:cs="Times New Roman"/>
                <w:noProof/>
                <w:color w:val="006100"/>
              </w:rPr>
            </w:pPr>
            <w:r>
              <w:rPr>
                <w:rFonts w:ascii="Times New Roman" w:hAnsi="Times New Roman"/>
                <w:noProof/>
                <w:color w:val="006100"/>
              </w:rPr>
              <w:t>Цел</w:t>
            </w:r>
          </w:p>
        </w:tc>
        <w:tc>
          <w:tcPr>
            <w:tcW w:w="3465" w:type="dxa"/>
            <w:tcBorders>
              <w:top w:val="nil"/>
              <w:left w:val="nil"/>
              <w:bottom w:val="single" w:sz="4" w:space="0" w:color="auto"/>
              <w:right w:val="single" w:sz="4" w:space="0" w:color="auto"/>
            </w:tcBorders>
            <w:shd w:val="clear" w:color="auto" w:fill="C6EFCE"/>
            <w:noWrap/>
          </w:tcPr>
          <w:p w14:paraId="4A789682" w14:textId="77777777" w:rsidR="00D21D80" w:rsidRPr="009674F2" w:rsidRDefault="00D21D80" w:rsidP="00C955DB">
            <w:pPr>
              <w:spacing w:after="0" w:line="240" w:lineRule="auto"/>
              <w:rPr>
                <w:rFonts w:ascii="Times New Roman" w:hAnsi="Times New Roman" w:cs="Times New Roman"/>
                <w:noProof/>
                <w:color w:val="006100"/>
              </w:rPr>
            </w:pPr>
            <w:r>
              <w:rPr>
                <w:rFonts w:ascii="Times New Roman" w:hAnsi="Times New Roman"/>
                <w:noProof/>
                <w:color w:val="006100"/>
              </w:rPr>
              <w:t xml:space="preserve">Строителство и оборудване на 6 регионални фокус-точки </w:t>
            </w:r>
          </w:p>
        </w:tc>
      </w:tr>
      <w:tr w:rsidR="00D21D80" w:rsidRPr="005241FC" w14:paraId="1174499F" w14:textId="77777777" w:rsidTr="00E7285C">
        <w:trPr>
          <w:gridAfter w:val="1"/>
          <w:wAfter w:w="11" w:type="dxa"/>
          <w:trHeight w:val="302"/>
          <w:jc w:val="center"/>
        </w:trPr>
        <w:tc>
          <w:tcPr>
            <w:tcW w:w="1084" w:type="dxa"/>
            <w:tcBorders>
              <w:top w:val="nil"/>
              <w:left w:val="single" w:sz="4" w:space="0" w:color="auto"/>
              <w:bottom w:val="single" w:sz="4" w:space="0" w:color="auto"/>
              <w:right w:val="single" w:sz="4" w:space="0" w:color="auto"/>
            </w:tcBorders>
            <w:shd w:val="clear" w:color="auto" w:fill="C6EFCE"/>
            <w:noWrap/>
          </w:tcPr>
          <w:p w14:paraId="2A0EF969"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316</w:t>
            </w:r>
          </w:p>
        </w:tc>
        <w:tc>
          <w:tcPr>
            <w:tcW w:w="3835" w:type="dxa"/>
            <w:tcBorders>
              <w:top w:val="nil"/>
              <w:left w:val="nil"/>
              <w:bottom w:val="single" w:sz="4" w:space="0" w:color="auto"/>
              <w:right w:val="single" w:sz="4" w:space="0" w:color="auto"/>
            </w:tcBorders>
            <w:shd w:val="clear" w:color="auto" w:fill="C6EFCE"/>
            <w:noWrap/>
          </w:tcPr>
          <w:p w14:paraId="1B830D9C" w14:textId="77777777" w:rsidR="00D21D80" w:rsidRPr="009674F2" w:rsidRDefault="00D21D80" w:rsidP="00C955DB">
            <w:pPr>
              <w:spacing w:after="0"/>
              <w:rPr>
                <w:rFonts w:ascii="Times New Roman" w:hAnsi="Times New Roman" w:cs="Times New Roman"/>
                <w:noProof/>
                <w:color w:val="006100"/>
              </w:rPr>
            </w:pPr>
            <w:r>
              <w:rPr>
                <w:rFonts w:ascii="Times New Roman" w:hAnsi="Times New Roman"/>
                <w:noProof/>
                <w:color w:val="006100"/>
              </w:rPr>
              <w:t>C12R1 Актуализиране на стратегическата рамка на сектор „Здравеопазване“</w:t>
            </w:r>
          </w:p>
        </w:tc>
        <w:tc>
          <w:tcPr>
            <w:tcW w:w="1418" w:type="dxa"/>
            <w:tcBorders>
              <w:top w:val="nil"/>
              <w:left w:val="nil"/>
              <w:bottom w:val="single" w:sz="4" w:space="0" w:color="auto"/>
              <w:right w:val="single" w:sz="4" w:space="0" w:color="auto"/>
            </w:tcBorders>
            <w:shd w:val="clear" w:color="auto" w:fill="C6EFCE"/>
            <w:noWrap/>
          </w:tcPr>
          <w:p w14:paraId="0DADD2B2" w14:textId="77777777" w:rsidR="00D21D80" w:rsidRPr="009674F2" w:rsidRDefault="00D21D80" w:rsidP="00C955DB">
            <w:pPr>
              <w:spacing w:after="0" w:line="240" w:lineRule="auto"/>
              <w:jc w:val="center"/>
              <w:rPr>
                <w:rFonts w:ascii="Times New Roman" w:hAnsi="Times New Roman" w:cs="Times New Roman"/>
                <w:noProof/>
                <w:color w:val="006100"/>
              </w:rPr>
            </w:pPr>
            <w:r>
              <w:rPr>
                <w:rFonts w:ascii="Times New Roman" w:hAnsi="Times New Roman"/>
                <w:noProof/>
                <w:color w:val="006100"/>
              </w:rPr>
              <w:t>Ключов етап</w:t>
            </w:r>
          </w:p>
        </w:tc>
        <w:tc>
          <w:tcPr>
            <w:tcW w:w="3465" w:type="dxa"/>
            <w:tcBorders>
              <w:top w:val="nil"/>
              <w:left w:val="nil"/>
              <w:bottom w:val="single" w:sz="4" w:space="0" w:color="auto"/>
              <w:right w:val="single" w:sz="4" w:space="0" w:color="auto"/>
            </w:tcBorders>
            <w:shd w:val="clear" w:color="auto" w:fill="C6EFCE"/>
            <w:noWrap/>
          </w:tcPr>
          <w:p w14:paraId="6078B2E8" w14:textId="77777777" w:rsidR="00D21D80" w:rsidRPr="009674F2" w:rsidRDefault="00D21D80" w:rsidP="00C955DB">
            <w:pPr>
              <w:spacing w:after="0" w:line="240" w:lineRule="auto"/>
              <w:rPr>
                <w:rFonts w:ascii="Times New Roman" w:hAnsi="Times New Roman" w:cs="Times New Roman"/>
                <w:noProof/>
                <w:color w:val="006100"/>
              </w:rPr>
            </w:pPr>
            <w:r>
              <w:rPr>
                <w:rFonts w:ascii="Times New Roman" w:hAnsi="Times New Roman"/>
                <w:noProof/>
                <w:color w:val="006100"/>
              </w:rPr>
              <w:t>Национална карта на дългосрочните нужди на сектор „Здравеопазване“</w:t>
            </w:r>
          </w:p>
        </w:tc>
      </w:tr>
      <w:tr w:rsidR="00D21D80" w:rsidRPr="005241FC" w14:paraId="7708B7D4" w14:textId="77777777" w:rsidTr="00E7285C">
        <w:trPr>
          <w:gridAfter w:val="1"/>
          <w:wAfter w:w="11" w:type="dxa"/>
          <w:trHeight w:val="302"/>
          <w:jc w:val="center"/>
        </w:trPr>
        <w:tc>
          <w:tcPr>
            <w:tcW w:w="1084" w:type="dxa"/>
            <w:tcBorders>
              <w:top w:val="nil"/>
              <w:left w:val="single" w:sz="4" w:space="0" w:color="auto"/>
              <w:bottom w:val="single" w:sz="4" w:space="0" w:color="auto"/>
              <w:right w:val="single" w:sz="4" w:space="0" w:color="auto"/>
            </w:tcBorders>
            <w:shd w:val="clear" w:color="auto" w:fill="C6EFCE"/>
            <w:noWrap/>
          </w:tcPr>
          <w:p w14:paraId="35391C59"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317</w:t>
            </w:r>
          </w:p>
        </w:tc>
        <w:tc>
          <w:tcPr>
            <w:tcW w:w="3835" w:type="dxa"/>
            <w:tcBorders>
              <w:top w:val="nil"/>
              <w:left w:val="nil"/>
              <w:bottom w:val="single" w:sz="4" w:space="0" w:color="auto"/>
              <w:right w:val="single" w:sz="4" w:space="0" w:color="auto"/>
            </w:tcBorders>
            <w:shd w:val="clear" w:color="auto" w:fill="C6EFCE"/>
            <w:noWrap/>
          </w:tcPr>
          <w:p w14:paraId="6B015606" w14:textId="77777777" w:rsidR="00D21D80" w:rsidRPr="009674F2" w:rsidRDefault="00D21D80" w:rsidP="00C955DB">
            <w:pPr>
              <w:spacing w:after="0"/>
              <w:rPr>
                <w:rFonts w:ascii="Times New Roman" w:hAnsi="Times New Roman" w:cs="Times New Roman"/>
                <w:noProof/>
                <w:color w:val="006100"/>
              </w:rPr>
            </w:pPr>
            <w:r>
              <w:rPr>
                <w:rFonts w:ascii="Times New Roman" w:hAnsi="Times New Roman"/>
                <w:noProof/>
                <w:color w:val="006100"/>
              </w:rPr>
              <w:t>C12R1 Актуализиране на стратегическата рамка на сектор „Здравеопазване“</w:t>
            </w:r>
          </w:p>
        </w:tc>
        <w:tc>
          <w:tcPr>
            <w:tcW w:w="1418" w:type="dxa"/>
            <w:tcBorders>
              <w:top w:val="nil"/>
              <w:left w:val="nil"/>
              <w:bottom w:val="single" w:sz="4" w:space="0" w:color="auto"/>
              <w:right w:val="single" w:sz="4" w:space="0" w:color="auto"/>
            </w:tcBorders>
            <w:shd w:val="clear" w:color="auto" w:fill="C6EFCE"/>
            <w:noWrap/>
          </w:tcPr>
          <w:p w14:paraId="2D4E2043" w14:textId="77777777" w:rsidR="00D21D80" w:rsidRPr="009674F2" w:rsidRDefault="00D21D80" w:rsidP="00C955DB">
            <w:pPr>
              <w:spacing w:after="0" w:line="240" w:lineRule="auto"/>
              <w:jc w:val="center"/>
              <w:rPr>
                <w:rFonts w:ascii="Times New Roman" w:hAnsi="Times New Roman" w:cs="Times New Roman"/>
                <w:noProof/>
                <w:color w:val="006100"/>
              </w:rPr>
            </w:pPr>
            <w:r>
              <w:rPr>
                <w:rFonts w:ascii="Times New Roman" w:hAnsi="Times New Roman"/>
                <w:noProof/>
                <w:color w:val="006100"/>
              </w:rPr>
              <w:t>Ключов етап</w:t>
            </w:r>
          </w:p>
        </w:tc>
        <w:tc>
          <w:tcPr>
            <w:tcW w:w="3465" w:type="dxa"/>
            <w:tcBorders>
              <w:top w:val="nil"/>
              <w:left w:val="nil"/>
              <w:bottom w:val="single" w:sz="4" w:space="0" w:color="auto"/>
              <w:right w:val="single" w:sz="4" w:space="0" w:color="auto"/>
            </w:tcBorders>
            <w:shd w:val="clear" w:color="auto" w:fill="C6EFCE"/>
            <w:noWrap/>
          </w:tcPr>
          <w:p w14:paraId="29387C63" w14:textId="77777777" w:rsidR="00D21D80" w:rsidRPr="009674F2" w:rsidRDefault="00D21D80" w:rsidP="00C955DB">
            <w:pPr>
              <w:spacing w:after="0" w:line="240" w:lineRule="auto"/>
              <w:rPr>
                <w:rFonts w:ascii="Times New Roman" w:hAnsi="Times New Roman" w:cs="Times New Roman"/>
                <w:noProof/>
                <w:color w:val="006100"/>
              </w:rPr>
            </w:pPr>
            <w:r>
              <w:rPr>
                <w:rFonts w:ascii="Times New Roman" w:hAnsi="Times New Roman"/>
                <w:noProof/>
                <w:color w:val="006100"/>
              </w:rPr>
              <w:t>Национална здравна стратегия 2021—2030 г. и план за действие за изпълнение на стратегията</w:t>
            </w:r>
          </w:p>
        </w:tc>
      </w:tr>
      <w:tr w:rsidR="00D21D80" w:rsidRPr="005241FC" w14:paraId="748190E0" w14:textId="77777777" w:rsidTr="00E7285C">
        <w:trPr>
          <w:gridAfter w:val="1"/>
          <w:wAfter w:w="11" w:type="dxa"/>
          <w:trHeight w:val="302"/>
          <w:jc w:val="center"/>
        </w:trPr>
        <w:tc>
          <w:tcPr>
            <w:tcW w:w="1084" w:type="dxa"/>
            <w:tcBorders>
              <w:top w:val="nil"/>
              <w:left w:val="single" w:sz="4" w:space="0" w:color="auto"/>
              <w:bottom w:val="single" w:sz="4" w:space="0" w:color="auto"/>
              <w:right w:val="single" w:sz="4" w:space="0" w:color="auto"/>
            </w:tcBorders>
            <w:shd w:val="clear" w:color="auto" w:fill="C6EFCE"/>
            <w:noWrap/>
          </w:tcPr>
          <w:p w14:paraId="2481465D"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318</w:t>
            </w:r>
          </w:p>
        </w:tc>
        <w:tc>
          <w:tcPr>
            <w:tcW w:w="3835" w:type="dxa"/>
            <w:tcBorders>
              <w:top w:val="nil"/>
              <w:left w:val="nil"/>
              <w:bottom w:val="single" w:sz="4" w:space="0" w:color="auto"/>
              <w:right w:val="single" w:sz="4" w:space="0" w:color="auto"/>
            </w:tcBorders>
            <w:shd w:val="clear" w:color="auto" w:fill="C6EFCE"/>
            <w:noWrap/>
          </w:tcPr>
          <w:p w14:paraId="0E752B7D" w14:textId="77777777" w:rsidR="00D21D80" w:rsidRPr="009674F2" w:rsidRDefault="00D21D80" w:rsidP="00C955DB">
            <w:pPr>
              <w:spacing w:after="0"/>
              <w:rPr>
                <w:rFonts w:ascii="Times New Roman" w:hAnsi="Times New Roman" w:cs="Times New Roman"/>
                <w:noProof/>
                <w:color w:val="006100"/>
              </w:rPr>
            </w:pPr>
            <w:r>
              <w:rPr>
                <w:rFonts w:ascii="Times New Roman" w:hAnsi="Times New Roman"/>
                <w:noProof/>
                <w:color w:val="006100"/>
              </w:rPr>
              <w:t>C12R1 Актуализиране на стратегическата рамка на сектор „Здравеопазване“</w:t>
            </w:r>
          </w:p>
        </w:tc>
        <w:tc>
          <w:tcPr>
            <w:tcW w:w="1418" w:type="dxa"/>
            <w:tcBorders>
              <w:top w:val="nil"/>
              <w:left w:val="nil"/>
              <w:bottom w:val="single" w:sz="4" w:space="0" w:color="auto"/>
              <w:right w:val="single" w:sz="4" w:space="0" w:color="auto"/>
            </w:tcBorders>
            <w:shd w:val="clear" w:color="auto" w:fill="C6EFCE"/>
            <w:noWrap/>
          </w:tcPr>
          <w:p w14:paraId="40121BBF" w14:textId="77777777" w:rsidR="00D21D80" w:rsidRPr="009674F2" w:rsidRDefault="00D21D80" w:rsidP="00C955DB">
            <w:pPr>
              <w:spacing w:after="0" w:line="240" w:lineRule="auto"/>
              <w:jc w:val="center"/>
              <w:rPr>
                <w:rFonts w:ascii="Times New Roman" w:hAnsi="Times New Roman" w:cs="Times New Roman"/>
                <w:noProof/>
                <w:color w:val="006100"/>
              </w:rPr>
            </w:pPr>
            <w:r>
              <w:rPr>
                <w:rFonts w:ascii="Times New Roman" w:hAnsi="Times New Roman"/>
                <w:noProof/>
                <w:color w:val="006100"/>
              </w:rPr>
              <w:t>Ключов етап</w:t>
            </w:r>
          </w:p>
        </w:tc>
        <w:tc>
          <w:tcPr>
            <w:tcW w:w="3465" w:type="dxa"/>
            <w:tcBorders>
              <w:top w:val="nil"/>
              <w:left w:val="nil"/>
              <w:bottom w:val="single" w:sz="4" w:space="0" w:color="auto"/>
              <w:right w:val="single" w:sz="4" w:space="0" w:color="auto"/>
            </w:tcBorders>
            <w:shd w:val="clear" w:color="auto" w:fill="C6EFCE"/>
            <w:noWrap/>
          </w:tcPr>
          <w:p w14:paraId="11BF5737" w14:textId="77777777" w:rsidR="00D21D80" w:rsidRPr="009674F2" w:rsidRDefault="00D21D80" w:rsidP="00C955DB">
            <w:pPr>
              <w:spacing w:after="0" w:line="240" w:lineRule="auto"/>
              <w:rPr>
                <w:rFonts w:ascii="Times New Roman" w:hAnsi="Times New Roman" w:cs="Times New Roman"/>
                <w:noProof/>
                <w:color w:val="006100"/>
              </w:rPr>
            </w:pPr>
            <w:r>
              <w:rPr>
                <w:rFonts w:ascii="Times New Roman" w:hAnsi="Times New Roman"/>
                <w:noProof/>
                <w:color w:val="006100"/>
              </w:rPr>
              <w:t>Национална стратегия за детско и юношеско здраве и педиатрична грижа в Република България 2021—2030 г. и план за действие за изпълнение на стратегията</w:t>
            </w:r>
          </w:p>
        </w:tc>
      </w:tr>
      <w:tr w:rsidR="00D21D80" w:rsidRPr="005241FC" w14:paraId="3BD4A501" w14:textId="77777777" w:rsidTr="00E7285C">
        <w:trPr>
          <w:gridAfter w:val="1"/>
          <w:wAfter w:w="11" w:type="dxa"/>
          <w:trHeight w:val="302"/>
          <w:jc w:val="center"/>
        </w:trPr>
        <w:tc>
          <w:tcPr>
            <w:tcW w:w="1084" w:type="dxa"/>
            <w:tcBorders>
              <w:top w:val="nil"/>
              <w:left w:val="single" w:sz="4" w:space="0" w:color="auto"/>
              <w:bottom w:val="single" w:sz="4" w:space="0" w:color="auto"/>
              <w:right w:val="single" w:sz="4" w:space="0" w:color="auto"/>
            </w:tcBorders>
            <w:shd w:val="clear" w:color="auto" w:fill="C6EFCE"/>
            <w:noWrap/>
          </w:tcPr>
          <w:p w14:paraId="299FCE8C"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319</w:t>
            </w:r>
          </w:p>
        </w:tc>
        <w:tc>
          <w:tcPr>
            <w:tcW w:w="3835" w:type="dxa"/>
            <w:tcBorders>
              <w:top w:val="nil"/>
              <w:left w:val="nil"/>
              <w:bottom w:val="single" w:sz="4" w:space="0" w:color="auto"/>
              <w:right w:val="single" w:sz="4" w:space="0" w:color="auto"/>
            </w:tcBorders>
            <w:shd w:val="clear" w:color="auto" w:fill="C6EFCE"/>
            <w:noWrap/>
          </w:tcPr>
          <w:p w14:paraId="72C39D5C" w14:textId="77777777" w:rsidR="00D21D80" w:rsidRPr="009674F2" w:rsidRDefault="00D21D80" w:rsidP="00C955DB">
            <w:pPr>
              <w:spacing w:after="0"/>
              <w:rPr>
                <w:rFonts w:ascii="Times New Roman" w:hAnsi="Times New Roman" w:cs="Times New Roman"/>
                <w:noProof/>
                <w:color w:val="006100"/>
              </w:rPr>
            </w:pPr>
            <w:r>
              <w:rPr>
                <w:rFonts w:ascii="Times New Roman" w:hAnsi="Times New Roman"/>
                <w:noProof/>
                <w:color w:val="006100"/>
              </w:rPr>
              <w:t>C12R1 Актуализиране на стратегическата рамка на сектор „Здравеопазване“</w:t>
            </w:r>
          </w:p>
        </w:tc>
        <w:tc>
          <w:tcPr>
            <w:tcW w:w="1418" w:type="dxa"/>
            <w:tcBorders>
              <w:top w:val="nil"/>
              <w:left w:val="nil"/>
              <w:bottom w:val="single" w:sz="4" w:space="0" w:color="auto"/>
              <w:right w:val="single" w:sz="4" w:space="0" w:color="auto"/>
            </w:tcBorders>
            <w:shd w:val="clear" w:color="auto" w:fill="C6EFCE"/>
            <w:noWrap/>
          </w:tcPr>
          <w:p w14:paraId="5578BDB8" w14:textId="77777777" w:rsidR="00D21D80" w:rsidRPr="009674F2" w:rsidRDefault="00D21D80" w:rsidP="00C955DB">
            <w:pPr>
              <w:spacing w:after="0" w:line="240" w:lineRule="auto"/>
              <w:jc w:val="center"/>
              <w:rPr>
                <w:rFonts w:ascii="Times New Roman" w:hAnsi="Times New Roman" w:cs="Times New Roman"/>
                <w:noProof/>
                <w:color w:val="006100"/>
              </w:rPr>
            </w:pPr>
            <w:r>
              <w:rPr>
                <w:rFonts w:ascii="Times New Roman" w:hAnsi="Times New Roman"/>
                <w:noProof/>
                <w:color w:val="006100"/>
              </w:rPr>
              <w:t>Ключов етап</w:t>
            </w:r>
          </w:p>
        </w:tc>
        <w:tc>
          <w:tcPr>
            <w:tcW w:w="3465" w:type="dxa"/>
            <w:tcBorders>
              <w:top w:val="nil"/>
              <w:left w:val="nil"/>
              <w:bottom w:val="single" w:sz="4" w:space="0" w:color="auto"/>
              <w:right w:val="single" w:sz="4" w:space="0" w:color="auto"/>
            </w:tcBorders>
            <w:shd w:val="clear" w:color="auto" w:fill="C6EFCE"/>
            <w:noWrap/>
          </w:tcPr>
          <w:p w14:paraId="141319E2" w14:textId="77777777" w:rsidR="00D21D80" w:rsidRPr="009674F2" w:rsidRDefault="00D21D80" w:rsidP="00C955DB">
            <w:pPr>
              <w:spacing w:after="0" w:line="240" w:lineRule="auto"/>
              <w:rPr>
                <w:rFonts w:ascii="Times New Roman" w:hAnsi="Times New Roman" w:cs="Times New Roman"/>
                <w:noProof/>
                <w:color w:val="006100"/>
              </w:rPr>
            </w:pPr>
            <w:r>
              <w:rPr>
                <w:rFonts w:ascii="Times New Roman" w:hAnsi="Times New Roman"/>
                <w:noProof/>
                <w:color w:val="006100"/>
              </w:rPr>
              <w:t>Национален план за борба с рака в Република България 2021—2027 г.</w:t>
            </w:r>
          </w:p>
        </w:tc>
      </w:tr>
      <w:tr w:rsidR="00D21D80" w:rsidRPr="005241FC" w14:paraId="47C63EDB" w14:textId="77777777" w:rsidTr="00E7285C">
        <w:trPr>
          <w:gridAfter w:val="1"/>
          <w:wAfter w:w="11" w:type="dxa"/>
          <w:trHeight w:val="302"/>
          <w:jc w:val="center"/>
        </w:trPr>
        <w:tc>
          <w:tcPr>
            <w:tcW w:w="1084" w:type="dxa"/>
            <w:tcBorders>
              <w:top w:val="nil"/>
              <w:left w:val="single" w:sz="4" w:space="0" w:color="auto"/>
              <w:bottom w:val="single" w:sz="4" w:space="0" w:color="auto"/>
              <w:right w:val="single" w:sz="4" w:space="0" w:color="auto"/>
            </w:tcBorders>
            <w:shd w:val="clear" w:color="auto" w:fill="C6EFCE"/>
            <w:noWrap/>
          </w:tcPr>
          <w:p w14:paraId="67CAF027"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328</w:t>
            </w:r>
          </w:p>
        </w:tc>
        <w:tc>
          <w:tcPr>
            <w:tcW w:w="3835" w:type="dxa"/>
            <w:tcBorders>
              <w:top w:val="nil"/>
              <w:left w:val="nil"/>
              <w:bottom w:val="single" w:sz="4" w:space="0" w:color="auto"/>
              <w:right w:val="single" w:sz="4" w:space="0" w:color="auto"/>
            </w:tcBorders>
            <w:shd w:val="clear" w:color="auto" w:fill="C6EFCE"/>
            <w:noWrap/>
          </w:tcPr>
          <w:p w14:paraId="6F6BEB5F" w14:textId="77777777" w:rsidR="00D21D80" w:rsidRPr="009674F2" w:rsidRDefault="00D21D80" w:rsidP="00C955DB">
            <w:pPr>
              <w:spacing w:after="0"/>
              <w:rPr>
                <w:rFonts w:ascii="Times New Roman" w:hAnsi="Times New Roman" w:cs="Times New Roman"/>
                <w:noProof/>
                <w:color w:val="006100"/>
              </w:rPr>
            </w:pPr>
            <w:r>
              <w:rPr>
                <w:rFonts w:ascii="Times New Roman" w:hAnsi="Times New Roman"/>
                <w:noProof/>
                <w:color w:val="006100"/>
              </w:rPr>
              <w:t>C12R6 План за съвременно здравно образование в училищата</w:t>
            </w:r>
          </w:p>
        </w:tc>
        <w:tc>
          <w:tcPr>
            <w:tcW w:w="1418" w:type="dxa"/>
            <w:tcBorders>
              <w:top w:val="nil"/>
              <w:left w:val="nil"/>
              <w:bottom w:val="single" w:sz="4" w:space="0" w:color="auto"/>
              <w:right w:val="single" w:sz="4" w:space="0" w:color="auto"/>
            </w:tcBorders>
            <w:shd w:val="clear" w:color="auto" w:fill="C6EFCE"/>
            <w:noWrap/>
          </w:tcPr>
          <w:p w14:paraId="1A31883C" w14:textId="77777777" w:rsidR="00D21D80" w:rsidRPr="009674F2" w:rsidRDefault="00D21D80" w:rsidP="00C955DB">
            <w:pPr>
              <w:spacing w:after="0" w:line="240" w:lineRule="auto"/>
              <w:jc w:val="center"/>
              <w:rPr>
                <w:rFonts w:ascii="Times New Roman" w:hAnsi="Times New Roman" w:cs="Times New Roman"/>
                <w:noProof/>
                <w:color w:val="006100"/>
              </w:rPr>
            </w:pPr>
            <w:r>
              <w:rPr>
                <w:rFonts w:ascii="Times New Roman" w:hAnsi="Times New Roman"/>
                <w:noProof/>
                <w:color w:val="006100"/>
              </w:rPr>
              <w:t>Ключов етап</w:t>
            </w:r>
          </w:p>
        </w:tc>
        <w:tc>
          <w:tcPr>
            <w:tcW w:w="3465" w:type="dxa"/>
            <w:tcBorders>
              <w:top w:val="nil"/>
              <w:left w:val="nil"/>
              <w:bottom w:val="single" w:sz="4" w:space="0" w:color="auto"/>
              <w:right w:val="single" w:sz="4" w:space="0" w:color="auto"/>
            </w:tcBorders>
            <w:shd w:val="clear" w:color="auto" w:fill="C6EFCE"/>
            <w:noWrap/>
          </w:tcPr>
          <w:p w14:paraId="79442ED9" w14:textId="77777777" w:rsidR="00D21D80" w:rsidRPr="009674F2" w:rsidRDefault="00D21D80" w:rsidP="00C955DB">
            <w:pPr>
              <w:spacing w:after="0" w:line="240" w:lineRule="auto"/>
              <w:jc w:val="both"/>
              <w:rPr>
                <w:rFonts w:ascii="Times New Roman" w:hAnsi="Times New Roman" w:cs="Times New Roman"/>
                <w:noProof/>
                <w:color w:val="006100"/>
              </w:rPr>
            </w:pPr>
            <w:r>
              <w:rPr>
                <w:rFonts w:ascii="Times New Roman" w:hAnsi="Times New Roman"/>
                <w:noProof/>
                <w:color w:val="006100"/>
              </w:rPr>
              <w:t xml:space="preserve">Национален план за здравно образование в българското училище 2021—2027 г. </w:t>
            </w:r>
          </w:p>
        </w:tc>
      </w:tr>
      <w:tr w:rsidR="00D21D80" w:rsidRPr="00F41C75" w14:paraId="45FA3B4E" w14:textId="77777777" w:rsidTr="00E7285C">
        <w:trPr>
          <w:gridAfter w:val="1"/>
          <w:wAfter w:w="11" w:type="dxa"/>
          <w:trHeight w:val="302"/>
          <w:jc w:val="center"/>
        </w:trPr>
        <w:tc>
          <w:tcPr>
            <w:tcW w:w="1084" w:type="dxa"/>
            <w:tcBorders>
              <w:top w:val="single" w:sz="4" w:space="0" w:color="auto"/>
              <w:left w:val="single" w:sz="4" w:space="0" w:color="auto"/>
              <w:bottom w:val="single" w:sz="4" w:space="0" w:color="auto"/>
              <w:right w:val="single" w:sz="4" w:space="0" w:color="auto"/>
            </w:tcBorders>
            <w:shd w:val="clear" w:color="auto" w:fill="C6EFCE"/>
            <w:noWrap/>
          </w:tcPr>
          <w:p w14:paraId="1B663380" w14:textId="77777777" w:rsidR="00D21D80" w:rsidRPr="008A0F8A" w:rsidRDefault="00D21D80" w:rsidP="00C955DB">
            <w:pPr>
              <w:spacing w:after="0" w:line="240" w:lineRule="auto"/>
              <w:jc w:val="center"/>
              <w:rPr>
                <w:rFonts w:ascii="Times New Roman" w:eastAsia="Times New Roman" w:hAnsi="Times New Roman" w:cs="Times New Roman"/>
                <w:noProof/>
                <w:color w:val="006100"/>
                <w:lang w:val="ru-RU" w:eastAsia="en-GB"/>
              </w:rPr>
            </w:pPr>
          </w:p>
        </w:tc>
        <w:tc>
          <w:tcPr>
            <w:tcW w:w="3835" w:type="dxa"/>
            <w:tcBorders>
              <w:top w:val="single" w:sz="4" w:space="0" w:color="auto"/>
              <w:left w:val="nil"/>
              <w:bottom w:val="single" w:sz="4" w:space="0" w:color="auto"/>
              <w:right w:val="single" w:sz="4" w:space="0" w:color="auto"/>
            </w:tcBorders>
            <w:shd w:val="clear" w:color="auto" w:fill="C6EFCE"/>
            <w:noWrap/>
            <w:vAlign w:val="bottom"/>
          </w:tcPr>
          <w:p w14:paraId="3AD2641B" w14:textId="77777777" w:rsidR="00D21D80" w:rsidRPr="008A0F8A" w:rsidRDefault="00D21D80" w:rsidP="00C955DB">
            <w:pPr>
              <w:spacing w:after="0" w:line="240" w:lineRule="auto"/>
              <w:rPr>
                <w:rFonts w:ascii="Times New Roman" w:eastAsia="Times New Roman" w:hAnsi="Times New Roman" w:cs="Times New Roman"/>
                <w:noProof/>
                <w:color w:val="006100"/>
                <w:lang w:val="ru-RU" w:eastAsia="en-GB"/>
              </w:rPr>
            </w:pPr>
          </w:p>
        </w:tc>
        <w:tc>
          <w:tcPr>
            <w:tcW w:w="1418" w:type="dxa"/>
            <w:tcBorders>
              <w:top w:val="single" w:sz="4" w:space="0" w:color="auto"/>
              <w:left w:val="nil"/>
              <w:bottom w:val="single" w:sz="4" w:space="0" w:color="auto"/>
              <w:right w:val="single" w:sz="4" w:space="0" w:color="auto"/>
            </w:tcBorders>
            <w:shd w:val="clear" w:color="auto" w:fill="C6EFCE"/>
            <w:noWrap/>
            <w:vAlign w:val="bottom"/>
          </w:tcPr>
          <w:p w14:paraId="345738E6"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Размер на вноската</w:t>
            </w:r>
          </w:p>
        </w:tc>
        <w:tc>
          <w:tcPr>
            <w:tcW w:w="3465" w:type="dxa"/>
            <w:tcBorders>
              <w:top w:val="single" w:sz="4" w:space="0" w:color="auto"/>
              <w:left w:val="nil"/>
              <w:bottom w:val="single" w:sz="4" w:space="0" w:color="auto"/>
              <w:right w:val="single" w:sz="4" w:space="0" w:color="auto"/>
            </w:tcBorders>
            <w:shd w:val="clear" w:color="auto" w:fill="C6EFCE"/>
            <w:noWrap/>
            <w:vAlign w:val="bottom"/>
          </w:tcPr>
          <w:p w14:paraId="112EA846" w14:textId="1F08B603" w:rsidR="00D21D80" w:rsidRPr="009674F2" w:rsidRDefault="00D21D80" w:rsidP="00C955DB">
            <w:pPr>
              <w:spacing w:after="0" w:line="240" w:lineRule="auto"/>
              <w:jc w:val="both"/>
              <w:rPr>
                <w:rFonts w:ascii="Times New Roman" w:eastAsia="Times New Roman" w:hAnsi="Times New Roman" w:cs="Times New Roman"/>
                <w:noProof/>
                <w:color w:val="006100"/>
              </w:rPr>
            </w:pPr>
            <w:r>
              <w:rPr>
                <w:noProof/>
                <w:color w:val="006100"/>
              </w:rPr>
              <w:t xml:space="preserve">653 151 273 EUR </w:t>
            </w:r>
          </w:p>
        </w:tc>
      </w:tr>
    </w:tbl>
    <w:p w14:paraId="4933BF88" w14:textId="186E5784" w:rsidR="00D21D80" w:rsidRDefault="00D21D80" w:rsidP="00D21D80">
      <w:pPr>
        <w:rPr>
          <w:rFonts w:ascii="Times New Roman" w:eastAsia="Calibri" w:hAnsi="Times New Roman" w:cs="Times New Roman"/>
          <w:noProof/>
          <w:lang w:val="en-GB"/>
        </w:rPr>
      </w:pPr>
    </w:p>
    <w:p w14:paraId="61479E9E" w14:textId="77777777" w:rsidR="00D21D80" w:rsidRPr="00F41C75" w:rsidRDefault="00D21D80" w:rsidP="008E333E">
      <w:pPr>
        <w:pageBreakBefore/>
        <w:numPr>
          <w:ilvl w:val="1"/>
          <w:numId w:val="1"/>
        </w:numPr>
        <w:spacing w:before="120" w:after="120" w:line="240" w:lineRule="auto"/>
        <w:ind w:left="851" w:hanging="851"/>
        <w:jc w:val="both"/>
        <w:rPr>
          <w:rFonts w:ascii="Times New Roman" w:eastAsia="Calibri" w:hAnsi="Times New Roman" w:cs="Times New Roman"/>
          <w:noProof/>
        </w:rPr>
      </w:pPr>
      <w:r>
        <w:rPr>
          <w:rFonts w:ascii="Times New Roman" w:hAnsi="Times New Roman"/>
          <w:noProof/>
        </w:rPr>
        <w:t xml:space="preserve">Трета вноска (безвъзмездна подкрепа): </w:t>
      </w:r>
    </w:p>
    <w:tbl>
      <w:tblPr>
        <w:tblW w:w="10202" w:type="dxa"/>
        <w:jc w:val="center"/>
        <w:tblLook w:val="04A0" w:firstRow="1" w:lastRow="0" w:firstColumn="1" w:lastColumn="0" w:noHBand="0" w:noVBand="1"/>
      </w:tblPr>
      <w:tblGrid>
        <w:gridCol w:w="1274"/>
        <w:gridCol w:w="3827"/>
        <w:gridCol w:w="1560"/>
        <w:gridCol w:w="3541"/>
      </w:tblGrid>
      <w:tr w:rsidR="00D21D80" w:rsidRPr="00F41C75" w14:paraId="7CB107DC" w14:textId="77777777" w:rsidTr="008E333E">
        <w:trPr>
          <w:trHeight w:val="906"/>
          <w:tblHeader/>
          <w:jc w:val="center"/>
        </w:trPr>
        <w:tc>
          <w:tcPr>
            <w:tcW w:w="127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39D07EA" w14:textId="77777777" w:rsidR="00D21D80" w:rsidRPr="00F41C75" w:rsidRDefault="00D21D80" w:rsidP="00C955DB">
            <w:pPr>
              <w:spacing w:after="0" w:line="240" w:lineRule="auto"/>
              <w:jc w:val="center"/>
              <w:rPr>
                <w:rFonts w:ascii="Times New Roman" w:eastAsia="Times New Roman" w:hAnsi="Times New Roman" w:cs="Times New Roman"/>
                <w:b/>
                <w:noProof/>
              </w:rPr>
            </w:pPr>
            <w:r>
              <w:rPr>
                <w:rFonts w:ascii="Times New Roman" w:hAnsi="Times New Roman"/>
                <w:b/>
                <w:noProof/>
              </w:rPr>
              <w:t>Пореден номер</w:t>
            </w:r>
          </w:p>
        </w:tc>
        <w:tc>
          <w:tcPr>
            <w:tcW w:w="382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A4560CC" w14:textId="77777777" w:rsidR="00D21D80" w:rsidRPr="00F41C75" w:rsidRDefault="00D21D80" w:rsidP="00C955DB">
            <w:pPr>
              <w:spacing w:after="0" w:line="240" w:lineRule="auto"/>
              <w:jc w:val="center"/>
              <w:rPr>
                <w:rFonts w:ascii="Times New Roman" w:eastAsia="Times New Roman" w:hAnsi="Times New Roman" w:cs="Times New Roman"/>
                <w:b/>
                <w:noProof/>
              </w:rPr>
            </w:pPr>
            <w:r>
              <w:rPr>
                <w:rFonts w:ascii="Times New Roman" w:hAnsi="Times New Roman"/>
                <w:b/>
                <w:noProof/>
              </w:rPr>
              <w:t>Свързана мярка (реформа или инвестиция)</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29F1BD9" w14:textId="77777777" w:rsidR="00D21D80" w:rsidRPr="00F41C75" w:rsidRDefault="00D21D80" w:rsidP="00C955DB">
            <w:pPr>
              <w:spacing w:after="0" w:line="240" w:lineRule="auto"/>
              <w:jc w:val="center"/>
              <w:rPr>
                <w:rFonts w:ascii="Times New Roman" w:eastAsia="Times New Roman" w:hAnsi="Times New Roman" w:cs="Times New Roman"/>
                <w:b/>
                <w:noProof/>
              </w:rPr>
            </w:pPr>
            <w:r>
              <w:rPr>
                <w:rFonts w:ascii="Times New Roman" w:hAnsi="Times New Roman"/>
                <w:b/>
                <w:noProof/>
              </w:rPr>
              <w:t>Ключов етап / Цел</w:t>
            </w:r>
          </w:p>
        </w:tc>
        <w:tc>
          <w:tcPr>
            <w:tcW w:w="354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CFC0DFA" w14:textId="77777777" w:rsidR="00D21D80" w:rsidRPr="00F41C75" w:rsidRDefault="00D21D80" w:rsidP="00C955DB">
            <w:pPr>
              <w:spacing w:after="0" w:line="240" w:lineRule="auto"/>
              <w:jc w:val="center"/>
              <w:rPr>
                <w:rFonts w:ascii="Times New Roman" w:eastAsia="Times New Roman" w:hAnsi="Times New Roman" w:cs="Times New Roman"/>
                <w:b/>
                <w:noProof/>
              </w:rPr>
            </w:pPr>
            <w:r>
              <w:rPr>
                <w:rFonts w:ascii="Times New Roman" w:hAnsi="Times New Roman"/>
                <w:b/>
                <w:noProof/>
              </w:rPr>
              <w:t>Наименование</w:t>
            </w:r>
          </w:p>
        </w:tc>
      </w:tr>
      <w:tr w:rsidR="00D21D80" w:rsidRPr="00F41C75" w14:paraId="073A5D1E" w14:textId="77777777" w:rsidTr="008E333E">
        <w:trPr>
          <w:trHeight w:val="450"/>
          <w:jc w:val="center"/>
        </w:trPr>
        <w:tc>
          <w:tcPr>
            <w:tcW w:w="1274" w:type="dxa"/>
            <w:vMerge/>
            <w:tcBorders>
              <w:top w:val="single" w:sz="4" w:space="0" w:color="auto"/>
              <w:left w:val="single" w:sz="4" w:space="0" w:color="auto"/>
              <w:bottom w:val="single" w:sz="4" w:space="0" w:color="auto"/>
              <w:right w:val="single" w:sz="4" w:space="0" w:color="auto"/>
            </w:tcBorders>
            <w:vAlign w:val="center"/>
            <w:hideMark/>
          </w:tcPr>
          <w:p w14:paraId="2E876D2C" w14:textId="77777777" w:rsidR="00D21D80" w:rsidRPr="00F41C75" w:rsidRDefault="00D21D80" w:rsidP="00C955DB">
            <w:pPr>
              <w:spacing w:after="0" w:line="240" w:lineRule="auto"/>
              <w:jc w:val="center"/>
              <w:rPr>
                <w:rFonts w:ascii="Times New Roman" w:eastAsia="Times New Roman" w:hAnsi="Times New Roman" w:cs="Times New Roman"/>
                <w:b/>
                <w:bCs/>
                <w:noProof/>
                <w:lang w:val="en-GB" w:eastAsia="en-GB"/>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1C73FA57" w14:textId="77777777" w:rsidR="00D21D80" w:rsidRPr="00F41C75" w:rsidRDefault="00D21D80" w:rsidP="00C955DB">
            <w:pPr>
              <w:spacing w:after="0" w:line="240" w:lineRule="auto"/>
              <w:jc w:val="both"/>
              <w:rPr>
                <w:rFonts w:ascii="Times New Roman" w:eastAsia="Times New Roman" w:hAnsi="Times New Roman" w:cs="Times New Roman"/>
                <w:b/>
                <w:bCs/>
                <w:noProof/>
                <w:lang w:val="en-GB" w:eastAsia="en-GB"/>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857AEC7" w14:textId="77777777" w:rsidR="00D21D80" w:rsidRPr="00F41C75" w:rsidRDefault="00D21D80" w:rsidP="00C955DB">
            <w:pPr>
              <w:spacing w:after="0" w:line="240" w:lineRule="auto"/>
              <w:jc w:val="center"/>
              <w:rPr>
                <w:rFonts w:ascii="Times New Roman" w:eastAsia="Times New Roman" w:hAnsi="Times New Roman" w:cs="Times New Roman"/>
                <w:b/>
                <w:bCs/>
                <w:noProof/>
                <w:lang w:val="en-GB" w:eastAsia="en-GB"/>
              </w:rPr>
            </w:pPr>
          </w:p>
        </w:tc>
        <w:tc>
          <w:tcPr>
            <w:tcW w:w="3541" w:type="dxa"/>
            <w:vMerge/>
            <w:tcBorders>
              <w:top w:val="single" w:sz="4" w:space="0" w:color="auto"/>
              <w:left w:val="single" w:sz="4" w:space="0" w:color="auto"/>
              <w:bottom w:val="single" w:sz="4" w:space="0" w:color="auto"/>
              <w:right w:val="single" w:sz="4" w:space="0" w:color="auto"/>
            </w:tcBorders>
            <w:vAlign w:val="center"/>
            <w:hideMark/>
          </w:tcPr>
          <w:p w14:paraId="46D8D399" w14:textId="77777777" w:rsidR="00D21D80" w:rsidRPr="00F41C75" w:rsidRDefault="00D21D80" w:rsidP="00C955DB">
            <w:pPr>
              <w:spacing w:after="0" w:line="240" w:lineRule="auto"/>
              <w:jc w:val="both"/>
              <w:rPr>
                <w:rFonts w:ascii="Times New Roman" w:eastAsia="Times New Roman" w:hAnsi="Times New Roman" w:cs="Times New Roman"/>
                <w:b/>
                <w:bCs/>
                <w:noProof/>
                <w:lang w:val="en-GB" w:eastAsia="en-GB"/>
              </w:rPr>
            </w:pPr>
          </w:p>
        </w:tc>
      </w:tr>
      <w:tr w:rsidR="00D21D80" w:rsidRPr="005241FC" w14:paraId="1CAD1F9B" w14:textId="77777777" w:rsidTr="008E333E">
        <w:trPr>
          <w:trHeight w:val="302"/>
          <w:jc w:val="center"/>
        </w:trPr>
        <w:tc>
          <w:tcPr>
            <w:tcW w:w="1274" w:type="dxa"/>
            <w:tcBorders>
              <w:top w:val="single" w:sz="4" w:space="0" w:color="auto"/>
              <w:left w:val="single" w:sz="4" w:space="0" w:color="auto"/>
              <w:bottom w:val="single" w:sz="4" w:space="0" w:color="auto"/>
              <w:right w:val="single" w:sz="4" w:space="0" w:color="auto"/>
            </w:tcBorders>
            <w:shd w:val="clear" w:color="auto" w:fill="C6EFCE"/>
            <w:noWrap/>
          </w:tcPr>
          <w:p w14:paraId="6512F4C7"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17</w:t>
            </w:r>
          </w:p>
        </w:tc>
        <w:tc>
          <w:tcPr>
            <w:tcW w:w="3827" w:type="dxa"/>
            <w:tcBorders>
              <w:top w:val="single" w:sz="4" w:space="0" w:color="auto"/>
              <w:left w:val="nil"/>
              <w:bottom w:val="single" w:sz="4" w:space="0" w:color="auto"/>
              <w:right w:val="single" w:sz="4" w:space="0" w:color="auto"/>
            </w:tcBorders>
            <w:shd w:val="clear" w:color="auto" w:fill="C6EFCE"/>
            <w:noWrap/>
          </w:tcPr>
          <w:p w14:paraId="23456EEE" w14:textId="77777777" w:rsidR="00D21D80" w:rsidRPr="009674F2" w:rsidRDefault="00D21D80" w:rsidP="00C955DB">
            <w:pPr>
              <w:spacing w:after="0"/>
              <w:jc w:val="both"/>
              <w:rPr>
                <w:rFonts w:ascii="Times New Roman" w:hAnsi="Times New Roman" w:cs="Times New Roman"/>
                <w:noProof/>
                <w:color w:val="006100"/>
              </w:rPr>
            </w:pPr>
            <w:r>
              <w:rPr>
                <w:rFonts w:ascii="Times New Roman" w:hAnsi="Times New Roman"/>
                <w:noProof/>
                <w:color w:val="006100"/>
              </w:rPr>
              <w:t>C1I3 Предлагане на обучения за придобиване на умения в областта на цифровите технологии и създаване на обучителна платформа за възрастни</w:t>
            </w:r>
          </w:p>
        </w:tc>
        <w:tc>
          <w:tcPr>
            <w:tcW w:w="1560" w:type="dxa"/>
            <w:tcBorders>
              <w:top w:val="single" w:sz="4" w:space="0" w:color="auto"/>
              <w:left w:val="nil"/>
              <w:bottom w:val="single" w:sz="4" w:space="0" w:color="auto"/>
              <w:right w:val="single" w:sz="4" w:space="0" w:color="auto"/>
            </w:tcBorders>
            <w:shd w:val="clear" w:color="auto" w:fill="C6EFCE"/>
            <w:noWrap/>
          </w:tcPr>
          <w:p w14:paraId="39BD64DF" w14:textId="77777777" w:rsidR="00D21D80" w:rsidRPr="009674F2" w:rsidRDefault="00D21D80" w:rsidP="00C955DB">
            <w:pPr>
              <w:spacing w:after="0" w:line="240" w:lineRule="auto"/>
              <w:jc w:val="center"/>
              <w:rPr>
                <w:rFonts w:ascii="Times New Roman" w:hAnsi="Times New Roman" w:cs="Times New Roman"/>
                <w:noProof/>
                <w:color w:val="006100"/>
              </w:rPr>
            </w:pPr>
            <w:r>
              <w:rPr>
                <w:rFonts w:ascii="Times New Roman" w:hAnsi="Times New Roman"/>
                <w:noProof/>
                <w:color w:val="006100"/>
              </w:rPr>
              <w:t>Ключов етап</w:t>
            </w:r>
          </w:p>
        </w:tc>
        <w:tc>
          <w:tcPr>
            <w:tcW w:w="3541" w:type="dxa"/>
            <w:tcBorders>
              <w:top w:val="single" w:sz="4" w:space="0" w:color="auto"/>
              <w:left w:val="nil"/>
              <w:bottom w:val="single" w:sz="4" w:space="0" w:color="auto"/>
              <w:right w:val="single" w:sz="4" w:space="0" w:color="auto"/>
            </w:tcBorders>
            <w:shd w:val="clear" w:color="auto" w:fill="C6EFCE"/>
            <w:noWrap/>
          </w:tcPr>
          <w:p w14:paraId="31D392A2" w14:textId="77777777" w:rsidR="00D21D80" w:rsidRPr="009674F2" w:rsidRDefault="00D21D80" w:rsidP="00C955DB">
            <w:pPr>
              <w:spacing w:after="0" w:line="240" w:lineRule="auto"/>
              <w:jc w:val="both"/>
              <w:rPr>
                <w:rFonts w:ascii="Times New Roman" w:hAnsi="Times New Roman" w:cs="Times New Roman"/>
                <w:noProof/>
                <w:color w:val="006100"/>
              </w:rPr>
            </w:pPr>
            <w:r>
              <w:rPr>
                <w:rFonts w:ascii="Times New Roman" w:hAnsi="Times New Roman"/>
                <w:noProof/>
                <w:color w:val="006100"/>
              </w:rPr>
              <w:t>Сключване на договори за разработване на платформа за електронно обучение за възрастни</w:t>
            </w:r>
          </w:p>
        </w:tc>
      </w:tr>
      <w:tr w:rsidR="00D21D80" w:rsidRPr="00BC5758" w14:paraId="3D61ECAC" w14:textId="77777777" w:rsidTr="7B697459">
        <w:trPr>
          <w:trHeight w:val="302"/>
          <w:jc w:val="center"/>
        </w:trPr>
        <w:tc>
          <w:tcPr>
            <w:tcW w:w="1274" w:type="dxa"/>
            <w:tcBorders>
              <w:top w:val="nil"/>
              <w:left w:val="single" w:sz="4" w:space="0" w:color="auto"/>
              <w:bottom w:val="single" w:sz="4" w:space="0" w:color="auto"/>
              <w:right w:val="single" w:sz="4" w:space="0" w:color="auto"/>
            </w:tcBorders>
            <w:shd w:val="clear" w:color="auto" w:fill="C6EFCE"/>
            <w:noWrap/>
          </w:tcPr>
          <w:p w14:paraId="38A22D1D"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59</w:t>
            </w:r>
          </w:p>
        </w:tc>
        <w:tc>
          <w:tcPr>
            <w:tcW w:w="3827" w:type="dxa"/>
            <w:tcBorders>
              <w:top w:val="nil"/>
              <w:left w:val="nil"/>
              <w:bottom w:val="single" w:sz="4" w:space="0" w:color="auto"/>
              <w:right w:val="single" w:sz="4" w:space="0" w:color="auto"/>
            </w:tcBorders>
            <w:shd w:val="clear" w:color="auto" w:fill="C6EFCE"/>
            <w:noWrap/>
            <w:vAlign w:val="center"/>
          </w:tcPr>
          <w:p w14:paraId="40A98707" w14:textId="77777777" w:rsidR="00D21D80" w:rsidRPr="009674F2" w:rsidRDefault="00D21D80" w:rsidP="00C955DB">
            <w:pPr>
              <w:spacing w:after="0"/>
              <w:jc w:val="both"/>
              <w:rPr>
                <w:rFonts w:ascii="Times New Roman" w:hAnsi="Times New Roman" w:cs="Times New Roman"/>
                <w:noProof/>
                <w:color w:val="006100"/>
              </w:rPr>
            </w:pPr>
            <w:r>
              <w:rPr>
                <w:rFonts w:ascii="Times New Roman" w:hAnsi="Times New Roman"/>
                <w:noProof/>
                <w:color w:val="006100"/>
              </w:rPr>
              <w:t>C3I2.2.в — Схема за безвъзмездни средства за подпомагане на предприятията в прехода към кръгова икономика</w:t>
            </w:r>
          </w:p>
        </w:tc>
        <w:tc>
          <w:tcPr>
            <w:tcW w:w="1560" w:type="dxa"/>
            <w:tcBorders>
              <w:top w:val="nil"/>
              <w:left w:val="nil"/>
              <w:bottom w:val="single" w:sz="4" w:space="0" w:color="auto"/>
              <w:right w:val="single" w:sz="4" w:space="0" w:color="auto"/>
            </w:tcBorders>
            <w:shd w:val="clear" w:color="auto" w:fill="C6EFCE"/>
            <w:noWrap/>
            <w:vAlign w:val="center"/>
          </w:tcPr>
          <w:p w14:paraId="42ADFB0C" w14:textId="77777777" w:rsidR="00D21D80" w:rsidRPr="009674F2" w:rsidRDefault="00D21D80" w:rsidP="00C955DB">
            <w:pPr>
              <w:spacing w:after="0" w:line="240" w:lineRule="auto"/>
              <w:jc w:val="center"/>
              <w:rPr>
                <w:rFonts w:ascii="Times New Roman" w:hAnsi="Times New Roman" w:cs="Times New Roman"/>
                <w:noProof/>
                <w:color w:val="006100"/>
              </w:rPr>
            </w:pPr>
            <w:r>
              <w:rPr>
                <w:rFonts w:ascii="Times New Roman" w:hAnsi="Times New Roman"/>
                <w:noProof/>
                <w:color w:val="006100"/>
              </w:rPr>
              <w:t>Ключов етап</w:t>
            </w:r>
          </w:p>
        </w:tc>
        <w:tc>
          <w:tcPr>
            <w:tcW w:w="3541" w:type="dxa"/>
            <w:tcBorders>
              <w:top w:val="nil"/>
              <w:left w:val="nil"/>
              <w:bottom w:val="single" w:sz="4" w:space="0" w:color="auto"/>
              <w:right w:val="single" w:sz="4" w:space="0" w:color="auto"/>
            </w:tcBorders>
            <w:shd w:val="clear" w:color="auto" w:fill="C6EFCE"/>
            <w:noWrap/>
            <w:vAlign w:val="center"/>
          </w:tcPr>
          <w:p w14:paraId="2784DD98" w14:textId="77777777" w:rsidR="00D21D80" w:rsidRPr="009674F2" w:rsidRDefault="00D21D80" w:rsidP="00C955DB">
            <w:pPr>
              <w:spacing w:after="0" w:line="240" w:lineRule="auto"/>
              <w:jc w:val="both"/>
              <w:rPr>
                <w:rFonts w:ascii="Times New Roman" w:hAnsi="Times New Roman" w:cs="Times New Roman"/>
                <w:noProof/>
                <w:color w:val="006100"/>
              </w:rPr>
            </w:pPr>
            <w:r>
              <w:rPr>
                <w:rFonts w:ascii="Times New Roman" w:hAnsi="Times New Roman"/>
                <w:noProof/>
                <w:color w:val="006100"/>
              </w:rPr>
              <w:t>Приключили процедури за подбор</w:t>
            </w:r>
          </w:p>
          <w:p w14:paraId="2F35C8B7" w14:textId="77777777" w:rsidR="00D21D80" w:rsidRPr="009674F2" w:rsidRDefault="00D21D80" w:rsidP="00C955DB">
            <w:pPr>
              <w:spacing w:after="0" w:line="240" w:lineRule="auto"/>
              <w:jc w:val="both"/>
              <w:rPr>
                <w:rFonts w:ascii="Times New Roman" w:hAnsi="Times New Roman" w:cs="Times New Roman"/>
                <w:noProof/>
                <w:color w:val="006100"/>
                <w:lang w:val="en-US"/>
              </w:rPr>
            </w:pPr>
          </w:p>
        </w:tc>
      </w:tr>
      <w:tr w:rsidR="00D21D80" w:rsidRPr="005241FC" w14:paraId="5423BB0F" w14:textId="77777777" w:rsidTr="7B697459">
        <w:trPr>
          <w:trHeight w:val="302"/>
          <w:jc w:val="center"/>
        </w:trPr>
        <w:tc>
          <w:tcPr>
            <w:tcW w:w="1274" w:type="dxa"/>
            <w:tcBorders>
              <w:top w:val="nil"/>
              <w:left w:val="single" w:sz="4" w:space="0" w:color="auto"/>
              <w:bottom w:val="single" w:sz="4" w:space="0" w:color="auto"/>
              <w:right w:val="single" w:sz="4" w:space="0" w:color="auto"/>
            </w:tcBorders>
            <w:shd w:val="clear" w:color="auto" w:fill="C6EFCE"/>
            <w:noWrap/>
          </w:tcPr>
          <w:p w14:paraId="70C1544E"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184</w:t>
            </w:r>
          </w:p>
        </w:tc>
        <w:tc>
          <w:tcPr>
            <w:tcW w:w="3827" w:type="dxa"/>
            <w:tcBorders>
              <w:top w:val="nil"/>
              <w:left w:val="nil"/>
              <w:bottom w:val="single" w:sz="4" w:space="0" w:color="auto"/>
              <w:right w:val="single" w:sz="4" w:space="0" w:color="auto"/>
            </w:tcBorders>
            <w:shd w:val="clear" w:color="auto" w:fill="C6EFCE"/>
            <w:noWrap/>
          </w:tcPr>
          <w:p w14:paraId="43CC1BAA" w14:textId="77777777" w:rsidR="00D21D80" w:rsidRPr="009674F2" w:rsidRDefault="00D21D80" w:rsidP="00C955DB">
            <w:pPr>
              <w:spacing w:after="0"/>
              <w:jc w:val="both"/>
              <w:rPr>
                <w:rFonts w:ascii="Times New Roman" w:eastAsia="Times New Roman" w:hAnsi="Times New Roman" w:cs="Times New Roman"/>
                <w:noProof/>
                <w:color w:val="006100"/>
                <w:highlight w:val="yellow"/>
              </w:rPr>
            </w:pPr>
            <w:r>
              <w:rPr>
                <w:rFonts w:ascii="Times New Roman" w:hAnsi="Times New Roman"/>
                <w:noProof/>
                <w:color w:val="006100"/>
              </w:rPr>
              <w:t>C8I1 Железопътен подвижен състав</w:t>
            </w:r>
          </w:p>
        </w:tc>
        <w:tc>
          <w:tcPr>
            <w:tcW w:w="1560" w:type="dxa"/>
            <w:tcBorders>
              <w:top w:val="nil"/>
              <w:left w:val="nil"/>
              <w:bottom w:val="single" w:sz="4" w:space="0" w:color="auto"/>
              <w:right w:val="single" w:sz="4" w:space="0" w:color="auto"/>
            </w:tcBorders>
            <w:shd w:val="clear" w:color="auto" w:fill="C6EFCE"/>
            <w:noWrap/>
          </w:tcPr>
          <w:p w14:paraId="084E0ED2"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Ключов етап</w:t>
            </w:r>
          </w:p>
        </w:tc>
        <w:tc>
          <w:tcPr>
            <w:tcW w:w="3541" w:type="dxa"/>
            <w:tcBorders>
              <w:top w:val="nil"/>
              <w:left w:val="nil"/>
              <w:bottom w:val="single" w:sz="4" w:space="0" w:color="auto"/>
              <w:right w:val="single" w:sz="4" w:space="0" w:color="auto"/>
            </w:tcBorders>
            <w:shd w:val="clear" w:color="auto" w:fill="C6EFCE"/>
            <w:noWrap/>
          </w:tcPr>
          <w:p w14:paraId="359B3B66"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Договор(и) за доставка на нов железопътен подвижен състав с нулеви емисии за крайградски и междурегионални превози и маневрени локомотиви</w:t>
            </w:r>
          </w:p>
          <w:p w14:paraId="1F4278DF" w14:textId="77777777" w:rsidR="00D21D80" w:rsidRPr="008A0F8A" w:rsidRDefault="00D21D80" w:rsidP="00C955DB">
            <w:pPr>
              <w:spacing w:after="0" w:line="240" w:lineRule="auto"/>
              <w:jc w:val="both"/>
              <w:rPr>
                <w:rFonts w:ascii="Times New Roman" w:eastAsia="Times New Roman" w:hAnsi="Times New Roman" w:cs="Times New Roman"/>
                <w:noProof/>
                <w:color w:val="006100"/>
                <w:lang w:val="ru-RU" w:eastAsia="en-GB"/>
              </w:rPr>
            </w:pPr>
          </w:p>
        </w:tc>
      </w:tr>
      <w:tr w:rsidR="00A8033B" w:rsidRPr="005241FC" w14:paraId="6C04E7B4" w14:textId="77777777" w:rsidTr="7B697459">
        <w:trPr>
          <w:trHeight w:val="302"/>
          <w:jc w:val="center"/>
        </w:trPr>
        <w:tc>
          <w:tcPr>
            <w:tcW w:w="1274" w:type="dxa"/>
            <w:tcBorders>
              <w:top w:val="nil"/>
              <w:left w:val="single" w:sz="4" w:space="0" w:color="auto"/>
              <w:bottom w:val="single" w:sz="4" w:space="0" w:color="auto"/>
              <w:right w:val="single" w:sz="4" w:space="0" w:color="auto"/>
            </w:tcBorders>
            <w:shd w:val="clear" w:color="auto" w:fill="C6EFCE"/>
            <w:noWrap/>
          </w:tcPr>
          <w:p w14:paraId="5B22B8C1" w14:textId="755ECAE0" w:rsidR="00A8033B" w:rsidRPr="009674F2" w:rsidRDefault="00A8033B" w:rsidP="00A8033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188</w:t>
            </w:r>
          </w:p>
        </w:tc>
        <w:tc>
          <w:tcPr>
            <w:tcW w:w="3827" w:type="dxa"/>
            <w:tcBorders>
              <w:top w:val="nil"/>
              <w:left w:val="nil"/>
              <w:bottom w:val="single" w:sz="4" w:space="0" w:color="auto"/>
              <w:right w:val="single" w:sz="4" w:space="0" w:color="auto"/>
            </w:tcBorders>
            <w:shd w:val="clear" w:color="auto" w:fill="C6EFCE"/>
            <w:noWrap/>
          </w:tcPr>
          <w:p w14:paraId="5E16B208" w14:textId="5099F467" w:rsidR="00A8033B" w:rsidRPr="009674F2" w:rsidRDefault="00A8033B" w:rsidP="00A8033B">
            <w:pPr>
              <w:spacing w:after="0"/>
              <w:jc w:val="both"/>
              <w:rPr>
                <w:rFonts w:ascii="Times New Roman" w:eastAsia="Times New Roman" w:hAnsi="Times New Roman" w:cs="Times New Roman"/>
                <w:noProof/>
                <w:color w:val="006100"/>
              </w:rPr>
            </w:pPr>
            <w:r>
              <w:rPr>
                <w:rFonts w:ascii="Times New Roman" w:hAnsi="Times New Roman"/>
                <w:noProof/>
                <w:color w:val="006100"/>
              </w:rPr>
              <w:t>C8I2 Бордово оборудване за Европейската система за управление на влаковете</w:t>
            </w:r>
          </w:p>
        </w:tc>
        <w:tc>
          <w:tcPr>
            <w:tcW w:w="1560" w:type="dxa"/>
            <w:tcBorders>
              <w:top w:val="nil"/>
              <w:left w:val="nil"/>
              <w:bottom w:val="single" w:sz="4" w:space="0" w:color="auto"/>
              <w:right w:val="single" w:sz="4" w:space="0" w:color="auto"/>
            </w:tcBorders>
            <w:shd w:val="clear" w:color="auto" w:fill="C6EFCE"/>
            <w:noWrap/>
          </w:tcPr>
          <w:p w14:paraId="27B8C8A8" w14:textId="3D41E52A" w:rsidR="00A8033B" w:rsidRPr="009674F2" w:rsidRDefault="00A8033B" w:rsidP="00A8033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Ключов етап</w:t>
            </w:r>
          </w:p>
        </w:tc>
        <w:tc>
          <w:tcPr>
            <w:tcW w:w="3541" w:type="dxa"/>
            <w:tcBorders>
              <w:top w:val="nil"/>
              <w:left w:val="nil"/>
              <w:bottom w:val="single" w:sz="4" w:space="0" w:color="auto"/>
              <w:right w:val="single" w:sz="4" w:space="0" w:color="auto"/>
            </w:tcBorders>
            <w:shd w:val="clear" w:color="auto" w:fill="C6EFCE"/>
            <w:noWrap/>
          </w:tcPr>
          <w:p w14:paraId="76F69026" w14:textId="24015C9E" w:rsidR="00A8033B" w:rsidRPr="009674F2" w:rsidRDefault="00A8033B" w:rsidP="00A8033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Договори за инсталиране на бордово оборудване за ERTMS (ETCS)</w:t>
            </w:r>
          </w:p>
        </w:tc>
      </w:tr>
      <w:tr w:rsidR="00A8033B" w:rsidRPr="005241FC" w14:paraId="5F5077F3" w14:textId="77777777" w:rsidTr="7B697459">
        <w:trPr>
          <w:trHeight w:val="302"/>
          <w:jc w:val="center"/>
        </w:trPr>
        <w:tc>
          <w:tcPr>
            <w:tcW w:w="1274" w:type="dxa"/>
            <w:tcBorders>
              <w:top w:val="nil"/>
              <w:left w:val="single" w:sz="4" w:space="0" w:color="auto"/>
              <w:bottom w:val="single" w:sz="4" w:space="0" w:color="auto"/>
              <w:right w:val="single" w:sz="4" w:space="0" w:color="auto"/>
            </w:tcBorders>
            <w:shd w:val="clear" w:color="auto" w:fill="C6EFCE"/>
            <w:noWrap/>
          </w:tcPr>
          <w:p w14:paraId="79CC0331" w14:textId="77777777" w:rsidR="00A8033B" w:rsidRPr="009674F2" w:rsidRDefault="00A8033B" w:rsidP="00A8033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221</w:t>
            </w:r>
          </w:p>
        </w:tc>
        <w:tc>
          <w:tcPr>
            <w:tcW w:w="3827" w:type="dxa"/>
            <w:tcBorders>
              <w:top w:val="nil"/>
              <w:left w:val="nil"/>
              <w:bottom w:val="single" w:sz="4" w:space="0" w:color="auto"/>
              <w:right w:val="single" w:sz="4" w:space="0" w:color="auto"/>
            </w:tcBorders>
            <w:shd w:val="clear" w:color="auto" w:fill="C6EFCE"/>
            <w:noWrap/>
          </w:tcPr>
          <w:p w14:paraId="22A3595A" w14:textId="77777777" w:rsidR="00A8033B" w:rsidRPr="009674F2" w:rsidRDefault="00A8033B" w:rsidP="00A8033B">
            <w:pPr>
              <w:spacing w:after="0"/>
              <w:jc w:val="both"/>
              <w:rPr>
                <w:rFonts w:ascii="Times New Roman" w:hAnsi="Times New Roman" w:cs="Times New Roman"/>
                <w:noProof/>
                <w:color w:val="006100"/>
              </w:rPr>
            </w:pPr>
            <w:r>
              <w:rPr>
                <w:rFonts w:ascii="Times New Roman" w:hAnsi="Times New Roman"/>
                <w:noProof/>
                <w:color w:val="006100"/>
              </w:rPr>
              <w:t>C10R2 Противодействие на корупцията</w:t>
            </w:r>
          </w:p>
        </w:tc>
        <w:tc>
          <w:tcPr>
            <w:tcW w:w="1560" w:type="dxa"/>
            <w:tcBorders>
              <w:top w:val="nil"/>
              <w:left w:val="nil"/>
              <w:bottom w:val="single" w:sz="4" w:space="0" w:color="auto"/>
              <w:right w:val="single" w:sz="4" w:space="0" w:color="auto"/>
            </w:tcBorders>
            <w:shd w:val="clear" w:color="auto" w:fill="C6EFCE"/>
            <w:noWrap/>
          </w:tcPr>
          <w:p w14:paraId="6FA7908F" w14:textId="77777777" w:rsidR="00A8033B" w:rsidRPr="009674F2" w:rsidRDefault="00A8033B" w:rsidP="00A8033B">
            <w:pPr>
              <w:spacing w:after="0" w:line="240" w:lineRule="auto"/>
              <w:jc w:val="center"/>
              <w:rPr>
                <w:rFonts w:ascii="Times New Roman" w:hAnsi="Times New Roman" w:cs="Times New Roman"/>
                <w:noProof/>
                <w:color w:val="006100"/>
              </w:rPr>
            </w:pPr>
            <w:r>
              <w:rPr>
                <w:rFonts w:ascii="Times New Roman" w:hAnsi="Times New Roman"/>
                <w:noProof/>
                <w:color w:val="006100"/>
              </w:rPr>
              <w:t>Ключов етап</w:t>
            </w:r>
          </w:p>
        </w:tc>
        <w:tc>
          <w:tcPr>
            <w:tcW w:w="3541" w:type="dxa"/>
            <w:tcBorders>
              <w:top w:val="nil"/>
              <w:left w:val="nil"/>
              <w:bottom w:val="single" w:sz="4" w:space="0" w:color="auto"/>
              <w:right w:val="single" w:sz="4" w:space="0" w:color="auto"/>
            </w:tcBorders>
            <w:shd w:val="clear" w:color="auto" w:fill="C6EFCE"/>
            <w:noWrap/>
          </w:tcPr>
          <w:p w14:paraId="0A61A701" w14:textId="77777777" w:rsidR="00A8033B" w:rsidRPr="009674F2" w:rsidRDefault="00A8033B" w:rsidP="00A8033B">
            <w:pPr>
              <w:spacing w:after="0" w:line="240" w:lineRule="auto"/>
              <w:jc w:val="both"/>
              <w:rPr>
                <w:rFonts w:ascii="Times New Roman" w:hAnsi="Times New Roman" w:cs="Times New Roman"/>
                <w:noProof/>
                <w:color w:val="006100"/>
              </w:rPr>
            </w:pPr>
            <w:r>
              <w:rPr>
                <w:rFonts w:ascii="Times New Roman" w:hAnsi="Times New Roman"/>
                <w:noProof/>
                <w:color w:val="006100"/>
              </w:rPr>
              <w:t xml:space="preserve">Влизане в сила на законодателни изменения във връзка с електронната платформа и за укрепване на органите и звената за противодействие на корупцията </w:t>
            </w:r>
          </w:p>
        </w:tc>
      </w:tr>
      <w:tr w:rsidR="00A8033B" w:rsidRPr="005241FC" w14:paraId="78E1E036" w14:textId="77777777" w:rsidTr="7B697459">
        <w:trPr>
          <w:trHeight w:val="302"/>
          <w:jc w:val="center"/>
        </w:trPr>
        <w:tc>
          <w:tcPr>
            <w:tcW w:w="1274" w:type="dxa"/>
            <w:tcBorders>
              <w:top w:val="nil"/>
              <w:left w:val="single" w:sz="4" w:space="0" w:color="auto"/>
              <w:bottom w:val="single" w:sz="4" w:space="0" w:color="auto"/>
              <w:right w:val="single" w:sz="4" w:space="0" w:color="auto"/>
            </w:tcBorders>
            <w:shd w:val="clear" w:color="auto" w:fill="C6EFCE"/>
            <w:noWrap/>
          </w:tcPr>
          <w:p w14:paraId="2D169406" w14:textId="77777777" w:rsidR="00A8033B" w:rsidRPr="00DF56F8" w:rsidRDefault="00A8033B" w:rsidP="00A8033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244</w:t>
            </w:r>
          </w:p>
        </w:tc>
        <w:tc>
          <w:tcPr>
            <w:tcW w:w="3827" w:type="dxa"/>
            <w:tcBorders>
              <w:top w:val="nil"/>
              <w:left w:val="nil"/>
              <w:bottom w:val="single" w:sz="4" w:space="0" w:color="auto"/>
              <w:right w:val="single" w:sz="4" w:space="0" w:color="auto"/>
            </w:tcBorders>
            <w:shd w:val="clear" w:color="auto" w:fill="C6EFCE"/>
            <w:noWrap/>
          </w:tcPr>
          <w:p w14:paraId="56396F7D" w14:textId="77777777" w:rsidR="00A8033B" w:rsidRPr="009674F2" w:rsidRDefault="00A8033B" w:rsidP="00A8033B">
            <w:pPr>
              <w:spacing w:after="0"/>
              <w:jc w:val="both"/>
              <w:rPr>
                <w:rFonts w:ascii="Times New Roman" w:eastAsia="Times New Roman" w:hAnsi="Times New Roman" w:cs="Times New Roman"/>
                <w:noProof/>
                <w:color w:val="006100"/>
              </w:rPr>
            </w:pPr>
            <w:r>
              <w:rPr>
                <w:rFonts w:ascii="Times New Roman" w:hAnsi="Times New Roman"/>
                <w:noProof/>
                <w:color w:val="006100"/>
              </w:rPr>
              <w:t>К10.Р10: Възлагане на обществени поръчки</w:t>
            </w:r>
          </w:p>
        </w:tc>
        <w:tc>
          <w:tcPr>
            <w:tcW w:w="1560" w:type="dxa"/>
            <w:tcBorders>
              <w:top w:val="nil"/>
              <w:left w:val="nil"/>
              <w:bottom w:val="single" w:sz="4" w:space="0" w:color="auto"/>
              <w:right w:val="single" w:sz="4" w:space="0" w:color="auto"/>
            </w:tcBorders>
            <w:shd w:val="clear" w:color="auto" w:fill="C6EFCE"/>
            <w:noWrap/>
          </w:tcPr>
          <w:p w14:paraId="7476E8EC" w14:textId="77777777" w:rsidR="00A8033B" w:rsidRPr="00DF56F8" w:rsidRDefault="00A8033B" w:rsidP="00A8033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Ключов етап</w:t>
            </w:r>
          </w:p>
        </w:tc>
        <w:tc>
          <w:tcPr>
            <w:tcW w:w="3541" w:type="dxa"/>
            <w:tcBorders>
              <w:top w:val="nil"/>
              <w:left w:val="nil"/>
              <w:bottom w:val="single" w:sz="4" w:space="0" w:color="auto"/>
              <w:right w:val="single" w:sz="4" w:space="0" w:color="auto"/>
            </w:tcBorders>
            <w:shd w:val="clear" w:color="auto" w:fill="C6EFCE"/>
            <w:noWrap/>
          </w:tcPr>
          <w:p w14:paraId="10D28FC3" w14:textId="77777777" w:rsidR="00A8033B" w:rsidRPr="009674F2" w:rsidRDefault="00A8033B" w:rsidP="00A8033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Актуализирана методика за контрол и проверка на Агенцията за обществени поръчки</w:t>
            </w:r>
          </w:p>
        </w:tc>
      </w:tr>
      <w:tr w:rsidR="00A8033B" w:rsidRPr="005241FC" w14:paraId="6BE8F246" w14:textId="77777777" w:rsidTr="7B697459">
        <w:trPr>
          <w:trHeight w:val="302"/>
          <w:jc w:val="center"/>
        </w:trPr>
        <w:tc>
          <w:tcPr>
            <w:tcW w:w="1274" w:type="dxa"/>
            <w:tcBorders>
              <w:top w:val="nil"/>
              <w:left w:val="single" w:sz="4" w:space="0" w:color="auto"/>
              <w:bottom w:val="single" w:sz="4" w:space="0" w:color="auto"/>
              <w:right w:val="single" w:sz="4" w:space="0" w:color="auto"/>
            </w:tcBorders>
            <w:shd w:val="clear" w:color="auto" w:fill="C6EFCE"/>
            <w:noWrap/>
          </w:tcPr>
          <w:p w14:paraId="0C63768D" w14:textId="77777777" w:rsidR="00A8033B" w:rsidRPr="009674F2" w:rsidRDefault="00A8033B" w:rsidP="00A8033B">
            <w:pPr>
              <w:spacing w:after="0" w:line="240" w:lineRule="auto"/>
              <w:jc w:val="center"/>
              <w:rPr>
                <w:rFonts w:ascii="Times New Roman" w:hAnsi="Times New Roman" w:cs="Times New Roman"/>
                <w:noProof/>
                <w:color w:val="006100"/>
              </w:rPr>
            </w:pPr>
            <w:r>
              <w:rPr>
                <w:rFonts w:ascii="Times New Roman" w:hAnsi="Times New Roman"/>
                <w:noProof/>
                <w:color w:val="006100"/>
              </w:rPr>
              <w:t>324</w:t>
            </w:r>
          </w:p>
        </w:tc>
        <w:tc>
          <w:tcPr>
            <w:tcW w:w="3827" w:type="dxa"/>
            <w:tcBorders>
              <w:top w:val="nil"/>
              <w:left w:val="nil"/>
              <w:bottom w:val="single" w:sz="4" w:space="0" w:color="auto"/>
              <w:right w:val="single" w:sz="4" w:space="0" w:color="auto"/>
            </w:tcBorders>
            <w:shd w:val="clear" w:color="auto" w:fill="C6EFCE"/>
            <w:noWrap/>
          </w:tcPr>
          <w:p w14:paraId="5EC7A74F" w14:textId="77777777" w:rsidR="00A8033B" w:rsidRPr="009674F2" w:rsidRDefault="00A8033B" w:rsidP="00A8033B">
            <w:pPr>
              <w:spacing w:after="0"/>
              <w:rPr>
                <w:rFonts w:ascii="Times New Roman" w:hAnsi="Times New Roman" w:cs="Times New Roman"/>
                <w:noProof/>
                <w:color w:val="006100"/>
              </w:rPr>
            </w:pPr>
            <w:r>
              <w:rPr>
                <w:rFonts w:ascii="Times New Roman" w:hAnsi="Times New Roman"/>
                <w:noProof/>
                <w:color w:val="006100"/>
              </w:rPr>
              <w:t>C12R3 Повишаване на привлекателността на здравните професии и насърчаване на по-балансираното разпределение на здравните специалисти на територията на страната</w:t>
            </w:r>
          </w:p>
        </w:tc>
        <w:tc>
          <w:tcPr>
            <w:tcW w:w="1560" w:type="dxa"/>
            <w:tcBorders>
              <w:top w:val="nil"/>
              <w:left w:val="nil"/>
              <w:bottom w:val="single" w:sz="4" w:space="0" w:color="auto"/>
              <w:right w:val="single" w:sz="4" w:space="0" w:color="auto"/>
            </w:tcBorders>
            <w:shd w:val="clear" w:color="auto" w:fill="C6EFCE"/>
            <w:noWrap/>
          </w:tcPr>
          <w:p w14:paraId="2C6A625C" w14:textId="77777777" w:rsidR="00A8033B" w:rsidRPr="009674F2" w:rsidRDefault="00A8033B" w:rsidP="00A8033B">
            <w:pPr>
              <w:spacing w:after="0" w:line="240" w:lineRule="auto"/>
              <w:jc w:val="center"/>
              <w:rPr>
                <w:rFonts w:ascii="Times New Roman" w:hAnsi="Times New Roman" w:cs="Times New Roman"/>
                <w:noProof/>
                <w:color w:val="006100"/>
              </w:rPr>
            </w:pPr>
            <w:r>
              <w:rPr>
                <w:rFonts w:ascii="Times New Roman" w:hAnsi="Times New Roman"/>
                <w:noProof/>
                <w:color w:val="006100"/>
              </w:rPr>
              <w:t>Ключов етап</w:t>
            </w:r>
          </w:p>
        </w:tc>
        <w:tc>
          <w:tcPr>
            <w:tcW w:w="3541" w:type="dxa"/>
            <w:tcBorders>
              <w:top w:val="nil"/>
              <w:left w:val="nil"/>
              <w:bottom w:val="single" w:sz="4" w:space="0" w:color="auto"/>
              <w:right w:val="single" w:sz="4" w:space="0" w:color="auto"/>
            </w:tcBorders>
            <w:shd w:val="clear" w:color="auto" w:fill="C6EFCE"/>
            <w:noWrap/>
          </w:tcPr>
          <w:p w14:paraId="084C230A" w14:textId="77777777" w:rsidR="00A8033B" w:rsidRPr="009674F2" w:rsidRDefault="00A8033B" w:rsidP="00A8033B">
            <w:pPr>
              <w:spacing w:after="0" w:line="240" w:lineRule="auto"/>
              <w:rPr>
                <w:rFonts w:ascii="Times New Roman" w:hAnsi="Times New Roman" w:cs="Times New Roman"/>
                <w:noProof/>
                <w:color w:val="006100"/>
              </w:rPr>
            </w:pPr>
            <w:r>
              <w:rPr>
                <w:rFonts w:ascii="Times New Roman" w:hAnsi="Times New Roman"/>
                <w:noProof/>
                <w:color w:val="006100"/>
              </w:rPr>
              <w:t xml:space="preserve">Влизане в сила на измененията на законите и подзаконовите нормативни актове с цел справяне с недостига и насърчаване на по-балансирано разпределение на здравните специалисти на територията на страната </w:t>
            </w:r>
          </w:p>
        </w:tc>
      </w:tr>
      <w:tr w:rsidR="00A8033B" w:rsidRPr="005241FC" w14:paraId="61C80DEE" w14:textId="77777777" w:rsidTr="7B697459">
        <w:trPr>
          <w:trHeight w:val="302"/>
          <w:jc w:val="center"/>
        </w:trPr>
        <w:tc>
          <w:tcPr>
            <w:tcW w:w="1274" w:type="dxa"/>
            <w:tcBorders>
              <w:top w:val="nil"/>
              <w:left w:val="single" w:sz="4" w:space="0" w:color="auto"/>
              <w:bottom w:val="single" w:sz="4" w:space="0" w:color="auto"/>
              <w:right w:val="single" w:sz="4" w:space="0" w:color="auto"/>
            </w:tcBorders>
            <w:shd w:val="clear" w:color="auto" w:fill="C6EFCE"/>
            <w:noWrap/>
          </w:tcPr>
          <w:p w14:paraId="62A357BF" w14:textId="77777777" w:rsidR="00A8033B" w:rsidRPr="009674F2" w:rsidRDefault="00A8033B" w:rsidP="00A8033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334</w:t>
            </w:r>
          </w:p>
        </w:tc>
        <w:tc>
          <w:tcPr>
            <w:tcW w:w="3827" w:type="dxa"/>
            <w:tcBorders>
              <w:top w:val="nil"/>
              <w:left w:val="nil"/>
              <w:bottom w:val="single" w:sz="4" w:space="0" w:color="auto"/>
              <w:right w:val="single" w:sz="4" w:space="0" w:color="auto"/>
            </w:tcBorders>
            <w:shd w:val="clear" w:color="auto" w:fill="C6EFCE"/>
            <w:noWrap/>
          </w:tcPr>
          <w:p w14:paraId="2F6A1F04" w14:textId="77777777" w:rsidR="00A8033B" w:rsidRPr="009674F2" w:rsidRDefault="00A8033B" w:rsidP="00A8033B">
            <w:pPr>
              <w:spacing w:after="0"/>
              <w:jc w:val="both"/>
              <w:rPr>
                <w:rFonts w:ascii="Times New Roman" w:hAnsi="Times New Roman" w:cs="Times New Roman"/>
                <w:noProof/>
                <w:color w:val="006100"/>
              </w:rPr>
            </w:pPr>
            <w:r>
              <w:rPr>
                <w:rFonts w:ascii="Times New Roman" w:hAnsi="Times New Roman"/>
                <w:noProof/>
                <w:color w:val="006100"/>
              </w:rPr>
              <w:t>C12I3 Модернизация на психиатричната помощ</w:t>
            </w:r>
          </w:p>
        </w:tc>
        <w:tc>
          <w:tcPr>
            <w:tcW w:w="1560" w:type="dxa"/>
            <w:tcBorders>
              <w:top w:val="nil"/>
              <w:left w:val="nil"/>
              <w:bottom w:val="single" w:sz="4" w:space="0" w:color="auto"/>
              <w:right w:val="single" w:sz="4" w:space="0" w:color="auto"/>
            </w:tcBorders>
            <w:shd w:val="clear" w:color="auto" w:fill="C6EFCE"/>
            <w:noWrap/>
          </w:tcPr>
          <w:p w14:paraId="1534B41F" w14:textId="77777777" w:rsidR="00A8033B" w:rsidRPr="009674F2" w:rsidRDefault="00A8033B" w:rsidP="00A8033B">
            <w:pPr>
              <w:spacing w:after="0" w:line="240" w:lineRule="auto"/>
              <w:jc w:val="center"/>
              <w:rPr>
                <w:rFonts w:ascii="Times New Roman" w:hAnsi="Times New Roman" w:cs="Times New Roman"/>
                <w:noProof/>
                <w:color w:val="006100"/>
              </w:rPr>
            </w:pPr>
            <w:r>
              <w:rPr>
                <w:rFonts w:ascii="Times New Roman" w:hAnsi="Times New Roman"/>
                <w:noProof/>
                <w:color w:val="006100"/>
              </w:rPr>
              <w:t>Ключов етап</w:t>
            </w:r>
          </w:p>
        </w:tc>
        <w:tc>
          <w:tcPr>
            <w:tcW w:w="3541" w:type="dxa"/>
            <w:tcBorders>
              <w:top w:val="nil"/>
              <w:left w:val="nil"/>
              <w:bottom w:val="single" w:sz="4" w:space="0" w:color="auto"/>
              <w:right w:val="single" w:sz="4" w:space="0" w:color="auto"/>
            </w:tcBorders>
            <w:shd w:val="clear" w:color="auto" w:fill="C6EFCE"/>
            <w:noWrap/>
          </w:tcPr>
          <w:p w14:paraId="21EED0AC" w14:textId="77777777" w:rsidR="00A8033B" w:rsidRPr="009674F2" w:rsidRDefault="00A8033B" w:rsidP="00A8033B">
            <w:pPr>
              <w:spacing w:after="0" w:line="240" w:lineRule="auto"/>
              <w:jc w:val="both"/>
              <w:rPr>
                <w:rFonts w:ascii="Times New Roman" w:hAnsi="Times New Roman" w:cs="Times New Roman"/>
                <w:noProof/>
                <w:color w:val="006100"/>
              </w:rPr>
            </w:pPr>
            <w:r>
              <w:rPr>
                <w:rFonts w:ascii="Times New Roman" w:hAnsi="Times New Roman"/>
                <w:noProof/>
                <w:color w:val="006100"/>
              </w:rPr>
              <w:t>Сключване на договори за ремонтни работи и осигуряване и монтаж на оборудване и обзавеждане в лечебни заведения за психиатрична помощ</w:t>
            </w:r>
          </w:p>
        </w:tc>
      </w:tr>
      <w:tr w:rsidR="00A8033B" w:rsidRPr="005241FC" w14:paraId="033DAFCB" w14:textId="77777777" w:rsidTr="7B697459">
        <w:trPr>
          <w:trHeight w:val="302"/>
          <w:jc w:val="center"/>
        </w:trPr>
        <w:tc>
          <w:tcPr>
            <w:tcW w:w="1274" w:type="dxa"/>
            <w:tcBorders>
              <w:top w:val="nil"/>
              <w:left w:val="single" w:sz="4" w:space="0" w:color="auto"/>
              <w:bottom w:val="single" w:sz="4" w:space="0" w:color="auto"/>
              <w:right w:val="single" w:sz="4" w:space="0" w:color="auto"/>
            </w:tcBorders>
            <w:shd w:val="clear" w:color="auto" w:fill="C6EFCE"/>
            <w:noWrap/>
          </w:tcPr>
          <w:p w14:paraId="52CB4D2F" w14:textId="77777777" w:rsidR="00A8033B" w:rsidRPr="009674F2" w:rsidRDefault="00A8033B" w:rsidP="00A8033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307</w:t>
            </w:r>
          </w:p>
        </w:tc>
        <w:tc>
          <w:tcPr>
            <w:tcW w:w="3827" w:type="dxa"/>
            <w:tcBorders>
              <w:top w:val="nil"/>
              <w:left w:val="nil"/>
              <w:bottom w:val="single" w:sz="4" w:space="0" w:color="auto"/>
              <w:right w:val="single" w:sz="4" w:space="0" w:color="auto"/>
            </w:tcBorders>
            <w:shd w:val="clear" w:color="auto" w:fill="C6EFCE"/>
            <w:noWrap/>
          </w:tcPr>
          <w:p w14:paraId="5C5CE93A" w14:textId="77777777" w:rsidR="00A8033B" w:rsidRPr="009674F2" w:rsidRDefault="00A8033B" w:rsidP="00A8033B">
            <w:pPr>
              <w:spacing w:after="0"/>
              <w:jc w:val="both"/>
              <w:rPr>
                <w:rFonts w:ascii="Times New Roman" w:hAnsi="Times New Roman" w:cs="Times New Roman"/>
                <w:noProof/>
                <w:color w:val="006100"/>
              </w:rPr>
            </w:pPr>
            <w:r>
              <w:rPr>
                <w:rFonts w:ascii="Times New Roman" w:hAnsi="Times New Roman"/>
                <w:noProof/>
                <w:color w:val="006100"/>
              </w:rPr>
              <w:t>C11I6 Развитие на културния и творческия сектори</w:t>
            </w:r>
          </w:p>
        </w:tc>
        <w:tc>
          <w:tcPr>
            <w:tcW w:w="1560" w:type="dxa"/>
            <w:tcBorders>
              <w:top w:val="nil"/>
              <w:left w:val="nil"/>
              <w:bottom w:val="single" w:sz="4" w:space="0" w:color="auto"/>
              <w:right w:val="single" w:sz="4" w:space="0" w:color="auto"/>
            </w:tcBorders>
            <w:shd w:val="clear" w:color="auto" w:fill="C6EFCE"/>
            <w:noWrap/>
          </w:tcPr>
          <w:p w14:paraId="736C3826" w14:textId="77777777" w:rsidR="00A8033B" w:rsidRPr="009674F2" w:rsidRDefault="00A8033B" w:rsidP="00A8033B">
            <w:pPr>
              <w:spacing w:after="0" w:line="240" w:lineRule="auto"/>
              <w:jc w:val="center"/>
              <w:rPr>
                <w:rFonts w:ascii="Times New Roman" w:hAnsi="Times New Roman" w:cs="Times New Roman"/>
                <w:noProof/>
                <w:color w:val="006100"/>
              </w:rPr>
            </w:pPr>
            <w:r>
              <w:rPr>
                <w:rFonts w:ascii="Times New Roman" w:hAnsi="Times New Roman"/>
                <w:noProof/>
                <w:color w:val="006100"/>
              </w:rPr>
              <w:t>Ключов етап</w:t>
            </w:r>
          </w:p>
        </w:tc>
        <w:tc>
          <w:tcPr>
            <w:tcW w:w="3541" w:type="dxa"/>
            <w:tcBorders>
              <w:top w:val="nil"/>
              <w:left w:val="nil"/>
              <w:bottom w:val="single" w:sz="4" w:space="0" w:color="auto"/>
              <w:right w:val="single" w:sz="4" w:space="0" w:color="auto"/>
            </w:tcBorders>
            <w:shd w:val="clear" w:color="auto" w:fill="C6EFCE"/>
            <w:noWrap/>
          </w:tcPr>
          <w:p w14:paraId="19B30118" w14:textId="77777777" w:rsidR="00A8033B" w:rsidRPr="009674F2" w:rsidRDefault="00A8033B" w:rsidP="00A8033B">
            <w:pPr>
              <w:spacing w:after="0" w:line="240" w:lineRule="auto"/>
              <w:jc w:val="both"/>
              <w:rPr>
                <w:rFonts w:ascii="Times New Roman" w:hAnsi="Times New Roman" w:cs="Times New Roman"/>
                <w:noProof/>
                <w:color w:val="006100"/>
              </w:rPr>
            </w:pPr>
            <w:r>
              <w:rPr>
                <w:rFonts w:ascii="Times New Roman" w:hAnsi="Times New Roman"/>
                <w:noProof/>
                <w:color w:val="006100"/>
              </w:rPr>
              <w:t>Влизане в сила на измененията на законодателната рамка на Национален фонд „Култура“</w:t>
            </w:r>
          </w:p>
        </w:tc>
      </w:tr>
      <w:tr w:rsidR="00A8033B" w:rsidRPr="005241FC" w14:paraId="79464C7E" w14:textId="77777777" w:rsidTr="7B697459">
        <w:trPr>
          <w:trHeight w:val="302"/>
          <w:jc w:val="center"/>
        </w:trPr>
        <w:tc>
          <w:tcPr>
            <w:tcW w:w="1274" w:type="dxa"/>
            <w:tcBorders>
              <w:top w:val="nil"/>
              <w:left w:val="single" w:sz="4" w:space="0" w:color="auto"/>
              <w:bottom w:val="single" w:sz="4" w:space="0" w:color="auto"/>
              <w:right w:val="single" w:sz="4" w:space="0" w:color="auto"/>
            </w:tcBorders>
            <w:shd w:val="clear" w:color="auto" w:fill="C6EFCE"/>
            <w:noWrap/>
          </w:tcPr>
          <w:p w14:paraId="708DA974" w14:textId="77777777" w:rsidR="00A8033B" w:rsidRPr="009674F2" w:rsidRDefault="00A8033B" w:rsidP="00A8033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312</w:t>
            </w:r>
          </w:p>
        </w:tc>
        <w:tc>
          <w:tcPr>
            <w:tcW w:w="3827" w:type="dxa"/>
            <w:tcBorders>
              <w:top w:val="nil"/>
              <w:left w:val="nil"/>
              <w:bottom w:val="single" w:sz="4" w:space="0" w:color="auto"/>
              <w:right w:val="single" w:sz="4" w:space="0" w:color="auto"/>
            </w:tcBorders>
            <w:shd w:val="clear" w:color="auto" w:fill="C6EFCE"/>
            <w:noWrap/>
          </w:tcPr>
          <w:p w14:paraId="05AAB584" w14:textId="77777777" w:rsidR="00A8033B" w:rsidRPr="009674F2" w:rsidRDefault="00A8033B" w:rsidP="00A8033B">
            <w:pPr>
              <w:spacing w:after="0"/>
              <w:jc w:val="both"/>
              <w:rPr>
                <w:rFonts w:ascii="Times New Roman" w:hAnsi="Times New Roman" w:cs="Times New Roman"/>
                <w:noProof/>
                <w:color w:val="006100"/>
              </w:rPr>
            </w:pPr>
            <w:r>
              <w:rPr>
                <w:rFonts w:ascii="Times New Roman" w:hAnsi="Times New Roman"/>
                <w:noProof/>
                <w:color w:val="006100"/>
              </w:rPr>
              <w:t>C11I7 Цифровизация на музейни колекции, библиотеки и архиви</w:t>
            </w:r>
          </w:p>
        </w:tc>
        <w:tc>
          <w:tcPr>
            <w:tcW w:w="1560" w:type="dxa"/>
            <w:tcBorders>
              <w:top w:val="nil"/>
              <w:left w:val="nil"/>
              <w:bottom w:val="single" w:sz="4" w:space="0" w:color="auto"/>
              <w:right w:val="single" w:sz="4" w:space="0" w:color="auto"/>
            </w:tcBorders>
            <w:shd w:val="clear" w:color="auto" w:fill="C6EFCE"/>
            <w:noWrap/>
          </w:tcPr>
          <w:p w14:paraId="0102426D" w14:textId="77777777" w:rsidR="00A8033B" w:rsidRPr="009674F2" w:rsidRDefault="00A8033B" w:rsidP="00A8033B">
            <w:pPr>
              <w:spacing w:after="0" w:line="240" w:lineRule="auto"/>
              <w:jc w:val="center"/>
              <w:rPr>
                <w:rFonts w:ascii="Times New Roman" w:hAnsi="Times New Roman" w:cs="Times New Roman"/>
                <w:noProof/>
                <w:color w:val="006100"/>
              </w:rPr>
            </w:pPr>
            <w:r>
              <w:rPr>
                <w:rFonts w:ascii="Times New Roman" w:hAnsi="Times New Roman"/>
                <w:noProof/>
                <w:color w:val="006100"/>
              </w:rPr>
              <w:t>Ключов етап</w:t>
            </w:r>
          </w:p>
        </w:tc>
        <w:tc>
          <w:tcPr>
            <w:tcW w:w="3541" w:type="dxa"/>
            <w:tcBorders>
              <w:top w:val="nil"/>
              <w:left w:val="nil"/>
              <w:bottom w:val="single" w:sz="4" w:space="0" w:color="auto"/>
              <w:right w:val="single" w:sz="4" w:space="0" w:color="auto"/>
            </w:tcBorders>
            <w:shd w:val="clear" w:color="auto" w:fill="C6EFCE"/>
            <w:noWrap/>
          </w:tcPr>
          <w:p w14:paraId="4EBB0F49" w14:textId="77777777" w:rsidR="00A8033B" w:rsidRPr="009674F2" w:rsidRDefault="00A8033B" w:rsidP="00A8033B">
            <w:pPr>
              <w:spacing w:after="0" w:line="240" w:lineRule="auto"/>
              <w:jc w:val="both"/>
              <w:rPr>
                <w:rFonts w:ascii="Times New Roman" w:hAnsi="Times New Roman" w:cs="Times New Roman"/>
                <w:noProof/>
                <w:color w:val="006100"/>
              </w:rPr>
            </w:pPr>
            <w:r>
              <w:rPr>
                <w:rFonts w:ascii="Times New Roman" w:hAnsi="Times New Roman"/>
                <w:noProof/>
                <w:color w:val="006100"/>
              </w:rPr>
              <w:t>Установяване на единна методика и стандарти за цифровизацията на съдържанието</w:t>
            </w:r>
          </w:p>
        </w:tc>
      </w:tr>
      <w:tr w:rsidR="00A8033B" w:rsidRPr="005241FC" w14:paraId="63183CF0" w14:textId="77777777" w:rsidTr="7B697459">
        <w:trPr>
          <w:trHeight w:val="302"/>
          <w:jc w:val="center"/>
        </w:trPr>
        <w:tc>
          <w:tcPr>
            <w:tcW w:w="1274" w:type="dxa"/>
            <w:tcBorders>
              <w:top w:val="nil"/>
              <w:left w:val="single" w:sz="4" w:space="0" w:color="auto"/>
              <w:bottom w:val="single" w:sz="4" w:space="0" w:color="auto"/>
              <w:right w:val="single" w:sz="4" w:space="0" w:color="auto"/>
            </w:tcBorders>
            <w:shd w:val="clear" w:color="auto" w:fill="C6EFCE"/>
            <w:noWrap/>
          </w:tcPr>
          <w:p w14:paraId="18F17570" w14:textId="77777777" w:rsidR="00A8033B" w:rsidRPr="009674F2" w:rsidRDefault="00A8033B" w:rsidP="00A8033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24</w:t>
            </w:r>
          </w:p>
        </w:tc>
        <w:tc>
          <w:tcPr>
            <w:tcW w:w="3827" w:type="dxa"/>
            <w:tcBorders>
              <w:top w:val="nil"/>
              <w:left w:val="nil"/>
              <w:bottom w:val="single" w:sz="4" w:space="0" w:color="auto"/>
              <w:right w:val="single" w:sz="4" w:space="0" w:color="auto"/>
            </w:tcBorders>
            <w:shd w:val="clear" w:color="auto" w:fill="C6EFCE"/>
            <w:noWrap/>
            <w:vAlign w:val="center"/>
          </w:tcPr>
          <w:p w14:paraId="02330050" w14:textId="77777777" w:rsidR="00A8033B" w:rsidRPr="009674F2" w:rsidRDefault="00A8033B" w:rsidP="00A8033B">
            <w:pPr>
              <w:spacing w:after="0"/>
              <w:jc w:val="both"/>
              <w:rPr>
                <w:rFonts w:ascii="Times New Roman" w:eastAsia="Times New Roman" w:hAnsi="Times New Roman" w:cs="Times New Roman"/>
                <w:noProof/>
                <w:color w:val="006100"/>
                <w:highlight w:val="yellow"/>
              </w:rPr>
            </w:pPr>
            <w:r>
              <w:rPr>
                <w:rFonts w:ascii="Times New Roman" w:hAnsi="Times New Roman"/>
                <w:noProof/>
                <w:color w:val="006100"/>
              </w:rPr>
              <w:t xml:space="preserve">C2R1 Обща политика за развитие на научните изследвания и иновациите </w:t>
            </w:r>
          </w:p>
        </w:tc>
        <w:tc>
          <w:tcPr>
            <w:tcW w:w="1560" w:type="dxa"/>
            <w:tcBorders>
              <w:top w:val="nil"/>
              <w:left w:val="nil"/>
              <w:bottom w:val="single" w:sz="4" w:space="0" w:color="auto"/>
              <w:right w:val="single" w:sz="4" w:space="0" w:color="auto"/>
            </w:tcBorders>
            <w:shd w:val="clear" w:color="auto" w:fill="C6EFCE"/>
            <w:noWrap/>
            <w:vAlign w:val="center"/>
          </w:tcPr>
          <w:p w14:paraId="799FC07F" w14:textId="77777777" w:rsidR="00A8033B" w:rsidRPr="009674F2" w:rsidRDefault="00A8033B" w:rsidP="00A8033B">
            <w:pPr>
              <w:spacing w:after="0" w:line="240" w:lineRule="auto"/>
              <w:jc w:val="center"/>
              <w:rPr>
                <w:rFonts w:ascii="Times New Roman" w:hAnsi="Times New Roman" w:cs="Times New Roman"/>
                <w:noProof/>
                <w:color w:val="006100"/>
              </w:rPr>
            </w:pPr>
            <w:r>
              <w:rPr>
                <w:rFonts w:ascii="Times New Roman" w:hAnsi="Times New Roman"/>
                <w:noProof/>
                <w:color w:val="006100"/>
              </w:rPr>
              <w:t>Ключов етап</w:t>
            </w:r>
          </w:p>
        </w:tc>
        <w:tc>
          <w:tcPr>
            <w:tcW w:w="3541" w:type="dxa"/>
            <w:tcBorders>
              <w:top w:val="nil"/>
              <w:left w:val="nil"/>
              <w:bottom w:val="single" w:sz="4" w:space="0" w:color="auto"/>
              <w:right w:val="single" w:sz="4" w:space="0" w:color="auto"/>
            </w:tcBorders>
            <w:shd w:val="clear" w:color="auto" w:fill="C6EFCE"/>
            <w:noWrap/>
            <w:vAlign w:val="center"/>
          </w:tcPr>
          <w:p w14:paraId="00A8B444" w14:textId="77777777" w:rsidR="00A8033B" w:rsidRPr="009674F2" w:rsidRDefault="00A8033B" w:rsidP="00A8033B">
            <w:pPr>
              <w:spacing w:after="0" w:line="240" w:lineRule="auto"/>
              <w:jc w:val="both"/>
              <w:rPr>
                <w:rFonts w:ascii="Times New Roman" w:hAnsi="Times New Roman" w:cs="Times New Roman"/>
                <w:noProof/>
                <w:color w:val="006100"/>
              </w:rPr>
            </w:pPr>
            <w:r>
              <w:rPr>
                <w:rFonts w:ascii="Times New Roman" w:hAnsi="Times New Roman"/>
                <w:noProof/>
                <w:color w:val="006100"/>
              </w:rPr>
              <w:t>Влизане в сила на нов Закон за научните изследвания и иновациите и проучване на необходимите изменения на други законодателни актове</w:t>
            </w:r>
          </w:p>
        </w:tc>
      </w:tr>
      <w:tr w:rsidR="00A8033B" w:rsidRPr="005241FC" w14:paraId="13BB54C5" w14:textId="77777777" w:rsidTr="7B697459">
        <w:trPr>
          <w:trHeight w:val="302"/>
          <w:jc w:val="center"/>
        </w:trPr>
        <w:tc>
          <w:tcPr>
            <w:tcW w:w="1274" w:type="dxa"/>
            <w:tcBorders>
              <w:top w:val="nil"/>
              <w:left w:val="single" w:sz="4" w:space="0" w:color="auto"/>
              <w:bottom w:val="single" w:sz="4" w:space="0" w:color="auto"/>
              <w:right w:val="single" w:sz="4" w:space="0" w:color="auto"/>
            </w:tcBorders>
            <w:shd w:val="clear" w:color="auto" w:fill="C6EFCE"/>
            <w:noWrap/>
          </w:tcPr>
          <w:p w14:paraId="33E6B1C9" w14:textId="77777777" w:rsidR="00A8033B" w:rsidRPr="009674F2" w:rsidRDefault="00A8033B" w:rsidP="00A8033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27</w:t>
            </w:r>
          </w:p>
        </w:tc>
        <w:tc>
          <w:tcPr>
            <w:tcW w:w="3827" w:type="dxa"/>
            <w:tcBorders>
              <w:top w:val="nil"/>
              <w:left w:val="nil"/>
              <w:bottom w:val="single" w:sz="4" w:space="0" w:color="auto"/>
              <w:right w:val="single" w:sz="4" w:space="0" w:color="auto"/>
            </w:tcBorders>
            <w:shd w:val="clear" w:color="auto" w:fill="C6EFCE"/>
            <w:noWrap/>
          </w:tcPr>
          <w:p w14:paraId="343F2EDB" w14:textId="77777777" w:rsidR="00A8033B" w:rsidRPr="009674F2" w:rsidRDefault="00A8033B" w:rsidP="00A8033B">
            <w:pPr>
              <w:spacing w:after="0"/>
              <w:jc w:val="both"/>
              <w:rPr>
                <w:rFonts w:ascii="Times New Roman" w:hAnsi="Times New Roman" w:cs="Times New Roman"/>
                <w:noProof/>
                <w:color w:val="006100"/>
              </w:rPr>
            </w:pPr>
            <w:r>
              <w:rPr>
                <w:rFonts w:ascii="Times New Roman" w:hAnsi="Times New Roman"/>
                <w:noProof/>
                <w:color w:val="006100"/>
              </w:rPr>
              <w:t>C2I1 Програма за ускоряване на икономическото възстановяване и трансформация чрез научни изследвания и иновации</w:t>
            </w:r>
          </w:p>
        </w:tc>
        <w:tc>
          <w:tcPr>
            <w:tcW w:w="1560" w:type="dxa"/>
            <w:tcBorders>
              <w:top w:val="nil"/>
              <w:left w:val="nil"/>
              <w:bottom w:val="single" w:sz="4" w:space="0" w:color="auto"/>
              <w:right w:val="single" w:sz="4" w:space="0" w:color="auto"/>
            </w:tcBorders>
            <w:shd w:val="clear" w:color="auto" w:fill="C6EFCE"/>
            <w:noWrap/>
          </w:tcPr>
          <w:p w14:paraId="76F5624B" w14:textId="77777777" w:rsidR="00A8033B" w:rsidRPr="009674F2" w:rsidRDefault="00A8033B" w:rsidP="00A8033B">
            <w:pPr>
              <w:spacing w:after="0" w:line="240" w:lineRule="auto"/>
              <w:jc w:val="center"/>
              <w:rPr>
                <w:rFonts w:ascii="Times New Roman" w:hAnsi="Times New Roman" w:cs="Times New Roman"/>
                <w:noProof/>
                <w:color w:val="006100"/>
              </w:rPr>
            </w:pPr>
            <w:r>
              <w:rPr>
                <w:rFonts w:ascii="Times New Roman" w:hAnsi="Times New Roman"/>
                <w:noProof/>
                <w:color w:val="006100"/>
              </w:rPr>
              <w:t>Ключов етап</w:t>
            </w:r>
          </w:p>
          <w:p w14:paraId="3EC8D62D" w14:textId="77777777" w:rsidR="00A8033B" w:rsidRPr="009674F2" w:rsidRDefault="00A8033B" w:rsidP="00A8033B">
            <w:pPr>
              <w:spacing w:after="0" w:line="240" w:lineRule="auto"/>
              <w:jc w:val="center"/>
              <w:rPr>
                <w:rFonts w:ascii="Times New Roman" w:hAnsi="Times New Roman" w:cs="Times New Roman"/>
                <w:noProof/>
                <w:color w:val="006100"/>
                <w:lang w:val="en-US"/>
              </w:rPr>
            </w:pPr>
          </w:p>
        </w:tc>
        <w:tc>
          <w:tcPr>
            <w:tcW w:w="3541" w:type="dxa"/>
            <w:tcBorders>
              <w:top w:val="nil"/>
              <w:left w:val="nil"/>
              <w:bottom w:val="single" w:sz="4" w:space="0" w:color="auto"/>
              <w:right w:val="single" w:sz="4" w:space="0" w:color="auto"/>
            </w:tcBorders>
            <w:shd w:val="clear" w:color="auto" w:fill="C6EFCE"/>
            <w:noWrap/>
          </w:tcPr>
          <w:p w14:paraId="39CD4ACC" w14:textId="77777777" w:rsidR="00A8033B" w:rsidRPr="009674F2" w:rsidRDefault="00A8033B" w:rsidP="00A8033B">
            <w:pPr>
              <w:spacing w:after="0" w:line="240" w:lineRule="auto"/>
              <w:rPr>
                <w:rFonts w:ascii="Times New Roman" w:hAnsi="Times New Roman" w:cs="Times New Roman"/>
                <w:noProof/>
                <w:color w:val="006100"/>
              </w:rPr>
            </w:pPr>
            <w:r>
              <w:rPr>
                <w:rFonts w:ascii="Times New Roman" w:hAnsi="Times New Roman"/>
                <w:noProof/>
                <w:color w:val="006100"/>
              </w:rPr>
              <w:t>Уведомления на подбраните проекти на иновативни МСП и висши учебни заведения и научноизследователски организации</w:t>
            </w:r>
          </w:p>
        </w:tc>
      </w:tr>
      <w:tr w:rsidR="00A8033B" w:rsidRPr="005241FC" w14:paraId="19855B75" w14:textId="77777777" w:rsidTr="7B697459">
        <w:trPr>
          <w:trHeight w:val="302"/>
          <w:jc w:val="center"/>
        </w:trPr>
        <w:tc>
          <w:tcPr>
            <w:tcW w:w="1274" w:type="dxa"/>
            <w:tcBorders>
              <w:top w:val="nil"/>
              <w:left w:val="single" w:sz="4" w:space="0" w:color="auto"/>
              <w:bottom w:val="single" w:sz="4" w:space="0" w:color="auto"/>
              <w:right w:val="single" w:sz="4" w:space="0" w:color="auto"/>
            </w:tcBorders>
            <w:shd w:val="clear" w:color="auto" w:fill="C6EFCE"/>
            <w:noWrap/>
          </w:tcPr>
          <w:p w14:paraId="14AFC92F" w14:textId="77777777" w:rsidR="00A8033B" w:rsidRPr="009674F2" w:rsidRDefault="00A8033B" w:rsidP="00A8033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31</w:t>
            </w:r>
          </w:p>
        </w:tc>
        <w:tc>
          <w:tcPr>
            <w:tcW w:w="3827" w:type="dxa"/>
            <w:tcBorders>
              <w:top w:val="nil"/>
              <w:left w:val="nil"/>
              <w:bottom w:val="single" w:sz="4" w:space="0" w:color="auto"/>
              <w:right w:val="single" w:sz="4" w:space="0" w:color="auto"/>
            </w:tcBorders>
            <w:shd w:val="clear" w:color="auto" w:fill="C6EFCE"/>
            <w:noWrap/>
            <w:vAlign w:val="center"/>
          </w:tcPr>
          <w:p w14:paraId="36C5CBB8" w14:textId="77777777" w:rsidR="00A8033B" w:rsidRPr="009674F2" w:rsidRDefault="00A8033B" w:rsidP="00A8033B">
            <w:pPr>
              <w:spacing w:after="0"/>
              <w:jc w:val="both"/>
              <w:rPr>
                <w:rFonts w:ascii="Times New Roman" w:hAnsi="Times New Roman" w:cs="Times New Roman"/>
                <w:noProof/>
                <w:color w:val="006100"/>
              </w:rPr>
            </w:pPr>
            <w:r>
              <w:rPr>
                <w:rFonts w:ascii="Times New Roman" w:hAnsi="Times New Roman"/>
                <w:noProof/>
                <w:color w:val="006100"/>
              </w:rPr>
              <w:t>C2I2 Повишаване на иновационния капацитет на Българската академия на науките</w:t>
            </w:r>
          </w:p>
        </w:tc>
        <w:tc>
          <w:tcPr>
            <w:tcW w:w="1560" w:type="dxa"/>
            <w:tcBorders>
              <w:top w:val="nil"/>
              <w:left w:val="nil"/>
              <w:bottom w:val="single" w:sz="4" w:space="0" w:color="auto"/>
              <w:right w:val="single" w:sz="4" w:space="0" w:color="auto"/>
            </w:tcBorders>
            <w:shd w:val="clear" w:color="auto" w:fill="C6EFCE"/>
            <w:noWrap/>
            <w:vAlign w:val="center"/>
          </w:tcPr>
          <w:p w14:paraId="5D251BCC" w14:textId="77777777" w:rsidR="00A8033B" w:rsidRPr="009674F2" w:rsidRDefault="00A8033B" w:rsidP="00A8033B">
            <w:pPr>
              <w:spacing w:after="0" w:line="240" w:lineRule="auto"/>
              <w:jc w:val="center"/>
              <w:rPr>
                <w:rFonts w:ascii="Times New Roman" w:hAnsi="Times New Roman" w:cs="Times New Roman"/>
                <w:noProof/>
                <w:color w:val="006100"/>
              </w:rPr>
            </w:pPr>
            <w:r>
              <w:rPr>
                <w:rFonts w:ascii="Times New Roman" w:hAnsi="Times New Roman"/>
                <w:noProof/>
                <w:color w:val="006100"/>
              </w:rPr>
              <w:t>Ключов етап</w:t>
            </w:r>
          </w:p>
        </w:tc>
        <w:tc>
          <w:tcPr>
            <w:tcW w:w="3541" w:type="dxa"/>
            <w:tcBorders>
              <w:top w:val="nil"/>
              <w:left w:val="nil"/>
              <w:bottom w:val="single" w:sz="4" w:space="0" w:color="auto"/>
              <w:right w:val="single" w:sz="4" w:space="0" w:color="auto"/>
            </w:tcBorders>
            <w:shd w:val="clear" w:color="auto" w:fill="C6EFCE"/>
            <w:noWrap/>
            <w:vAlign w:val="center"/>
          </w:tcPr>
          <w:p w14:paraId="73A845A9" w14:textId="77777777" w:rsidR="00A8033B" w:rsidRPr="009674F2" w:rsidRDefault="00A8033B" w:rsidP="00A8033B">
            <w:pPr>
              <w:spacing w:after="0" w:line="240" w:lineRule="auto"/>
              <w:rPr>
                <w:rFonts w:ascii="Times New Roman" w:hAnsi="Times New Roman" w:cs="Times New Roman"/>
                <w:noProof/>
                <w:color w:val="006100"/>
              </w:rPr>
            </w:pPr>
            <w:r>
              <w:rPr>
                <w:rFonts w:ascii="Times New Roman" w:hAnsi="Times New Roman"/>
                <w:noProof/>
                <w:color w:val="006100"/>
              </w:rPr>
              <w:t>Модернизиран съвместен изследователски център в Българската академия на науките</w:t>
            </w:r>
          </w:p>
        </w:tc>
      </w:tr>
      <w:tr w:rsidR="00A8033B" w:rsidRPr="00F41C75" w14:paraId="329D6795" w14:textId="77777777" w:rsidTr="7B697459">
        <w:trPr>
          <w:trHeight w:val="302"/>
          <w:jc w:val="center"/>
        </w:trPr>
        <w:tc>
          <w:tcPr>
            <w:tcW w:w="1274" w:type="dxa"/>
            <w:tcBorders>
              <w:top w:val="nil"/>
              <w:left w:val="single" w:sz="4" w:space="0" w:color="auto"/>
              <w:bottom w:val="single" w:sz="4" w:space="0" w:color="auto"/>
              <w:right w:val="single" w:sz="4" w:space="0" w:color="auto"/>
            </w:tcBorders>
            <w:shd w:val="clear" w:color="auto" w:fill="C6EFCE"/>
            <w:noWrap/>
          </w:tcPr>
          <w:p w14:paraId="2C12631C" w14:textId="77777777" w:rsidR="00A8033B" w:rsidRPr="009674F2" w:rsidRDefault="00A8033B" w:rsidP="00A8033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32</w:t>
            </w:r>
          </w:p>
        </w:tc>
        <w:tc>
          <w:tcPr>
            <w:tcW w:w="3827" w:type="dxa"/>
            <w:tcBorders>
              <w:top w:val="nil"/>
              <w:left w:val="nil"/>
              <w:bottom w:val="single" w:sz="4" w:space="0" w:color="auto"/>
              <w:right w:val="single" w:sz="4" w:space="0" w:color="auto"/>
            </w:tcBorders>
            <w:shd w:val="clear" w:color="auto" w:fill="C6EFCE"/>
            <w:noWrap/>
            <w:vAlign w:val="center"/>
          </w:tcPr>
          <w:p w14:paraId="5870E736" w14:textId="77777777" w:rsidR="00A8033B" w:rsidRPr="009674F2" w:rsidRDefault="00A8033B" w:rsidP="00A8033B">
            <w:pPr>
              <w:spacing w:after="0"/>
              <w:jc w:val="both"/>
              <w:rPr>
                <w:rFonts w:ascii="Times New Roman" w:hAnsi="Times New Roman" w:cs="Times New Roman"/>
                <w:noProof/>
                <w:color w:val="006100"/>
              </w:rPr>
            </w:pPr>
            <w:r>
              <w:rPr>
                <w:rFonts w:ascii="Times New Roman" w:hAnsi="Times New Roman"/>
                <w:noProof/>
                <w:color w:val="006100"/>
              </w:rPr>
              <w:t>C2I2 Повишаване на иновационния капацитет на Българската академия на науките</w:t>
            </w:r>
          </w:p>
        </w:tc>
        <w:tc>
          <w:tcPr>
            <w:tcW w:w="1560" w:type="dxa"/>
            <w:tcBorders>
              <w:top w:val="nil"/>
              <w:left w:val="nil"/>
              <w:bottom w:val="single" w:sz="4" w:space="0" w:color="auto"/>
              <w:right w:val="single" w:sz="4" w:space="0" w:color="auto"/>
            </w:tcBorders>
            <w:shd w:val="clear" w:color="auto" w:fill="C6EFCE"/>
            <w:noWrap/>
            <w:vAlign w:val="center"/>
          </w:tcPr>
          <w:p w14:paraId="7E62EBBD" w14:textId="77777777" w:rsidR="00A8033B" w:rsidRPr="009674F2" w:rsidRDefault="00A8033B" w:rsidP="00A8033B">
            <w:pPr>
              <w:spacing w:after="0" w:line="240" w:lineRule="auto"/>
              <w:jc w:val="center"/>
              <w:rPr>
                <w:rFonts w:ascii="Times New Roman" w:hAnsi="Times New Roman" w:cs="Times New Roman"/>
                <w:noProof/>
                <w:color w:val="006100"/>
              </w:rPr>
            </w:pPr>
            <w:r>
              <w:rPr>
                <w:rFonts w:ascii="Times New Roman" w:hAnsi="Times New Roman"/>
                <w:noProof/>
                <w:color w:val="006100"/>
              </w:rPr>
              <w:t>Ключов етап</w:t>
            </w:r>
          </w:p>
        </w:tc>
        <w:tc>
          <w:tcPr>
            <w:tcW w:w="3541" w:type="dxa"/>
            <w:tcBorders>
              <w:top w:val="nil"/>
              <w:left w:val="nil"/>
              <w:bottom w:val="single" w:sz="4" w:space="0" w:color="auto"/>
              <w:right w:val="single" w:sz="4" w:space="0" w:color="auto"/>
            </w:tcBorders>
            <w:shd w:val="clear" w:color="auto" w:fill="C6EFCE"/>
            <w:noWrap/>
            <w:vAlign w:val="center"/>
          </w:tcPr>
          <w:p w14:paraId="33FAABCB" w14:textId="77777777" w:rsidR="00A8033B" w:rsidRPr="009674F2" w:rsidRDefault="00A8033B" w:rsidP="00A8033B">
            <w:pPr>
              <w:spacing w:after="0" w:line="240" w:lineRule="auto"/>
              <w:rPr>
                <w:rFonts w:ascii="Times New Roman" w:hAnsi="Times New Roman" w:cs="Times New Roman"/>
                <w:noProof/>
                <w:color w:val="006100"/>
              </w:rPr>
            </w:pPr>
            <w:r>
              <w:rPr>
                <w:rFonts w:ascii="Times New Roman" w:hAnsi="Times New Roman"/>
                <w:noProof/>
                <w:color w:val="006100"/>
              </w:rPr>
              <w:t xml:space="preserve">Разгръщане на инфраструктура за квантови комуникации </w:t>
            </w:r>
          </w:p>
        </w:tc>
      </w:tr>
      <w:tr w:rsidR="00A8033B" w:rsidRPr="005241FC" w14:paraId="12DEB022" w14:textId="77777777" w:rsidTr="7B697459">
        <w:trPr>
          <w:trHeight w:val="302"/>
          <w:jc w:val="center"/>
        </w:trPr>
        <w:tc>
          <w:tcPr>
            <w:tcW w:w="1274" w:type="dxa"/>
            <w:tcBorders>
              <w:top w:val="nil"/>
              <w:left w:val="single" w:sz="4" w:space="0" w:color="auto"/>
              <w:bottom w:val="single" w:sz="4" w:space="0" w:color="auto"/>
              <w:right w:val="single" w:sz="4" w:space="0" w:color="auto"/>
            </w:tcBorders>
            <w:shd w:val="clear" w:color="auto" w:fill="C6EFCE"/>
            <w:noWrap/>
          </w:tcPr>
          <w:p w14:paraId="5B9B9AFD" w14:textId="77777777" w:rsidR="00A8033B" w:rsidRPr="009674F2" w:rsidRDefault="00A8033B" w:rsidP="00A8033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36</w:t>
            </w:r>
          </w:p>
        </w:tc>
        <w:tc>
          <w:tcPr>
            <w:tcW w:w="3827" w:type="dxa"/>
            <w:tcBorders>
              <w:top w:val="nil"/>
              <w:left w:val="nil"/>
              <w:bottom w:val="single" w:sz="4" w:space="0" w:color="auto"/>
              <w:right w:val="single" w:sz="4" w:space="0" w:color="auto"/>
            </w:tcBorders>
            <w:shd w:val="clear" w:color="auto" w:fill="C6EFCE"/>
            <w:noWrap/>
            <w:vAlign w:val="center"/>
          </w:tcPr>
          <w:p w14:paraId="7B95D045" w14:textId="77777777" w:rsidR="00A8033B" w:rsidRPr="009674F2" w:rsidRDefault="00A8033B" w:rsidP="00A8033B">
            <w:pPr>
              <w:spacing w:after="0"/>
              <w:jc w:val="both"/>
              <w:rPr>
                <w:rFonts w:ascii="Times New Roman" w:hAnsi="Times New Roman" w:cs="Times New Roman"/>
                <w:noProof/>
                <w:color w:val="006100"/>
              </w:rPr>
            </w:pPr>
            <w:r>
              <w:rPr>
                <w:rFonts w:ascii="Times New Roman" w:hAnsi="Times New Roman"/>
                <w:noProof/>
                <w:color w:val="006100"/>
              </w:rPr>
              <w:t>C3I1 AttractInvestBG</w:t>
            </w:r>
          </w:p>
        </w:tc>
        <w:tc>
          <w:tcPr>
            <w:tcW w:w="1560" w:type="dxa"/>
            <w:tcBorders>
              <w:top w:val="nil"/>
              <w:left w:val="nil"/>
              <w:bottom w:val="single" w:sz="4" w:space="0" w:color="auto"/>
              <w:right w:val="single" w:sz="4" w:space="0" w:color="auto"/>
            </w:tcBorders>
            <w:shd w:val="clear" w:color="auto" w:fill="C6EFCE"/>
            <w:noWrap/>
            <w:vAlign w:val="center"/>
          </w:tcPr>
          <w:p w14:paraId="3D63EAA4" w14:textId="77777777" w:rsidR="00A8033B" w:rsidRPr="009674F2" w:rsidRDefault="00A8033B" w:rsidP="00A8033B">
            <w:pPr>
              <w:spacing w:after="0" w:line="240" w:lineRule="auto"/>
              <w:jc w:val="center"/>
              <w:rPr>
                <w:rFonts w:ascii="Times New Roman" w:hAnsi="Times New Roman" w:cs="Times New Roman"/>
                <w:noProof/>
                <w:color w:val="006100"/>
              </w:rPr>
            </w:pPr>
            <w:r>
              <w:rPr>
                <w:rFonts w:ascii="Times New Roman" w:hAnsi="Times New Roman"/>
                <w:noProof/>
                <w:color w:val="006100"/>
              </w:rPr>
              <w:t>Цел</w:t>
            </w:r>
          </w:p>
        </w:tc>
        <w:tc>
          <w:tcPr>
            <w:tcW w:w="3541" w:type="dxa"/>
            <w:tcBorders>
              <w:top w:val="nil"/>
              <w:left w:val="nil"/>
              <w:bottom w:val="single" w:sz="4" w:space="0" w:color="auto"/>
              <w:right w:val="single" w:sz="4" w:space="0" w:color="auto"/>
            </w:tcBorders>
            <w:shd w:val="clear" w:color="auto" w:fill="C6EFCE"/>
            <w:noWrap/>
            <w:vAlign w:val="center"/>
          </w:tcPr>
          <w:p w14:paraId="3D2D6DEB" w14:textId="77777777" w:rsidR="00A8033B" w:rsidRPr="009674F2" w:rsidRDefault="00A8033B" w:rsidP="00A8033B">
            <w:pPr>
              <w:spacing w:after="0" w:line="240" w:lineRule="auto"/>
              <w:jc w:val="both"/>
              <w:rPr>
                <w:rFonts w:ascii="Times New Roman" w:hAnsi="Times New Roman" w:cs="Times New Roman"/>
                <w:noProof/>
                <w:color w:val="006100"/>
              </w:rPr>
            </w:pPr>
            <w:r>
              <w:rPr>
                <w:rFonts w:ascii="Times New Roman" w:hAnsi="Times New Roman"/>
                <w:noProof/>
                <w:color w:val="006100"/>
              </w:rPr>
              <w:t>Предоставяне на безвъзмездни средства за развитието на индустриални паркове/зони и сключване на договори</w:t>
            </w:r>
          </w:p>
        </w:tc>
      </w:tr>
      <w:tr w:rsidR="00A8033B" w:rsidRPr="005241FC" w14:paraId="18C1D69C" w14:textId="77777777" w:rsidTr="7B697459">
        <w:trPr>
          <w:trHeight w:val="302"/>
          <w:jc w:val="center"/>
        </w:trPr>
        <w:tc>
          <w:tcPr>
            <w:tcW w:w="1274" w:type="dxa"/>
            <w:tcBorders>
              <w:top w:val="nil"/>
              <w:left w:val="single" w:sz="4" w:space="0" w:color="auto"/>
              <w:bottom w:val="single" w:sz="4" w:space="0" w:color="auto"/>
              <w:right w:val="single" w:sz="4" w:space="0" w:color="auto"/>
            </w:tcBorders>
            <w:shd w:val="clear" w:color="auto" w:fill="C6EFCE"/>
            <w:noWrap/>
          </w:tcPr>
          <w:p w14:paraId="0417C114" w14:textId="77777777" w:rsidR="00A8033B" w:rsidRPr="009674F2" w:rsidRDefault="00A8033B" w:rsidP="00A8033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64</w:t>
            </w:r>
          </w:p>
        </w:tc>
        <w:tc>
          <w:tcPr>
            <w:tcW w:w="3827" w:type="dxa"/>
            <w:tcBorders>
              <w:top w:val="nil"/>
              <w:left w:val="nil"/>
              <w:bottom w:val="single" w:sz="4" w:space="0" w:color="auto"/>
              <w:right w:val="single" w:sz="4" w:space="0" w:color="auto"/>
            </w:tcBorders>
            <w:shd w:val="clear" w:color="auto" w:fill="C6EFCE"/>
            <w:noWrap/>
          </w:tcPr>
          <w:p w14:paraId="1E56BCA3" w14:textId="77777777" w:rsidR="00A8033B" w:rsidRPr="009674F2" w:rsidRDefault="00A8033B" w:rsidP="00A8033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C4R1 Създаване на Национален фонд за декарбонизация</w:t>
            </w:r>
          </w:p>
        </w:tc>
        <w:tc>
          <w:tcPr>
            <w:tcW w:w="1560" w:type="dxa"/>
            <w:tcBorders>
              <w:top w:val="nil"/>
              <w:left w:val="nil"/>
              <w:bottom w:val="single" w:sz="4" w:space="0" w:color="auto"/>
              <w:right w:val="single" w:sz="4" w:space="0" w:color="auto"/>
            </w:tcBorders>
            <w:shd w:val="clear" w:color="auto" w:fill="C6EFCE"/>
            <w:noWrap/>
          </w:tcPr>
          <w:p w14:paraId="008F7EAD" w14:textId="77777777" w:rsidR="00A8033B" w:rsidRPr="009674F2" w:rsidRDefault="00A8033B" w:rsidP="00A8033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Ключов етап</w:t>
            </w:r>
          </w:p>
        </w:tc>
        <w:tc>
          <w:tcPr>
            <w:tcW w:w="3541" w:type="dxa"/>
            <w:tcBorders>
              <w:top w:val="nil"/>
              <w:left w:val="nil"/>
              <w:bottom w:val="single" w:sz="4" w:space="0" w:color="auto"/>
              <w:right w:val="single" w:sz="4" w:space="0" w:color="auto"/>
            </w:tcBorders>
            <w:shd w:val="clear" w:color="auto" w:fill="C6EFCE"/>
            <w:noWrap/>
          </w:tcPr>
          <w:p w14:paraId="1BFB74F0" w14:textId="77777777" w:rsidR="00A8033B" w:rsidRPr="009674F2" w:rsidRDefault="00A8033B" w:rsidP="00A8033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 xml:space="preserve">Влизане в сила на Закона за създаване на Национален фонд за декарбонизация и неговите подфондове и съответното вторично законодателство. </w:t>
            </w:r>
          </w:p>
        </w:tc>
      </w:tr>
      <w:tr w:rsidR="00A8033B" w:rsidRPr="005241FC" w14:paraId="69052C8E" w14:textId="77777777" w:rsidTr="7B697459">
        <w:trPr>
          <w:trHeight w:val="302"/>
          <w:jc w:val="center"/>
        </w:trPr>
        <w:tc>
          <w:tcPr>
            <w:tcW w:w="1274" w:type="dxa"/>
            <w:tcBorders>
              <w:top w:val="nil"/>
              <w:left w:val="single" w:sz="4" w:space="0" w:color="auto"/>
              <w:bottom w:val="single" w:sz="4" w:space="0" w:color="auto"/>
              <w:right w:val="single" w:sz="4" w:space="0" w:color="auto"/>
            </w:tcBorders>
            <w:shd w:val="clear" w:color="auto" w:fill="C6EFCE"/>
            <w:noWrap/>
          </w:tcPr>
          <w:p w14:paraId="5F52DF39" w14:textId="77777777" w:rsidR="00A8033B" w:rsidRPr="009674F2" w:rsidRDefault="00A8033B" w:rsidP="00A8033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90</w:t>
            </w:r>
          </w:p>
        </w:tc>
        <w:tc>
          <w:tcPr>
            <w:tcW w:w="3827" w:type="dxa"/>
            <w:tcBorders>
              <w:top w:val="nil"/>
              <w:left w:val="nil"/>
              <w:bottom w:val="single" w:sz="4" w:space="0" w:color="auto"/>
              <w:right w:val="single" w:sz="4" w:space="0" w:color="auto"/>
            </w:tcBorders>
            <w:shd w:val="clear" w:color="auto" w:fill="C6EFCE"/>
            <w:noWrap/>
          </w:tcPr>
          <w:p w14:paraId="094A66EA" w14:textId="77777777" w:rsidR="00A8033B" w:rsidRPr="009674F2" w:rsidRDefault="00A8033B" w:rsidP="00A8033B">
            <w:pPr>
              <w:spacing w:after="0" w:line="240" w:lineRule="auto"/>
              <w:jc w:val="both"/>
              <w:rPr>
                <w:rFonts w:ascii="Times New Roman" w:hAnsi="Times New Roman" w:cs="Times New Roman"/>
                <w:noProof/>
                <w:color w:val="006100"/>
              </w:rPr>
            </w:pPr>
            <w:r>
              <w:rPr>
                <w:rFonts w:ascii="Times New Roman" w:hAnsi="Times New Roman"/>
                <w:noProof/>
                <w:color w:val="006100"/>
              </w:rPr>
              <w:t xml:space="preserve">C4R7 Разгръщане на потенциала на водородните технологии и производството и доставките на водород </w:t>
            </w:r>
          </w:p>
        </w:tc>
        <w:tc>
          <w:tcPr>
            <w:tcW w:w="1560" w:type="dxa"/>
            <w:tcBorders>
              <w:top w:val="nil"/>
              <w:left w:val="nil"/>
              <w:bottom w:val="single" w:sz="4" w:space="0" w:color="auto"/>
              <w:right w:val="single" w:sz="4" w:space="0" w:color="auto"/>
            </w:tcBorders>
            <w:shd w:val="clear" w:color="auto" w:fill="C6EFCE"/>
            <w:noWrap/>
          </w:tcPr>
          <w:p w14:paraId="065AC8AC" w14:textId="77777777" w:rsidR="00A8033B" w:rsidRPr="009674F2" w:rsidRDefault="00A8033B" w:rsidP="00A8033B">
            <w:pPr>
              <w:spacing w:after="0" w:line="240" w:lineRule="auto"/>
              <w:jc w:val="center"/>
              <w:rPr>
                <w:rFonts w:ascii="Times New Roman" w:hAnsi="Times New Roman" w:cs="Times New Roman"/>
                <w:noProof/>
                <w:color w:val="006100"/>
              </w:rPr>
            </w:pPr>
            <w:r>
              <w:rPr>
                <w:rFonts w:ascii="Times New Roman" w:hAnsi="Times New Roman"/>
                <w:noProof/>
                <w:color w:val="006100"/>
              </w:rPr>
              <w:t>Ключов етап</w:t>
            </w:r>
          </w:p>
        </w:tc>
        <w:tc>
          <w:tcPr>
            <w:tcW w:w="3541" w:type="dxa"/>
            <w:tcBorders>
              <w:top w:val="nil"/>
              <w:left w:val="nil"/>
              <w:bottom w:val="single" w:sz="4" w:space="0" w:color="auto"/>
              <w:right w:val="single" w:sz="4" w:space="0" w:color="auto"/>
            </w:tcBorders>
            <w:shd w:val="clear" w:color="auto" w:fill="C6EFCE"/>
            <w:noWrap/>
          </w:tcPr>
          <w:p w14:paraId="63D121A9" w14:textId="77777777" w:rsidR="00A8033B" w:rsidRPr="009674F2" w:rsidRDefault="00A8033B" w:rsidP="00A8033B">
            <w:pPr>
              <w:spacing w:after="0" w:line="240" w:lineRule="auto"/>
              <w:jc w:val="both"/>
              <w:rPr>
                <w:rFonts w:ascii="Times New Roman" w:hAnsi="Times New Roman" w:cs="Times New Roman"/>
                <w:noProof/>
                <w:color w:val="006100"/>
              </w:rPr>
            </w:pPr>
            <w:r>
              <w:rPr>
                <w:rFonts w:ascii="Times New Roman" w:hAnsi="Times New Roman"/>
                <w:noProof/>
                <w:color w:val="006100"/>
              </w:rPr>
              <w:t>Влизане в сила на измененията на законодателната рамка за изпълнение на националната пътна карта</w:t>
            </w:r>
          </w:p>
        </w:tc>
      </w:tr>
      <w:tr w:rsidR="00A8033B" w:rsidRPr="005241FC" w14:paraId="1E7CDE74" w14:textId="77777777" w:rsidTr="7B697459">
        <w:trPr>
          <w:trHeight w:val="302"/>
          <w:jc w:val="center"/>
        </w:trPr>
        <w:tc>
          <w:tcPr>
            <w:tcW w:w="1274" w:type="dxa"/>
            <w:tcBorders>
              <w:top w:val="nil"/>
              <w:left w:val="single" w:sz="4" w:space="0" w:color="auto"/>
              <w:bottom w:val="single" w:sz="4" w:space="0" w:color="auto"/>
              <w:right w:val="single" w:sz="4" w:space="0" w:color="auto"/>
            </w:tcBorders>
            <w:shd w:val="clear" w:color="auto" w:fill="C6EFCE"/>
            <w:noWrap/>
          </w:tcPr>
          <w:p w14:paraId="4859ECA2" w14:textId="77777777" w:rsidR="00A8033B" w:rsidRPr="009674F2" w:rsidRDefault="00A8033B" w:rsidP="00A8033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115</w:t>
            </w:r>
          </w:p>
        </w:tc>
        <w:tc>
          <w:tcPr>
            <w:tcW w:w="3827" w:type="dxa"/>
            <w:tcBorders>
              <w:top w:val="nil"/>
              <w:left w:val="nil"/>
              <w:bottom w:val="single" w:sz="4" w:space="0" w:color="auto"/>
              <w:right w:val="single" w:sz="4" w:space="0" w:color="auto"/>
            </w:tcBorders>
            <w:shd w:val="clear" w:color="auto" w:fill="C6EFCE"/>
            <w:noWrap/>
          </w:tcPr>
          <w:p w14:paraId="3CD7ECBA" w14:textId="77777777" w:rsidR="00A8033B" w:rsidRPr="009674F2" w:rsidRDefault="00A8033B" w:rsidP="00A8033B">
            <w:pPr>
              <w:spacing w:after="0" w:line="240" w:lineRule="auto"/>
              <w:jc w:val="both"/>
              <w:rPr>
                <w:rFonts w:ascii="Times New Roman" w:eastAsia="Calibri" w:hAnsi="Times New Roman" w:cs="Times New Roman"/>
                <w:noProof/>
                <w:color w:val="006100"/>
              </w:rPr>
            </w:pPr>
            <w:r>
              <w:rPr>
                <w:rFonts w:ascii="Times New Roman" w:hAnsi="Times New Roman"/>
                <w:noProof/>
                <w:color w:val="006100"/>
              </w:rPr>
              <w:t>C4R9 Декарбонизация на енергийния сектор</w:t>
            </w:r>
          </w:p>
        </w:tc>
        <w:tc>
          <w:tcPr>
            <w:tcW w:w="1560" w:type="dxa"/>
            <w:tcBorders>
              <w:top w:val="nil"/>
              <w:left w:val="nil"/>
              <w:bottom w:val="single" w:sz="4" w:space="0" w:color="auto"/>
              <w:right w:val="single" w:sz="4" w:space="0" w:color="auto"/>
            </w:tcBorders>
            <w:shd w:val="clear" w:color="auto" w:fill="C6EFCE"/>
            <w:noWrap/>
          </w:tcPr>
          <w:p w14:paraId="42A1684C" w14:textId="77777777" w:rsidR="00A8033B" w:rsidRPr="009674F2" w:rsidRDefault="00A8033B" w:rsidP="00A8033B">
            <w:pPr>
              <w:spacing w:after="0" w:line="240" w:lineRule="auto"/>
              <w:jc w:val="center"/>
              <w:rPr>
                <w:rFonts w:ascii="Times New Roman" w:hAnsi="Times New Roman" w:cs="Times New Roman"/>
                <w:noProof/>
                <w:color w:val="006100"/>
              </w:rPr>
            </w:pPr>
            <w:r>
              <w:rPr>
                <w:rFonts w:ascii="Times New Roman" w:hAnsi="Times New Roman"/>
                <w:noProof/>
                <w:color w:val="006100"/>
              </w:rPr>
              <w:t>Ключов етап</w:t>
            </w:r>
          </w:p>
        </w:tc>
        <w:tc>
          <w:tcPr>
            <w:tcW w:w="3541" w:type="dxa"/>
            <w:tcBorders>
              <w:top w:val="nil"/>
              <w:left w:val="nil"/>
              <w:bottom w:val="single" w:sz="4" w:space="0" w:color="auto"/>
              <w:right w:val="single" w:sz="4" w:space="0" w:color="auto"/>
            </w:tcBorders>
            <w:shd w:val="clear" w:color="auto" w:fill="C6EFCE"/>
            <w:noWrap/>
          </w:tcPr>
          <w:p w14:paraId="452B0573" w14:textId="77777777" w:rsidR="00A8033B" w:rsidRPr="009674F2" w:rsidRDefault="00A8033B" w:rsidP="00A8033B">
            <w:pPr>
              <w:jc w:val="both"/>
              <w:rPr>
                <w:rFonts w:ascii="Times New Roman" w:hAnsi="Times New Roman" w:cs="Times New Roman"/>
                <w:noProof/>
                <w:color w:val="006100"/>
              </w:rPr>
            </w:pPr>
            <w:r>
              <w:rPr>
                <w:rFonts w:ascii="Times New Roman" w:hAnsi="Times New Roman"/>
                <w:noProof/>
                <w:color w:val="006100"/>
              </w:rPr>
              <w:t>Влизане в сила на законодателство, с което се приема графикът за постепенното преустановяване на използването на каменни въглища и се въвежда горна граница за емисиите на CO2 за електроцентрали, работещи на въглища.</w:t>
            </w:r>
          </w:p>
        </w:tc>
      </w:tr>
      <w:tr w:rsidR="00A8033B" w:rsidRPr="005241FC" w14:paraId="5A33007A" w14:textId="77777777" w:rsidTr="7B697459">
        <w:trPr>
          <w:trHeight w:val="302"/>
          <w:jc w:val="center"/>
        </w:trPr>
        <w:tc>
          <w:tcPr>
            <w:tcW w:w="1274" w:type="dxa"/>
            <w:tcBorders>
              <w:top w:val="nil"/>
              <w:left w:val="single" w:sz="4" w:space="0" w:color="auto"/>
              <w:bottom w:val="single" w:sz="4" w:space="0" w:color="auto"/>
              <w:right w:val="single" w:sz="4" w:space="0" w:color="auto"/>
            </w:tcBorders>
            <w:shd w:val="clear" w:color="auto" w:fill="C6EFCE"/>
            <w:noWrap/>
          </w:tcPr>
          <w:p w14:paraId="376EBB2B" w14:textId="77777777" w:rsidR="00A8033B" w:rsidRPr="009674F2" w:rsidRDefault="00A8033B" w:rsidP="00A8033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116</w:t>
            </w:r>
          </w:p>
        </w:tc>
        <w:tc>
          <w:tcPr>
            <w:tcW w:w="3827" w:type="dxa"/>
            <w:tcBorders>
              <w:top w:val="nil"/>
              <w:left w:val="nil"/>
              <w:bottom w:val="single" w:sz="4" w:space="0" w:color="auto"/>
              <w:right w:val="single" w:sz="4" w:space="0" w:color="auto"/>
            </w:tcBorders>
            <w:shd w:val="clear" w:color="auto" w:fill="C6EFCE"/>
            <w:noWrap/>
          </w:tcPr>
          <w:p w14:paraId="2E0F2ED9" w14:textId="77777777" w:rsidR="00A8033B" w:rsidRPr="009674F2" w:rsidRDefault="00A8033B" w:rsidP="00A8033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C4R9 Декарбонизация на енергийния сектор</w:t>
            </w:r>
          </w:p>
        </w:tc>
        <w:tc>
          <w:tcPr>
            <w:tcW w:w="1560" w:type="dxa"/>
            <w:tcBorders>
              <w:top w:val="nil"/>
              <w:left w:val="nil"/>
              <w:bottom w:val="single" w:sz="4" w:space="0" w:color="auto"/>
              <w:right w:val="single" w:sz="4" w:space="0" w:color="auto"/>
            </w:tcBorders>
            <w:shd w:val="clear" w:color="auto" w:fill="C6EFCE"/>
            <w:noWrap/>
          </w:tcPr>
          <w:p w14:paraId="17850696" w14:textId="77777777" w:rsidR="00A8033B" w:rsidRPr="009674F2" w:rsidRDefault="00A8033B" w:rsidP="00A8033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Ключов етап</w:t>
            </w:r>
          </w:p>
        </w:tc>
        <w:tc>
          <w:tcPr>
            <w:tcW w:w="3541" w:type="dxa"/>
            <w:tcBorders>
              <w:top w:val="nil"/>
              <w:left w:val="nil"/>
              <w:bottom w:val="single" w:sz="4" w:space="0" w:color="auto"/>
              <w:right w:val="single" w:sz="4" w:space="0" w:color="auto"/>
            </w:tcBorders>
            <w:shd w:val="clear" w:color="auto" w:fill="C6EFCE"/>
            <w:noWrap/>
          </w:tcPr>
          <w:p w14:paraId="655A7478" w14:textId="77777777" w:rsidR="00A8033B" w:rsidRPr="009674F2" w:rsidRDefault="00A8033B" w:rsidP="00A8033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Влизане в сила на решение(я) за изпълнение за прилагане на ограничението за емисиите на въглероден диоксид при производството на електроенергия от каменни въглища</w:t>
            </w:r>
          </w:p>
        </w:tc>
      </w:tr>
      <w:tr w:rsidR="00A8033B" w:rsidRPr="005241FC" w14:paraId="09FF6004" w14:textId="77777777" w:rsidTr="7B697459">
        <w:trPr>
          <w:trHeight w:val="302"/>
          <w:jc w:val="center"/>
        </w:trPr>
        <w:tc>
          <w:tcPr>
            <w:tcW w:w="1274" w:type="dxa"/>
            <w:tcBorders>
              <w:top w:val="nil"/>
              <w:left w:val="single" w:sz="4" w:space="0" w:color="auto"/>
              <w:bottom w:val="single" w:sz="4" w:space="0" w:color="auto"/>
              <w:right w:val="single" w:sz="4" w:space="0" w:color="auto"/>
            </w:tcBorders>
            <w:shd w:val="clear" w:color="auto" w:fill="C6EFCE"/>
            <w:noWrap/>
          </w:tcPr>
          <w:p w14:paraId="71A61CD6" w14:textId="77777777" w:rsidR="00A8033B" w:rsidRPr="009674F2" w:rsidRDefault="00A8033B" w:rsidP="00A8033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117</w:t>
            </w:r>
          </w:p>
        </w:tc>
        <w:tc>
          <w:tcPr>
            <w:tcW w:w="3827" w:type="dxa"/>
            <w:tcBorders>
              <w:top w:val="nil"/>
              <w:left w:val="nil"/>
              <w:bottom w:val="single" w:sz="4" w:space="0" w:color="auto"/>
              <w:right w:val="single" w:sz="4" w:space="0" w:color="auto"/>
            </w:tcBorders>
            <w:shd w:val="clear" w:color="auto" w:fill="C6EFCE"/>
            <w:noWrap/>
          </w:tcPr>
          <w:p w14:paraId="0CAD39C1" w14:textId="77777777" w:rsidR="00A8033B" w:rsidRPr="009674F2" w:rsidRDefault="00A8033B" w:rsidP="00A8033B">
            <w:pPr>
              <w:spacing w:after="0" w:line="240" w:lineRule="auto"/>
              <w:jc w:val="both"/>
              <w:rPr>
                <w:rFonts w:ascii="Times New Roman" w:hAnsi="Times New Roman" w:cs="Times New Roman"/>
                <w:noProof/>
                <w:color w:val="006100"/>
              </w:rPr>
            </w:pPr>
            <w:r>
              <w:rPr>
                <w:rFonts w:ascii="Times New Roman" w:hAnsi="Times New Roman"/>
                <w:noProof/>
                <w:color w:val="006100"/>
              </w:rPr>
              <w:t>C4R9 Декарбонизация на енергийния сектор</w:t>
            </w:r>
          </w:p>
        </w:tc>
        <w:tc>
          <w:tcPr>
            <w:tcW w:w="1560" w:type="dxa"/>
            <w:tcBorders>
              <w:top w:val="nil"/>
              <w:left w:val="nil"/>
              <w:bottom w:val="single" w:sz="4" w:space="0" w:color="auto"/>
              <w:right w:val="single" w:sz="4" w:space="0" w:color="auto"/>
            </w:tcBorders>
            <w:shd w:val="clear" w:color="auto" w:fill="C6EFCE"/>
            <w:noWrap/>
          </w:tcPr>
          <w:p w14:paraId="6C8D45E7" w14:textId="77777777" w:rsidR="00A8033B" w:rsidRPr="009674F2" w:rsidRDefault="00A8033B" w:rsidP="00A8033B">
            <w:pPr>
              <w:spacing w:after="0" w:line="240" w:lineRule="auto"/>
              <w:jc w:val="center"/>
              <w:rPr>
                <w:rFonts w:ascii="Times New Roman" w:hAnsi="Times New Roman" w:cs="Times New Roman"/>
                <w:noProof/>
                <w:color w:val="006100"/>
                <w:highlight w:val="yellow"/>
              </w:rPr>
            </w:pPr>
            <w:r>
              <w:rPr>
                <w:rFonts w:ascii="Times New Roman" w:hAnsi="Times New Roman"/>
                <w:noProof/>
                <w:color w:val="006100"/>
              </w:rPr>
              <w:t>Цел</w:t>
            </w:r>
          </w:p>
        </w:tc>
        <w:tc>
          <w:tcPr>
            <w:tcW w:w="3541" w:type="dxa"/>
            <w:tcBorders>
              <w:top w:val="nil"/>
              <w:left w:val="nil"/>
              <w:bottom w:val="single" w:sz="4" w:space="0" w:color="auto"/>
              <w:right w:val="single" w:sz="4" w:space="0" w:color="auto"/>
            </w:tcBorders>
            <w:shd w:val="clear" w:color="auto" w:fill="C6EFCE"/>
            <w:noWrap/>
          </w:tcPr>
          <w:p w14:paraId="02BF8FE1" w14:textId="77777777" w:rsidR="00A8033B" w:rsidRPr="009674F2" w:rsidRDefault="00A8033B" w:rsidP="00A8033B">
            <w:pPr>
              <w:spacing w:after="0" w:line="240" w:lineRule="auto"/>
              <w:jc w:val="both"/>
              <w:rPr>
                <w:rFonts w:ascii="Times New Roman" w:hAnsi="Times New Roman" w:cs="Times New Roman"/>
                <w:noProof/>
                <w:color w:val="006100"/>
                <w:highlight w:val="yellow"/>
              </w:rPr>
            </w:pPr>
            <w:r>
              <w:rPr>
                <w:rFonts w:ascii="Times New Roman" w:hAnsi="Times New Roman"/>
                <w:noProof/>
                <w:color w:val="006100"/>
              </w:rPr>
              <w:t>Намаляване на емисиите на въглероден диоксид от енергийния сектор (I)</w:t>
            </w:r>
          </w:p>
        </w:tc>
      </w:tr>
      <w:tr w:rsidR="00A8033B" w:rsidRPr="005241FC" w14:paraId="23D3B913" w14:textId="77777777" w:rsidTr="7B697459">
        <w:trPr>
          <w:trHeight w:val="302"/>
          <w:jc w:val="center"/>
        </w:trPr>
        <w:tc>
          <w:tcPr>
            <w:tcW w:w="1274" w:type="dxa"/>
            <w:tcBorders>
              <w:top w:val="nil"/>
              <w:left w:val="single" w:sz="4" w:space="0" w:color="auto"/>
              <w:bottom w:val="single" w:sz="4" w:space="0" w:color="auto"/>
              <w:right w:val="single" w:sz="4" w:space="0" w:color="auto"/>
            </w:tcBorders>
            <w:shd w:val="clear" w:color="auto" w:fill="C6EFCE"/>
            <w:noWrap/>
          </w:tcPr>
          <w:p w14:paraId="2513328E" w14:textId="77777777" w:rsidR="00A8033B" w:rsidRPr="009674F2" w:rsidRDefault="00A8033B" w:rsidP="00A8033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94</w:t>
            </w:r>
          </w:p>
        </w:tc>
        <w:tc>
          <w:tcPr>
            <w:tcW w:w="3827" w:type="dxa"/>
            <w:tcBorders>
              <w:top w:val="nil"/>
              <w:left w:val="nil"/>
              <w:bottom w:val="single" w:sz="4" w:space="0" w:color="auto"/>
              <w:right w:val="single" w:sz="4" w:space="0" w:color="auto"/>
            </w:tcBorders>
            <w:shd w:val="clear" w:color="auto" w:fill="C6EFCE"/>
            <w:noWrap/>
          </w:tcPr>
          <w:p w14:paraId="6C87256D" w14:textId="77777777" w:rsidR="00A8033B" w:rsidRPr="009674F2" w:rsidRDefault="00A8033B" w:rsidP="00A8033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C4R11 Подобряване на корпоративното управление на държавните предприятия в енергийния сектор</w:t>
            </w:r>
          </w:p>
        </w:tc>
        <w:tc>
          <w:tcPr>
            <w:tcW w:w="1560" w:type="dxa"/>
            <w:tcBorders>
              <w:top w:val="nil"/>
              <w:left w:val="nil"/>
              <w:bottom w:val="single" w:sz="4" w:space="0" w:color="auto"/>
              <w:right w:val="single" w:sz="4" w:space="0" w:color="auto"/>
            </w:tcBorders>
            <w:shd w:val="clear" w:color="auto" w:fill="C6EFCE"/>
            <w:noWrap/>
          </w:tcPr>
          <w:p w14:paraId="17B3ABDE" w14:textId="77777777" w:rsidR="00A8033B" w:rsidRPr="009674F2" w:rsidRDefault="00A8033B" w:rsidP="00A8033B">
            <w:pPr>
              <w:spacing w:after="0" w:line="276" w:lineRule="auto"/>
              <w:jc w:val="center"/>
              <w:rPr>
                <w:rFonts w:ascii="Times New Roman" w:eastAsia="Times New Roman" w:hAnsi="Times New Roman" w:cs="Times New Roman"/>
                <w:noProof/>
                <w:color w:val="006100"/>
              </w:rPr>
            </w:pPr>
            <w:r>
              <w:rPr>
                <w:rFonts w:ascii="Times New Roman" w:hAnsi="Times New Roman"/>
                <w:noProof/>
                <w:color w:val="006100"/>
              </w:rPr>
              <w:t>Ключов етап</w:t>
            </w:r>
          </w:p>
        </w:tc>
        <w:tc>
          <w:tcPr>
            <w:tcW w:w="3541" w:type="dxa"/>
            <w:tcBorders>
              <w:top w:val="nil"/>
              <w:left w:val="nil"/>
              <w:bottom w:val="single" w:sz="4" w:space="0" w:color="auto"/>
              <w:right w:val="single" w:sz="4" w:space="0" w:color="auto"/>
            </w:tcBorders>
            <w:shd w:val="clear" w:color="auto" w:fill="C6EFCE"/>
            <w:noWrap/>
          </w:tcPr>
          <w:p w14:paraId="62D516AC" w14:textId="77777777" w:rsidR="00A8033B" w:rsidRPr="009674F2" w:rsidRDefault="00A8033B" w:rsidP="00A8033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Липса на кръстосано субсидиране между държавните енергийни предприятия</w:t>
            </w:r>
          </w:p>
        </w:tc>
      </w:tr>
      <w:tr w:rsidR="00A8033B" w:rsidRPr="005241FC" w14:paraId="168FC972" w14:textId="77777777" w:rsidTr="7B697459">
        <w:trPr>
          <w:trHeight w:val="302"/>
          <w:jc w:val="center"/>
        </w:trPr>
        <w:tc>
          <w:tcPr>
            <w:tcW w:w="1274" w:type="dxa"/>
            <w:tcBorders>
              <w:top w:val="nil"/>
              <w:left w:val="single" w:sz="4" w:space="0" w:color="auto"/>
              <w:bottom w:val="single" w:sz="4" w:space="0" w:color="auto"/>
              <w:right w:val="single" w:sz="4" w:space="0" w:color="auto"/>
            </w:tcBorders>
            <w:shd w:val="clear" w:color="auto" w:fill="C6EFCE"/>
            <w:noWrap/>
          </w:tcPr>
          <w:p w14:paraId="0C6FD9A9" w14:textId="77777777" w:rsidR="00A8033B" w:rsidRPr="009674F2" w:rsidRDefault="00A8033B" w:rsidP="00A8033B">
            <w:pPr>
              <w:tabs>
                <w:tab w:val="center" w:pos="794"/>
              </w:tabs>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99</w:t>
            </w:r>
          </w:p>
        </w:tc>
        <w:tc>
          <w:tcPr>
            <w:tcW w:w="3827" w:type="dxa"/>
            <w:tcBorders>
              <w:top w:val="nil"/>
              <w:left w:val="nil"/>
              <w:bottom w:val="single" w:sz="4" w:space="0" w:color="auto"/>
              <w:right w:val="single" w:sz="4" w:space="0" w:color="auto"/>
            </w:tcBorders>
            <w:shd w:val="clear" w:color="auto" w:fill="C6EFCE"/>
            <w:noWrap/>
          </w:tcPr>
          <w:p w14:paraId="39FDCE02" w14:textId="77777777" w:rsidR="00A8033B" w:rsidRPr="009674F2" w:rsidRDefault="00A8033B" w:rsidP="00A8033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C4I6 Подкрепа за нови мощности за производство на електроенергия от възобновяеми източници и съхранение на електроенергия</w:t>
            </w:r>
          </w:p>
        </w:tc>
        <w:tc>
          <w:tcPr>
            <w:tcW w:w="1560" w:type="dxa"/>
            <w:tcBorders>
              <w:top w:val="nil"/>
              <w:left w:val="nil"/>
              <w:bottom w:val="single" w:sz="4" w:space="0" w:color="auto"/>
              <w:right w:val="single" w:sz="4" w:space="0" w:color="auto"/>
            </w:tcBorders>
            <w:shd w:val="clear" w:color="auto" w:fill="C6EFCE"/>
            <w:noWrap/>
          </w:tcPr>
          <w:p w14:paraId="58D5039C" w14:textId="77777777" w:rsidR="00A8033B" w:rsidRPr="009674F2" w:rsidRDefault="00A8033B" w:rsidP="00A8033B">
            <w:pPr>
              <w:spacing w:after="0" w:line="276" w:lineRule="auto"/>
              <w:jc w:val="center"/>
              <w:rPr>
                <w:rFonts w:ascii="Times New Roman" w:eastAsia="Times New Roman" w:hAnsi="Times New Roman" w:cs="Times New Roman"/>
                <w:noProof/>
                <w:color w:val="006100"/>
              </w:rPr>
            </w:pPr>
            <w:r>
              <w:rPr>
                <w:rFonts w:ascii="Times New Roman" w:hAnsi="Times New Roman"/>
                <w:noProof/>
                <w:color w:val="006100"/>
              </w:rPr>
              <w:t>Ключов етап</w:t>
            </w:r>
          </w:p>
        </w:tc>
        <w:tc>
          <w:tcPr>
            <w:tcW w:w="3541" w:type="dxa"/>
            <w:tcBorders>
              <w:top w:val="nil"/>
              <w:left w:val="nil"/>
              <w:bottom w:val="single" w:sz="4" w:space="0" w:color="auto"/>
              <w:right w:val="single" w:sz="4" w:space="0" w:color="auto"/>
            </w:tcBorders>
            <w:shd w:val="clear" w:color="auto" w:fill="C6EFCE"/>
            <w:noWrap/>
          </w:tcPr>
          <w:p w14:paraId="7EF84C30" w14:textId="77777777" w:rsidR="00A8033B" w:rsidRPr="009674F2" w:rsidRDefault="00A8033B" w:rsidP="00A8033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Обявяване на търг за изграждане на капацитет от 285 MW за производство на електроенергия от възобновяеми източници (вятърна и слънчева енергия), разположен заедно със системи за акумулиране на енергия</w:t>
            </w:r>
          </w:p>
        </w:tc>
      </w:tr>
      <w:tr w:rsidR="00A8033B" w:rsidRPr="005241FC" w14:paraId="39D89478" w14:textId="77777777" w:rsidTr="7B697459">
        <w:trPr>
          <w:trHeight w:val="302"/>
          <w:jc w:val="center"/>
        </w:trPr>
        <w:tc>
          <w:tcPr>
            <w:tcW w:w="1274" w:type="dxa"/>
            <w:tcBorders>
              <w:top w:val="nil"/>
              <w:left w:val="single" w:sz="4" w:space="0" w:color="auto"/>
              <w:bottom w:val="single" w:sz="4" w:space="0" w:color="auto"/>
              <w:right w:val="single" w:sz="4" w:space="0" w:color="auto"/>
            </w:tcBorders>
            <w:shd w:val="clear" w:color="auto" w:fill="C6EFCE"/>
            <w:noWrap/>
          </w:tcPr>
          <w:p w14:paraId="252FE592" w14:textId="77777777" w:rsidR="00A8033B" w:rsidRPr="009674F2" w:rsidRDefault="00A8033B" w:rsidP="00A8033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122</w:t>
            </w:r>
          </w:p>
        </w:tc>
        <w:tc>
          <w:tcPr>
            <w:tcW w:w="3827" w:type="dxa"/>
            <w:tcBorders>
              <w:top w:val="nil"/>
              <w:left w:val="nil"/>
              <w:bottom w:val="single" w:sz="4" w:space="0" w:color="auto"/>
              <w:right w:val="single" w:sz="4" w:space="0" w:color="auto"/>
            </w:tcBorders>
            <w:shd w:val="clear" w:color="auto" w:fill="C6EFCE"/>
            <w:noWrap/>
          </w:tcPr>
          <w:p w14:paraId="3986CCA2" w14:textId="77777777" w:rsidR="00A8033B" w:rsidRPr="009674F2" w:rsidRDefault="00A8033B" w:rsidP="00A8033B">
            <w:pPr>
              <w:spacing w:after="0" w:line="240" w:lineRule="auto"/>
              <w:jc w:val="both"/>
              <w:rPr>
                <w:rFonts w:ascii="Times New Roman" w:hAnsi="Times New Roman" w:cs="Times New Roman"/>
                <w:noProof/>
                <w:color w:val="006100"/>
              </w:rPr>
            </w:pPr>
            <w:r>
              <w:rPr>
                <w:rFonts w:ascii="Times New Roman" w:hAnsi="Times New Roman"/>
                <w:noProof/>
                <w:color w:val="006100"/>
              </w:rPr>
              <w:t>C4I8 Национална инфраструктура за съхранение на електроенергия от възобновяеми източници (RESTORE)</w:t>
            </w:r>
          </w:p>
          <w:p w14:paraId="03653E58" w14:textId="77777777" w:rsidR="00A8033B" w:rsidRPr="008A0F8A" w:rsidRDefault="00A8033B" w:rsidP="00A8033B">
            <w:pPr>
              <w:spacing w:after="0" w:line="240" w:lineRule="auto"/>
              <w:jc w:val="both"/>
              <w:rPr>
                <w:rFonts w:ascii="Times New Roman" w:hAnsi="Times New Roman" w:cs="Times New Roman"/>
                <w:noProof/>
                <w:color w:val="006100"/>
                <w:lang w:val="ru-RU"/>
              </w:rPr>
            </w:pPr>
          </w:p>
          <w:p w14:paraId="5E156120" w14:textId="77777777" w:rsidR="00A8033B" w:rsidRPr="008A0F8A" w:rsidRDefault="00A8033B" w:rsidP="00A8033B">
            <w:pPr>
              <w:spacing w:after="0" w:line="240" w:lineRule="auto"/>
              <w:jc w:val="both"/>
              <w:rPr>
                <w:rFonts w:ascii="Times New Roman" w:eastAsia="Times New Roman" w:hAnsi="Times New Roman" w:cs="Times New Roman"/>
                <w:noProof/>
                <w:color w:val="006100"/>
                <w:lang w:val="ru-RU" w:eastAsia="en-GB"/>
              </w:rPr>
            </w:pPr>
          </w:p>
        </w:tc>
        <w:tc>
          <w:tcPr>
            <w:tcW w:w="1560" w:type="dxa"/>
            <w:tcBorders>
              <w:top w:val="nil"/>
              <w:left w:val="nil"/>
              <w:bottom w:val="single" w:sz="4" w:space="0" w:color="auto"/>
              <w:right w:val="single" w:sz="4" w:space="0" w:color="auto"/>
            </w:tcBorders>
            <w:shd w:val="clear" w:color="auto" w:fill="C6EFCE"/>
            <w:noWrap/>
          </w:tcPr>
          <w:p w14:paraId="753BFA70" w14:textId="77777777" w:rsidR="00A8033B" w:rsidRPr="009674F2" w:rsidRDefault="00A8033B" w:rsidP="00A8033B">
            <w:pPr>
              <w:spacing w:after="0" w:line="276" w:lineRule="auto"/>
              <w:jc w:val="center"/>
              <w:rPr>
                <w:rFonts w:ascii="Times New Roman" w:eastAsia="Times New Roman" w:hAnsi="Times New Roman" w:cs="Times New Roman"/>
                <w:noProof/>
                <w:color w:val="006100"/>
              </w:rPr>
            </w:pPr>
            <w:r>
              <w:rPr>
                <w:rFonts w:ascii="Times New Roman" w:hAnsi="Times New Roman"/>
                <w:noProof/>
                <w:color w:val="006100"/>
              </w:rPr>
              <w:t>Ключов етап</w:t>
            </w:r>
          </w:p>
        </w:tc>
        <w:tc>
          <w:tcPr>
            <w:tcW w:w="3541" w:type="dxa"/>
            <w:tcBorders>
              <w:top w:val="nil"/>
              <w:left w:val="nil"/>
              <w:bottom w:val="single" w:sz="4" w:space="0" w:color="auto"/>
              <w:right w:val="single" w:sz="4" w:space="0" w:color="auto"/>
            </w:tcBorders>
            <w:shd w:val="clear" w:color="auto" w:fill="C6EFCE"/>
            <w:noWrap/>
          </w:tcPr>
          <w:p w14:paraId="19039785" w14:textId="77777777" w:rsidR="00A8033B" w:rsidRPr="009674F2" w:rsidRDefault="00A8033B" w:rsidP="00A8033B">
            <w:pPr>
              <w:spacing w:after="0" w:line="240" w:lineRule="auto"/>
              <w:rPr>
                <w:rFonts w:ascii="Times New Roman" w:eastAsia="Times New Roman" w:hAnsi="Times New Roman" w:cs="Times New Roman"/>
                <w:noProof/>
                <w:color w:val="006100"/>
              </w:rPr>
            </w:pPr>
            <w:r>
              <w:rPr>
                <w:rFonts w:ascii="Times New Roman" w:hAnsi="Times New Roman"/>
                <w:noProof/>
                <w:color w:val="006100"/>
              </w:rPr>
              <w:t>Подписване на договор за доставка, инсталиране, свързване и въвеждане в експлоатация на съоръжения за съхранение с капацитет 500 MW (6000 MWh).</w:t>
            </w:r>
          </w:p>
        </w:tc>
      </w:tr>
      <w:tr w:rsidR="00A8033B" w:rsidRPr="005241FC" w14:paraId="3E7058E1" w14:textId="77777777" w:rsidTr="7B697459">
        <w:trPr>
          <w:trHeight w:val="302"/>
          <w:jc w:val="center"/>
        </w:trPr>
        <w:tc>
          <w:tcPr>
            <w:tcW w:w="1274" w:type="dxa"/>
            <w:tcBorders>
              <w:top w:val="nil"/>
              <w:left w:val="single" w:sz="4" w:space="0" w:color="auto"/>
              <w:bottom w:val="single" w:sz="4" w:space="0" w:color="auto"/>
              <w:right w:val="single" w:sz="4" w:space="0" w:color="auto"/>
            </w:tcBorders>
            <w:shd w:val="clear" w:color="auto" w:fill="C6EFCE"/>
            <w:noWrap/>
          </w:tcPr>
          <w:p w14:paraId="44C4A08D" w14:textId="77777777" w:rsidR="00A8033B" w:rsidRPr="009674F2" w:rsidRDefault="00A8033B" w:rsidP="00A8033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139</w:t>
            </w:r>
          </w:p>
        </w:tc>
        <w:tc>
          <w:tcPr>
            <w:tcW w:w="3827" w:type="dxa"/>
            <w:tcBorders>
              <w:top w:val="nil"/>
              <w:left w:val="nil"/>
              <w:bottom w:val="single" w:sz="4" w:space="0" w:color="auto"/>
              <w:right w:val="single" w:sz="4" w:space="0" w:color="auto"/>
            </w:tcBorders>
            <w:shd w:val="clear" w:color="auto" w:fill="C6EFCE"/>
            <w:noWrap/>
          </w:tcPr>
          <w:p w14:paraId="46501CB6" w14:textId="77777777" w:rsidR="00A8033B" w:rsidRPr="009674F2" w:rsidRDefault="00A8033B" w:rsidP="00A8033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C7R2 Ефективно използване на радиочестотния спектър</w:t>
            </w:r>
          </w:p>
        </w:tc>
        <w:tc>
          <w:tcPr>
            <w:tcW w:w="1560" w:type="dxa"/>
            <w:tcBorders>
              <w:top w:val="nil"/>
              <w:left w:val="nil"/>
              <w:bottom w:val="single" w:sz="4" w:space="0" w:color="auto"/>
              <w:right w:val="single" w:sz="4" w:space="0" w:color="auto"/>
            </w:tcBorders>
            <w:shd w:val="clear" w:color="auto" w:fill="C6EFCE"/>
            <w:noWrap/>
          </w:tcPr>
          <w:p w14:paraId="0A6A43A5" w14:textId="77777777" w:rsidR="00A8033B" w:rsidRPr="009674F2" w:rsidRDefault="00A8033B" w:rsidP="00A8033B">
            <w:pPr>
              <w:spacing w:after="0" w:line="276" w:lineRule="auto"/>
              <w:jc w:val="center"/>
              <w:rPr>
                <w:rFonts w:ascii="Times New Roman" w:eastAsia="Times New Roman" w:hAnsi="Times New Roman" w:cs="Times New Roman"/>
                <w:noProof/>
                <w:color w:val="006100"/>
              </w:rPr>
            </w:pPr>
            <w:r>
              <w:rPr>
                <w:rFonts w:ascii="Times New Roman" w:hAnsi="Times New Roman"/>
                <w:noProof/>
                <w:color w:val="006100"/>
              </w:rPr>
              <w:t>Ключов етап</w:t>
            </w:r>
          </w:p>
          <w:p w14:paraId="29B1B608" w14:textId="77777777" w:rsidR="00A8033B" w:rsidRPr="009674F2" w:rsidRDefault="00A8033B" w:rsidP="00A8033B">
            <w:pPr>
              <w:spacing w:after="0" w:line="240" w:lineRule="auto"/>
              <w:jc w:val="center"/>
              <w:rPr>
                <w:rFonts w:ascii="Times New Roman" w:eastAsia="Times New Roman" w:hAnsi="Times New Roman" w:cs="Times New Roman"/>
                <w:noProof/>
                <w:color w:val="006100"/>
                <w:lang w:val="en-IE"/>
              </w:rPr>
            </w:pPr>
          </w:p>
        </w:tc>
        <w:tc>
          <w:tcPr>
            <w:tcW w:w="3541" w:type="dxa"/>
            <w:tcBorders>
              <w:top w:val="nil"/>
              <w:left w:val="nil"/>
              <w:bottom w:val="single" w:sz="4" w:space="0" w:color="auto"/>
              <w:right w:val="single" w:sz="4" w:space="0" w:color="auto"/>
            </w:tcBorders>
            <w:shd w:val="clear" w:color="auto" w:fill="C6EFCE"/>
            <w:noWrap/>
          </w:tcPr>
          <w:p w14:paraId="21A12760" w14:textId="77777777" w:rsidR="00A8033B" w:rsidRPr="009674F2" w:rsidRDefault="00A8033B" w:rsidP="00A8033B">
            <w:pPr>
              <w:spacing w:after="0" w:line="240" w:lineRule="auto"/>
              <w:rPr>
                <w:rFonts w:ascii="Times New Roman" w:eastAsia="Times New Roman" w:hAnsi="Times New Roman" w:cs="Times New Roman"/>
                <w:noProof/>
                <w:color w:val="006100"/>
              </w:rPr>
            </w:pPr>
            <w:r>
              <w:rPr>
                <w:rFonts w:ascii="Times New Roman" w:hAnsi="Times New Roman"/>
                <w:noProof/>
                <w:color w:val="006100"/>
              </w:rPr>
              <w:t>Завършване на предоставянето на наличния честотен ресурс в радиочестотните ленти 700 MHz и 800 MHz</w:t>
            </w:r>
          </w:p>
        </w:tc>
      </w:tr>
      <w:tr w:rsidR="00A8033B" w:rsidRPr="005241FC" w14:paraId="1C271ED8" w14:textId="77777777" w:rsidTr="7B697459">
        <w:trPr>
          <w:trHeight w:val="302"/>
          <w:jc w:val="center"/>
        </w:trPr>
        <w:tc>
          <w:tcPr>
            <w:tcW w:w="1274" w:type="dxa"/>
            <w:tcBorders>
              <w:top w:val="nil"/>
              <w:left w:val="single" w:sz="4" w:space="0" w:color="auto"/>
              <w:bottom w:val="single" w:sz="4" w:space="0" w:color="auto"/>
              <w:right w:val="single" w:sz="4" w:space="0" w:color="auto"/>
            </w:tcBorders>
            <w:shd w:val="clear" w:color="auto" w:fill="C6EFCE"/>
            <w:noWrap/>
          </w:tcPr>
          <w:p w14:paraId="770E82C1" w14:textId="77777777" w:rsidR="00A8033B" w:rsidRPr="009674F2" w:rsidRDefault="00A8033B" w:rsidP="00A8033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164</w:t>
            </w:r>
          </w:p>
        </w:tc>
        <w:tc>
          <w:tcPr>
            <w:tcW w:w="3827" w:type="dxa"/>
            <w:tcBorders>
              <w:top w:val="nil"/>
              <w:left w:val="nil"/>
              <w:bottom w:val="single" w:sz="4" w:space="0" w:color="auto"/>
              <w:right w:val="single" w:sz="4" w:space="0" w:color="auto"/>
            </w:tcBorders>
            <w:shd w:val="clear" w:color="auto" w:fill="C6EFCE"/>
            <w:noWrap/>
          </w:tcPr>
          <w:p w14:paraId="02BB3036" w14:textId="77777777" w:rsidR="00A8033B" w:rsidRPr="009674F2" w:rsidRDefault="00A8033B" w:rsidP="00A8033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C8R1 Стратегическа рамка за транспорта</w:t>
            </w:r>
          </w:p>
        </w:tc>
        <w:tc>
          <w:tcPr>
            <w:tcW w:w="1560" w:type="dxa"/>
            <w:tcBorders>
              <w:top w:val="nil"/>
              <w:left w:val="nil"/>
              <w:bottom w:val="single" w:sz="4" w:space="0" w:color="auto"/>
              <w:right w:val="single" w:sz="4" w:space="0" w:color="auto"/>
            </w:tcBorders>
            <w:shd w:val="clear" w:color="auto" w:fill="C6EFCE"/>
            <w:noWrap/>
          </w:tcPr>
          <w:p w14:paraId="6235321A" w14:textId="77777777" w:rsidR="00A8033B" w:rsidRPr="009674F2" w:rsidRDefault="00A8033B" w:rsidP="00A8033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Ключов етап</w:t>
            </w:r>
          </w:p>
        </w:tc>
        <w:tc>
          <w:tcPr>
            <w:tcW w:w="3541" w:type="dxa"/>
            <w:tcBorders>
              <w:top w:val="nil"/>
              <w:left w:val="nil"/>
              <w:bottom w:val="single" w:sz="4" w:space="0" w:color="auto"/>
              <w:right w:val="single" w:sz="4" w:space="0" w:color="auto"/>
            </w:tcBorders>
            <w:shd w:val="clear" w:color="auto" w:fill="C6EFCE"/>
            <w:noWrap/>
          </w:tcPr>
          <w:p w14:paraId="2DCFE8EA" w14:textId="77777777" w:rsidR="00A8033B" w:rsidRPr="009674F2" w:rsidRDefault="00A8033B" w:rsidP="00A8033B">
            <w:pPr>
              <w:spacing w:after="0" w:line="240" w:lineRule="auto"/>
              <w:rPr>
                <w:rFonts w:ascii="Times New Roman" w:eastAsia="Times New Roman" w:hAnsi="Times New Roman" w:cs="Times New Roman"/>
                <w:noProof/>
                <w:color w:val="006100"/>
              </w:rPr>
            </w:pPr>
            <w:r>
              <w:rPr>
                <w:rFonts w:ascii="Times New Roman" w:hAnsi="Times New Roman"/>
                <w:noProof/>
                <w:color w:val="006100"/>
              </w:rPr>
              <w:t>Пазарна оценка за железопътния сектор, определяща обхвата на задължението за извършване на обществена услуга съгласно новия договор за обществена услуга за железопътен превоз</w:t>
            </w:r>
          </w:p>
        </w:tc>
      </w:tr>
      <w:tr w:rsidR="00A8033B" w:rsidRPr="005241FC" w14:paraId="5CD39BE1" w14:textId="77777777" w:rsidTr="7B697459">
        <w:trPr>
          <w:trHeight w:val="302"/>
          <w:jc w:val="center"/>
        </w:trPr>
        <w:tc>
          <w:tcPr>
            <w:tcW w:w="1274" w:type="dxa"/>
            <w:tcBorders>
              <w:top w:val="nil"/>
              <w:left w:val="single" w:sz="4" w:space="0" w:color="auto"/>
              <w:bottom w:val="single" w:sz="4" w:space="0" w:color="auto"/>
              <w:right w:val="single" w:sz="4" w:space="0" w:color="auto"/>
            </w:tcBorders>
            <w:shd w:val="clear" w:color="auto" w:fill="C6EFCE"/>
            <w:noWrap/>
          </w:tcPr>
          <w:p w14:paraId="23D70309" w14:textId="77777777" w:rsidR="00A8033B" w:rsidRPr="009674F2" w:rsidRDefault="00A8033B" w:rsidP="00A8033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170</w:t>
            </w:r>
          </w:p>
        </w:tc>
        <w:tc>
          <w:tcPr>
            <w:tcW w:w="3827" w:type="dxa"/>
            <w:tcBorders>
              <w:top w:val="nil"/>
              <w:left w:val="nil"/>
              <w:bottom w:val="single" w:sz="4" w:space="0" w:color="auto"/>
              <w:right w:val="single" w:sz="4" w:space="0" w:color="auto"/>
            </w:tcBorders>
            <w:shd w:val="clear" w:color="auto" w:fill="C6EFCE"/>
            <w:noWrap/>
          </w:tcPr>
          <w:p w14:paraId="0A9C3D73" w14:textId="77777777" w:rsidR="00A8033B" w:rsidRPr="009674F2" w:rsidRDefault="00A8033B" w:rsidP="00A8033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C8R2 Безопасност на движението по пътищата</w:t>
            </w:r>
          </w:p>
        </w:tc>
        <w:tc>
          <w:tcPr>
            <w:tcW w:w="1560" w:type="dxa"/>
            <w:tcBorders>
              <w:top w:val="nil"/>
              <w:left w:val="nil"/>
              <w:bottom w:val="single" w:sz="4" w:space="0" w:color="auto"/>
              <w:right w:val="single" w:sz="4" w:space="0" w:color="auto"/>
            </w:tcBorders>
            <w:shd w:val="clear" w:color="auto" w:fill="C6EFCE"/>
            <w:noWrap/>
          </w:tcPr>
          <w:p w14:paraId="26EE1BB4" w14:textId="77777777" w:rsidR="00A8033B" w:rsidRPr="009674F2" w:rsidRDefault="00A8033B" w:rsidP="00A8033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Ключов етап</w:t>
            </w:r>
          </w:p>
        </w:tc>
        <w:tc>
          <w:tcPr>
            <w:tcW w:w="3541" w:type="dxa"/>
            <w:tcBorders>
              <w:top w:val="nil"/>
              <w:left w:val="nil"/>
              <w:bottom w:val="single" w:sz="4" w:space="0" w:color="auto"/>
              <w:right w:val="single" w:sz="4" w:space="0" w:color="auto"/>
            </w:tcBorders>
            <w:shd w:val="clear" w:color="auto" w:fill="C6EFCE"/>
            <w:noWrap/>
          </w:tcPr>
          <w:p w14:paraId="17A98157" w14:textId="77777777" w:rsidR="00A8033B" w:rsidRPr="009674F2" w:rsidRDefault="00A8033B" w:rsidP="00A8033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 xml:space="preserve">Изпълнение на новия план за действие за безопасност на движението по пътищата </w:t>
            </w:r>
          </w:p>
        </w:tc>
      </w:tr>
      <w:tr w:rsidR="00A8033B" w:rsidRPr="005241FC" w14:paraId="0B454C34" w14:textId="77777777" w:rsidTr="7B697459">
        <w:trPr>
          <w:trHeight w:val="302"/>
          <w:jc w:val="center"/>
        </w:trPr>
        <w:tc>
          <w:tcPr>
            <w:tcW w:w="1274" w:type="dxa"/>
            <w:tcBorders>
              <w:top w:val="nil"/>
              <w:left w:val="single" w:sz="4" w:space="0" w:color="auto"/>
              <w:bottom w:val="single" w:sz="4" w:space="0" w:color="auto"/>
              <w:right w:val="single" w:sz="4" w:space="0" w:color="auto"/>
            </w:tcBorders>
            <w:shd w:val="clear" w:color="auto" w:fill="C6EFCE"/>
            <w:noWrap/>
          </w:tcPr>
          <w:p w14:paraId="3D0FE633" w14:textId="77777777" w:rsidR="00A8033B" w:rsidRPr="009674F2" w:rsidRDefault="00A8033B" w:rsidP="00A8033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175</w:t>
            </w:r>
          </w:p>
        </w:tc>
        <w:tc>
          <w:tcPr>
            <w:tcW w:w="3827" w:type="dxa"/>
            <w:tcBorders>
              <w:top w:val="nil"/>
              <w:left w:val="nil"/>
              <w:bottom w:val="single" w:sz="4" w:space="0" w:color="auto"/>
              <w:right w:val="single" w:sz="4" w:space="0" w:color="auto"/>
            </w:tcBorders>
            <w:shd w:val="clear" w:color="auto" w:fill="C6EFCE"/>
            <w:noWrap/>
          </w:tcPr>
          <w:p w14:paraId="25FEF5BD" w14:textId="77777777" w:rsidR="00A8033B" w:rsidRPr="009674F2" w:rsidRDefault="00A8033B" w:rsidP="00A8033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C8R4 Интегриран обществен транспорт</w:t>
            </w:r>
          </w:p>
        </w:tc>
        <w:tc>
          <w:tcPr>
            <w:tcW w:w="1560" w:type="dxa"/>
            <w:tcBorders>
              <w:top w:val="nil"/>
              <w:left w:val="nil"/>
              <w:bottom w:val="single" w:sz="4" w:space="0" w:color="auto"/>
              <w:right w:val="single" w:sz="4" w:space="0" w:color="auto"/>
            </w:tcBorders>
            <w:shd w:val="clear" w:color="auto" w:fill="C6EFCE"/>
            <w:noWrap/>
          </w:tcPr>
          <w:p w14:paraId="41262AE0" w14:textId="77777777" w:rsidR="00A8033B" w:rsidRPr="009674F2" w:rsidRDefault="00A8033B" w:rsidP="00A8033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Ключов етап</w:t>
            </w:r>
          </w:p>
        </w:tc>
        <w:tc>
          <w:tcPr>
            <w:tcW w:w="3541" w:type="dxa"/>
            <w:tcBorders>
              <w:top w:val="nil"/>
              <w:left w:val="nil"/>
              <w:bottom w:val="single" w:sz="4" w:space="0" w:color="auto"/>
              <w:right w:val="single" w:sz="4" w:space="0" w:color="auto"/>
            </w:tcBorders>
            <w:shd w:val="clear" w:color="auto" w:fill="C6EFCE"/>
            <w:noWrap/>
          </w:tcPr>
          <w:p w14:paraId="7047BDB2" w14:textId="77777777" w:rsidR="00A8033B" w:rsidRPr="009674F2" w:rsidRDefault="00A8033B" w:rsidP="00A8033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 xml:space="preserve">Анализ на системата за обществен транспорт и преглед на нейната нормативна уредба </w:t>
            </w:r>
          </w:p>
        </w:tc>
      </w:tr>
      <w:tr w:rsidR="00A8033B" w:rsidRPr="005241FC" w14:paraId="60C6471D" w14:textId="77777777" w:rsidTr="7B697459">
        <w:trPr>
          <w:trHeight w:val="302"/>
          <w:jc w:val="center"/>
        </w:trPr>
        <w:tc>
          <w:tcPr>
            <w:tcW w:w="1274" w:type="dxa"/>
            <w:tcBorders>
              <w:top w:val="nil"/>
              <w:left w:val="single" w:sz="4" w:space="0" w:color="auto"/>
              <w:bottom w:val="single" w:sz="4" w:space="0" w:color="auto"/>
              <w:right w:val="single" w:sz="4" w:space="0" w:color="auto"/>
            </w:tcBorders>
            <w:shd w:val="clear" w:color="auto" w:fill="C6EFCE"/>
            <w:noWrap/>
          </w:tcPr>
          <w:p w14:paraId="7C892826" w14:textId="77777777" w:rsidR="00A8033B" w:rsidRPr="009674F2" w:rsidRDefault="00A8033B" w:rsidP="00A8033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178</w:t>
            </w:r>
          </w:p>
        </w:tc>
        <w:tc>
          <w:tcPr>
            <w:tcW w:w="3827" w:type="dxa"/>
            <w:tcBorders>
              <w:top w:val="nil"/>
              <w:left w:val="nil"/>
              <w:bottom w:val="single" w:sz="4" w:space="0" w:color="auto"/>
              <w:right w:val="single" w:sz="4" w:space="0" w:color="auto"/>
            </w:tcBorders>
            <w:shd w:val="clear" w:color="auto" w:fill="C6EFCE"/>
            <w:noWrap/>
          </w:tcPr>
          <w:p w14:paraId="34D64206" w14:textId="77777777" w:rsidR="00A8033B" w:rsidRPr="009674F2" w:rsidRDefault="00A8033B" w:rsidP="00A8033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C8R5 Електрическа мобилност</w:t>
            </w:r>
          </w:p>
        </w:tc>
        <w:tc>
          <w:tcPr>
            <w:tcW w:w="1560" w:type="dxa"/>
            <w:tcBorders>
              <w:top w:val="nil"/>
              <w:left w:val="nil"/>
              <w:bottom w:val="single" w:sz="4" w:space="0" w:color="auto"/>
              <w:right w:val="single" w:sz="4" w:space="0" w:color="auto"/>
            </w:tcBorders>
            <w:shd w:val="clear" w:color="auto" w:fill="C6EFCE"/>
            <w:noWrap/>
          </w:tcPr>
          <w:p w14:paraId="1AAFC2B7" w14:textId="77777777" w:rsidR="00A8033B" w:rsidRPr="009674F2" w:rsidRDefault="00A8033B" w:rsidP="00A8033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Ключов етап</w:t>
            </w:r>
          </w:p>
        </w:tc>
        <w:tc>
          <w:tcPr>
            <w:tcW w:w="3541" w:type="dxa"/>
            <w:tcBorders>
              <w:top w:val="nil"/>
              <w:left w:val="nil"/>
              <w:bottom w:val="single" w:sz="4" w:space="0" w:color="auto"/>
              <w:right w:val="single" w:sz="4" w:space="0" w:color="auto"/>
            </w:tcBorders>
            <w:shd w:val="clear" w:color="auto" w:fill="C6EFCE"/>
            <w:noWrap/>
          </w:tcPr>
          <w:p w14:paraId="63CD947C" w14:textId="77777777" w:rsidR="00A8033B" w:rsidRPr="009674F2" w:rsidRDefault="00A8033B" w:rsidP="00A8033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Закон за насърчаване на електрическата мобилност</w:t>
            </w:r>
          </w:p>
        </w:tc>
      </w:tr>
      <w:tr w:rsidR="00A8033B" w:rsidRPr="005241FC" w14:paraId="042E627A" w14:textId="77777777" w:rsidTr="7B697459">
        <w:trPr>
          <w:trHeight w:val="302"/>
          <w:jc w:val="center"/>
        </w:trPr>
        <w:tc>
          <w:tcPr>
            <w:tcW w:w="1274" w:type="dxa"/>
            <w:tcBorders>
              <w:top w:val="nil"/>
              <w:left w:val="single" w:sz="4" w:space="0" w:color="auto"/>
              <w:bottom w:val="single" w:sz="4" w:space="0" w:color="auto"/>
              <w:right w:val="single" w:sz="4" w:space="0" w:color="auto"/>
            </w:tcBorders>
            <w:shd w:val="clear" w:color="auto" w:fill="C6EFCE"/>
            <w:noWrap/>
            <w:hideMark/>
          </w:tcPr>
          <w:p w14:paraId="4C581A1E" w14:textId="77777777" w:rsidR="00A8033B" w:rsidRPr="009674F2" w:rsidRDefault="00A8033B" w:rsidP="00A8033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208</w:t>
            </w:r>
          </w:p>
        </w:tc>
        <w:tc>
          <w:tcPr>
            <w:tcW w:w="3827" w:type="dxa"/>
            <w:tcBorders>
              <w:top w:val="nil"/>
              <w:left w:val="nil"/>
              <w:bottom w:val="single" w:sz="4" w:space="0" w:color="auto"/>
              <w:right w:val="single" w:sz="4" w:space="0" w:color="auto"/>
            </w:tcBorders>
            <w:shd w:val="clear" w:color="auto" w:fill="C6EFCE"/>
            <w:noWrap/>
            <w:hideMark/>
          </w:tcPr>
          <w:p w14:paraId="6AEEC843" w14:textId="77777777" w:rsidR="00A8033B" w:rsidRPr="009674F2" w:rsidRDefault="00A8033B" w:rsidP="00A8033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C9R2 Продължаване на реформата във водния сектор</w:t>
            </w:r>
          </w:p>
        </w:tc>
        <w:tc>
          <w:tcPr>
            <w:tcW w:w="1560" w:type="dxa"/>
            <w:tcBorders>
              <w:top w:val="nil"/>
              <w:left w:val="nil"/>
              <w:bottom w:val="single" w:sz="4" w:space="0" w:color="auto"/>
              <w:right w:val="single" w:sz="4" w:space="0" w:color="auto"/>
            </w:tcBorders>
            <w:shd w:val="clear" w:color="auto" w:fill="C6EFCE"/>
            <w:noWrap/>
            <w:hideMark/>
          </w:tcPr>
          <w:p w14:paraId="6585AA99" w14:textId="77777777" w:rsidR="00A8033B" w:rsidRPr="009674F2" w:rsidRDefault="00A8033B" w:rsidP="00A8033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Ключов етап</w:t>
            </w:r>
          </w:p>
        </w:tc>
        <w:tc>
          <w:tcPr>
            <w:tcW w:w="3541" w:type="dxa"/>
            <w:tcBorders>
              <w:top w:val="nil"/>
              <w:left w:val="nil"/>
              <w:bottom w:val="single" w:sz="4" w:space="0" w:color="auto"/>
              <w:right w:val="single" w:sz="4" w:space="0" w:color="auto"/>
            </w:tcBorders>
            <w:shd w:val="clear" w:color="auto" w:fill="C6EFCE"/>
            <w:noWrap/>
            <w:hideMark/>
          </w:tcPr>
          <w:p w14:paraId="53EE9DF3" w14:textId="77777777" w:rsidR="00A8033B" w:rsidRPr="009674F2" w:rsidRDefault="00A8033B" w:rsidP="00A8033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Влизане в сила на новия Закон за водоснабдяване и канализация</w:t>
            </w:r>
          </w:p>
        </w:tc>
      </w:tr>
      <w:tr w:rsidR="00A8033B" w:rsidRPr="005241FC" w14:paraId="628A5669" w14:textId="77777777" w:rsidTr="7B697459">
        <w:trPr>
          <w:trHeight w:val="302"/>
          <w:jc w:val="center"/>
        </w:trPr>
        <w:tc>
          <w:tcPr>
            <w:tcW w:w="1274" w:type="dxa"/>
            <w:tcBorders>
              <w:top w:val="nil"/>
              <w:left w:val="single" w:sz="4" w:space="0" w:color="auto"/>
              <w:bottom w:val="single" w:sz="4" w:space="0" w:color="auto"/>
              <w:right w:val="single" w:sz="4" w:space="0" w:color="auto"/>
            </w:tcBorders>
            <w:shd w:val="clear" w:color="auto" w:fill="C6EFCE"/>
            <w:noWrap/>
            <w:hideMark/>
          </w:tcPr>
          <w:p w14:paraId="028484B7" w14:textId="77777777" w:rsidR="00A8033B" w:rsidRPr="009674F2" w:rsidRDefault="00A8033B" w:rsidP="00A8033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220</w:t>
            </w:r>
          </w:p>
        </w:tc>
        <w:tc>
          <w:tcPr>
            <w:tcW w:w="3827" w:type="dxa"/>
            <w:tcBorders>
              <w:top w:val="nil"/>
              <w:left w:val="nil"/>
              <w:bottom w:val="single" w:sz="4" w:space="0" w:color="auto"/>
              <w:right w:val="single" w:sz="4" w:space="0" w:color="auto"/>
            </w:tcBorders>
            <w:shd w:val="clear" w:color="auto" w:fill="C6EFCE"/>
            <w:noWrap/>
            <w:hideMark/>
          </w:tcPr>
          <w:p w14:paraId="30E42245" w14:textId="77777777" w:rsidR="00A8033B" w:rsidRPr="009674F2" w:rsidRDefault="00A8033B" w:rsidP="00A8033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C10R2 Противодействие на корупцията</w:t>
            </w:r>
          </w:p>
        </w:tc>
        <w:tc>
          <w:tcPr>
            <w:tcW w:w="1560" w:type="dxa"/>
            <w:tcBorders>
              <w:top w:val="nil"/>
              <w:left w:val="nil"/>
              <w:bottom w:val="single" w:sz="4" w:space="0" w:color="auto"/>
              <w:right w:val="single" w:sz="4" w:space="0" w:color="auto"/>
            </w:tcBorders>
            <w:shd w:val="clear" w:color="auto" w:fill="C6EFCE"/>
            <w:noWrap/>
            <w:hideMark/>
          </w:tcPr>
          <w:p w14:paraId="3B0376FA" w14:textId="77777777" w:rsidR="00A8033B" w:rsidRPr="009674F2" w:rsidRDefault="00A8033B" w:rsidP="00A8033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Ключов етап</w:t>
            </w:r>
          </w:p>
        </w:tc>
        <w:tc>
          <w:tcPr>
            <w:tcW w:w="3541" w:type="dxa"/>
            <w:tcBorders>
              <w:top w:val="nil"/>
              <w:left w:val="nil"/>
              <w:bottom w:val="single" w:sz="4" w:space="0" w:color="auto"/>
              <w:right w:val="single" w:sz="4" w:space="0" w:color="auto"/>
            </w:tcBorders>
            <w:shd w:val="clear" w:color="auto" w:fill="C6EFCE"/>
            <w:noWrap/>
            <w:hideMark/>
          </w:tcPr>
          <w:p w14:paraId="0EF8315C" w14:textId="77777777" w:rsidR="00A8033B" w:rsidRPr="009674F2" w:rsidRDefault="00A8033B" w:rsidP="00A8033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Създаване и започване на дейността на орган за борба с корупцията</w:t>
            </w:r>
          </w:p>
        </w:tc>
      </w:tr>
      <w:tr w:rsidR="00A8033B" w:rsidRPr="005241FC" w14:paraId="00B0EC50" w14:textId="77777777" w:rsidTr="7B697459">
        <w:trPr>
          <w:trHeight w:val="302"/>
          <w:jc w:val="center"/>
        </w:trPr>
        <w:tc>
          <w:tcPr>
            <w:tcW w:w="1274" w:type="dxa"/>
            <w:tcBorders>
              <w:top w:val="nil"/>
              <w:left w:val="single" w:sz="4" w:space="0" w:color="auto"/>
              <w:bottom w:val="single" w:sz="4" w:space="0" w:color="auto"/>
              <w:right w:val="single" w:sz="4" w:space="0" w:color="auto"/>
            </w:tcBorders>
            <w:shd w:val="clear" w:color="auto" w:fill="C6EFCE"/>
            <w:noWrap/>
          </w:tcPr>
          <w:p w14:paraId="7021D8A0" w14:textId="77777777" w:rsidR="00A8033B" w:rsidRPr="009674F2" w:rsidRDefault="00A8033B" w:rsidP="00A8033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222</w:t>
            </w:r>
          </w:p>
        </w:tc>
        <w:tc>
          <w:tcPr>
            <w:tcW w:w="3827" w:type="dxa"/>
            <w:tcBorders>
              <w:top w:val="nil"/>
              <w:left w:val="nil"/>
              <w:bottom w:val="single" w:sz="4" w:space="0" w:color="auto"/>
              <w:right w:val="single" w:sz="4" w:space="0" w:color="auto"/>
            </w:tcBorders>
            <w:shd w:val="clear" w:color="auto" w:fill="C6EFCE"/>
            <w:noWrap/>
          </w:tcPr>
          <w:p w14:paraId="5D807433" w14:textId="77777777" w:rsidR="00A8033B" w:rsidRPr="009674F2" w:rsidRDefault="00A8033B" w:rsidP="00A8033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C10R2 Противодействие на корупцията</w:t>
            </w:r>
          </w:p>
        </w:tc>
        <w:tc>
          <w:tcPr>
            <w:tcW w:w="1560" w:type="dxa"/>
            <w:tcBorders>
              <w:top w:val="nil"/>
              <w:left w:val="nil"/>
              <w:bottom w:val="single" w:sz="4" w:space="0" w:color="auto"/>
              <w:right w:val="single" w:sz="4" w:space="0" w:color="auto"/>
            </w:tcBorders>
            <w:shd w:val="clear" w:color="auto" w:fill="C6EFCE"/>
            <w:noWrap/>
          </w:tcPr>
          <w:p w14:paraId="23F6AEF5" w14:textId="77777777" w:rsidR="00A8033B" w:rsidRPr="009674F2" w:rsidRDefault="00A8033B" w:rsidP="00A8033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Ключов етап</w:t>
            </w:r>
          </w:p>
        </w:tc>
        <w:tc>
          <w:tcPr>
            <w:tcW w:w="3541" w:type="dxa"/>
            <w:tcBorders>
              <w:top w:val="nil"/>
              <w:left w:val="nil"/>
              <w:bottom w:val="single" w:sz="4" w:space="0" w:color="auto"/>
              <w:right w:val="single" w:sz="4" w:space="0" w:color="auto"/>
            </w:tcBorders>
            <w:shd w:val="clear" w:color="auto" w:fill="C6EFCE"/>
            <w:noWrap/>
          </w:tcPr>
          <w:p w14:paraId="49A2AC18" w14:textId="77777777" w:rsidR="00A8033B" w:rsidRPr="009674F2" w:rsidRDefault="00A8033B" w:rsidP="00A8033B">
            <w:pPr>
              <w:spacing w:after="0" w:line="240" w:lineRule="auto"/>
              <w:rPr>
                <w:rFonts w:ascii="Times New Roman" w:eastAsia="Times New Roman" w:hAnsi="Times New Roman" w:cs="Times New Roman"/>
                <w:noProof/>
                <w:color w:val="006100"/>
              </w:rPr>
            </w:pPr>
            <w:r>
              <w:rPr>
                <w:rFonts w:ascii="Times New Roman" w:hAnsi="Times New Roman"/>
                <w:noProof/>
                <w:color w:val="006100"/>
              </w:rPr>
              <w:t>Влизане в сила на законодателните изменения за гарантиране на ефективността на наказателното производство и подобряване на отчетността и наказателната отговорност на главния прокурор</w:t>
            </w:r>
          </w:p>
        </w:tc>
      </w:tr>
      <w:tr w:rsidR="00A8033B" w:rsidRPr="005241FC" w14:paraId="07C70A7C" w14:textId="77777777" w:rsidTr="7B697459">
        <w:trPr>
          <w:trHeight w:val="302"/>
          <w:jc w:val="center"/>
        </w:trPr>
        <w:tc>
          <w:tcPr>
            <w:tcW w:w="1274" w:type="dxa"/>
            <w:tcBorders>
              <w:top w:val="nil"/>
              <w:left w:val="single" w:sz="4" w:space="0" w:color="auto"/>
              <w:bottom w:val="single" w:sz="4" w:space="0" w:color="auto"/>
              <w:right w:val="single" w:sz="4" w:space="0" w:color="auto"/>
            </w:tcBorders>
            <w:shd w:val="clear" w:color="auto" w:fill="C6EFCE"/>
            <w:noWrap/>
          </w:tcPr>
          <w:p w14:paraId="1E667981" w14:textId="77777777" w:rsidR="00A8033B" w:rsidRPr="009674F2" w:rsidRDefault="00A8033B" w:rsidP="00A8033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229</w:t>
            </w:r>
          </w:p>
        </w:tc>
        <w:tc>
          <w:tcPr>
            <w:tcW w:w="3827" w:type="dxa"/>
            <w:tcBorders>
              <w:top w:val="nil"/>
              <w:left w:val="nil"/>
              <w:bottom w:val="single" w:sz="4" w:space="0" w:color="auto"/>
              <w:right w:val="single" w:sz="4" w:space="0" w:color="auto"/>
            </w:tcBorders>
            <w:shd w:val="clear" w:color="auto" w:fill="C6EFCE"/>
            <w:noWrap/>
            <w:vAlign w:val="bottom"/>
          </w:tcPr>
          <w:p w14:paraId="5C50056E" w14:textId="77777777" w:rsidR="00A8033B" w:rsidRPr="009674F2" w:rsidRDefault="00A8033B" w:rsidP="00A8033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 xml:space="preserve">C10R4 Укрепване на производствата по несъстоятелност </w:t>
            </w:r>
          </w:p>
        </w:tc>
        <w:tc>
          <w:tcPr>
            <w:tcW w:w="1560" w:type="dxa"/>
            <w:tcBorders>
              <w:top w:val="nil"/>
              <w:left w:val="nil"/>
              <w:bottom w:val="single" w:sz="4" w:space="0" w:color="auto"/>
              <w:right w:val="single" w:sz="4" w:space="0" w:color="auto"/>
            </w:tcBorders>
            <w:shd w:val="clear" w:color="auto" w:fill="C6EFCE"/>
            <w:noWrap/>
            <w:vAlign w:val="bottom"/>
          </w:tcPr>
          <w:p w14:paraId="04ED41D1" w14:textId="77777777" w:rsidR="00A8033B" w:rsidRPr="009674F2" w:rsidRDefault="00A8033B" w:rsidP="00A8033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Ключов етап</w:t>
            </w:r>
          </w:p>
        </w:tc>
        <w:tc>
          <w:tcPr>
            <w:tcW w:w="3541" w:type="dxa"/>
            <w:tcBorders>
              <w:top w:val="nil"/>
              <w:left w:val="nil"/>
              <w:bottom w:val="single" w:sz="4" w:space="0" w:color="auto"/>
              <w:right w:val="single" w:sz="4" w:space="0" w:color="auto"/>
            </w:tcBorders>
            <w:shd w:val="clear" w:color="auto" w:fill="C6EFCE"/>
            <w:noWrap/>
            <w:vAlign w:val="bottom"/>
          </w:tcPr>
          <w:p w14:paraId="1D02997D" w14:textId="609770F6" w:rsidR="00A8033B" w:rsidRPr="009674F2" w:rsidRDefault="00A8033B" w:rsidP="00A8033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 xml:space="preserve">Мерки за изпълнение на реформата на нормативната уредба на несъстоятелността </w:t>
            </w:r>
          </w:p>
        </w:tc>
      </w:tr>
      <w:tr w:rsidR="00A8033B" w:rsidRPr="005241FC" w14:paraId="5CC83735" w14:textId="77777777" w:rsidTr="7B697459">
        <w:trPr>
          <w:trHeight w:val="302"/>
          <w:jc w:val="center"/>
        </w:trPr>
        <w:tc>
          <w:tcPr>
            <w:tcW w:w="1274" w:type="dxa"/>
            <w:tcBorders>
              <w:top w:val="nil"/>
              <w:left w:val="single" w:sz="4" w:space="0" w:color="auto"/>
              <w:bottom w:val="single" w:sz="4" w:space="0" w:color="auto"/>
              <w:right w:val="single" w:sz="4" w:space="0" w:color="auto"/>
            </w:tcBorders>
            <w:shd w:val="clear" w:color="auto" w:fill="C6EFCE"/>
            <w:noWrap/>
          </w:tcPr>
          <w:p w14:paraId="79E9E1C1" w14:textId="77777777" w:rsidR="00A8033B" w:rsidRPr="009674F2" w:rsidRDefault="00A8033B" w:rsidP="00A8033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230</w:t>
            </w:r>
          </w:p>
        </w:tc>
        <w:tc>
          <w:tcPr>
            <w:tcW w:w="3827" w:type="dxa"/>
            <w:tcBorders>
              <w:top w:val="nil"/>
              <w:left w:val="nil"/>
              <w:bottom w:val="single" w:sz="4" w:space="0" w:color="auto"/>
              <w:right w:val="single" w:sz="4" w:space="0" w:color="auto"/>
            </w:tcBorders>
            <w:shd w:val="clear" w:color="auto" w:fill="C6EFCE"/>
            <w:noWrap/>
            <w:vAlign w:val="bottom"/>
          </w:tcPr>
          <w:p w14:paraId="1C86977C" w14:textId="77777777" w:rsidR="00A8033B" w:rsidRPr="009674F2" w:rsidRDefault="00A8033B" w:rsidP="00A8033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C10R5 Цифрова реформа на българския строителен сектор</w:t>
            </w:r>
          </w:p>
        </w:tc>
        <w:tc>
          <w:tcPr>
            <w:tcW w:w="1560" w:type="dxa"/>
            <w:tcBorders>
              <w:top w:val="nil"/>
              <w:left w:val="nil"/>
              <w:bottom w:val="single" w:sz="4" w:space="0" w:color="auto"/>
              <w:right w:val="single" w:sz="4" w:space="0" w:color="auto"/>
            </w:tcBorders>
            <w:shd w:val="clear" w:color="auto" w:fill="C6EFCE"/>
            <w:noWrap/>
            <w:vAlign w:val="bottom"/>
          </w:tcPr>
          <w:p w14:paraId="726E38F3" w14:textId="77777777" w:rsidR="00A8033B" w:rsidRPr="009674F2" w:rsidRDefault="00A8033B" w:rsidP="00A8033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Ключов етап</w:t>
            </w:r>
          </w:p>
        </w:tc>
        <w:tc>
          <w:tcPr>
            <w:tcW w:w="3541" w:type="dxa"/>
            <w:tcBorders>
              <w:top w:val="nil"/>
              <w:left w:val="nil"/>
              <w:bottom w:val="single" w:sz="4" w:space="0" w:color="auto"/>
              <w:right w:val="single" w:sz="4" w:space="0" w:color="auto"/>
            </w:tcBorders>
            <w:shd w:val="clear" w:color="auto" w:fill="C6EFCE"/>
            <w:noWrap/>
            <w:vAlign w:val="bottom"/>
          </w:tcPr>
          <w:p w14:paraId="098BB85E" w14:textId="77777777" w:rsidR="00A8033B" w:rsidRPr="009674F2" w:rsidRDefault="00A8033B" w:rsidP="00A8033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Стратегия и пътна карта за въвеждането на строително информационно моделиране (СИМ)</w:t>
            </w:r>
          </w:p>
          <w:p w14:paraId="502CABD0" w14:textId="77777777" w:rsidR="00A8033B" w:rsidRPr="009674F2" w:rsidRDefault="00A8033B" w:rsidP="00A8033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 xml:space="preserve">при проектирането, изпълнението и поддръжката на строителни работи </w:t>
            </w:r>
          </w:p>
        </w:tc>
      </w:tr>
      <w:tr w:rsidR="00A8033B" w:rsidRPr="005241FC" w14:paraId="12C842A1" w14:textId="77777777" w:rsidTr="7B697459">
        <w:trPr>
          <w:trHeight w:val="302"/>
          <w:jc w:val="center"/>
        </w:trPr>
        <w:tc>
          <w:tcPr>
            <w:tcW w:w="1274" w:type="dxa"/>
            <w:tcBorders>
              <w:top w:val="nil"/>
              <w:left w:val="single" w:sz="4" w:space="0" w:color="auto"/>
              <w:bottom w:val="single" w:sz="4" w:space="0" w:color="auto"/>
              <w:right w:val="single" w:sz="4" w:space="0" w:color="auto"/>
            </w:tcBorders>
            <w:shd w:val="clear" w:color="auto" w:fill="C6EFCE"/>
            <w:noWrap/>
          </w:tcPr>
          <w:p w14:paraId="03CDAD14" w14:textId="77777777" w:rsidR="00A8033B" w:rsidRPr="009674F2" w:rsidRDefault="00A8033B" w:rsidP="00A8033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236</w:t>
            </w:r>
          </w:p>
        </w:tc>
        <w:tc>
          <w:tcPr>
            <w:tcW w:w="3827" w:type="dxa"/>
            <w:tcBorders>
              <w:top w:val="nil"/>
              <w:left w:val="nil"/>
              <w:bottom w:val="single" w:sz="4" w:space="0" w:color="auto"/>
              <w:right w:val="single" w:sz="4" w:space="0" w:color="auto"/>
            </w:tcBorders>
            <w:shd w:val="clear" w:color="auto" w:fill="C6EFCE"/>
            <w:noWrap/>
          </w:tcPr>
          <w:p w14:paraId="04757E8F" w14:textId="77777777" w:rsidR="00A8033B" w:rsidRPr="009674F2" w:rsidRDefault="00A8033B" w:rsidP="00A8033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закони C10R7 Подобряване на рамката за управление на държавните предприятия</w:t>
            </w:r>
          </w:p>
        </w:tc>
        <w:tc>
          <w:tcPr>
            <w:tcW w:w="1560" w:type="dxa"/>
            <w:tcBorders>
              <w:top w:val="nil"/>
              <w:left w:val="nil"/>
              <w:bottom w:val="single" w:sz="4" w:space="0" w:color="auto"/>
              <w:right w:val="single" w:sz="4" w:space="0" w:color="auto"/>
            </w:tcBorders>
            <w:shd w:val="clear" w:color="auto" w:fill="C6EFCE"/>
            <w:noWrap/>
          </w:tcPr>
          <w:p w14:paraId="2A84E075" w14:textId="77777777" w:rsidR="00A8033B" w:rsidRPr="009674F2" w:rsidRDefault="00A8033B" w:rsidP="00A8033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Ключов етап</w:t>
            </w:r>
          </w:p>
        </w:tc>
        <w:tc>
          <w:tcPr>
            <w:tcW w:w="3541" w:type="dxa"/>
            <w:tcBorders>
              <w:top w:val="nil"/>
              <w:left w:val="nil"/>
              <w:bottom w:val="single" w:sz="4" w:space="0" w:color="auto"/>
              <w:right w:val="single" w:sz="4" w:space="0" w:color="auto"/>
            </w:tcBorders>
            <w:shd w:val="clear" w:color="auto" w:fill="C6EFCE"/>
            <w:noWrap/>
          </w:tcPr>
          <w:p w14:paraId="46A3BE4C" w14:textId="77777777" w:rsidR="00A8033B" w:rsidRPr="009674F2" w:rsidRDefault="00A8033B" w:rsidP="00A8033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Приемане на програма за преобразуване на държавните предприятия, създадени със специални</w:t>
            </w:r>
          </w:p>
        </w:tc>
      </w:tr>
      <w:tr w:rsidR="00A8033B" w:rsidRPr="005241FC" w14:paraId="410FFA80" w14:textId="77777777" w:rsidTr="7B697459">
        <w:trPr>
          <w:trHeight w:val="302"/>
          <w:jc w:val="center"/>
        </w:trPr>
        <w:tc>
          <w:tcPr>
            <w:tcW w:w="1274" w:type="dxa"/>
            <w:tcBorders>
              <w:top w:val="nil"/>
              <w:left w:val="single" w:sz="4" w:space="0" w:color="auto"/>
              <w:bottom w:val="single" w:sz="4" w:space="0" w:color="auto"/>
              <w:right w:val="single" w:sz="4" w:space="0" w:color="auto"/>
            </w:tcBorders>
            <w:shd w:val="clear" w:color="auto" w:fill="C6EFCE"/>
            <w:noWrap/>
          </w:tcPr>
          <w:p w14:paraId="27B0C5E0" w14:textId="77777777" w:rsidR="00A8033B" w:rsidRPr="009674F2" w:rsidRDefault="00A8033B" w:rsidP="00A8033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237</w:t>
            </w:r>
          </w:p>
        </w:tc>
        <w:tc>
          <w:tcPr>
            <w:tcW w:w="3827" w:type="dxa"/>
            <w:tcBorders>
              <w:top w:val="nil"/>
              <w:left w:val="nil"/>
              <w:bottom w:val="single" w:sz="4" w:space="0" w:color="auto"/>
              <w:right w:val="single" w:sz="4" w:space="0" w:color="auto"/>
            </w:tcBorders>
            <w:shd w:val="clear" w:color="auto" w:fill="C6EFCE"/>
            <w:noWrap/>
          </w:tcPr>
          <w:p w14:paraId="43A3DC5F" w14:textId="77777777" w:rsidR="00A8033B" w:rsidRPr="009674F2" w:rsidRDefault="00A8033B" w:rsidP="00A8033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закони C10R7 Подобряване на рамката за управление на държавните предприятия</w:t>
            </w:r>
          </w:p>
        </w:tc>
        <w:tc>
          <w:tcPr>
            <w:tcW w:w="1560" w:type="dxa"/>
            <w:tcBorders>
              <w:top w:val="nil"/>
              <w:left w:val="nil"/>
              <w:bottom w:val="single" w:sz="4" w:space="0" w:color="auto"/>
              <w:right w:val="single" w:sz="4" w:space="0" w:color="auto"/>
            </w:tcBorders>
            <w:shd w:val="clear" w:color="auto" w:fill="C6EFCE"/>
            <w:noWrap/>
          </w:tcPr>
          <w:p w14:paraId="0049F29F" w14:textId="77777777" w:rsidR="00A8033B" w:rsidRPr="009674F2" w:rsidRDefault="00A8033B" w:rsidP="00A8033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Ключов етап</w:t>
            </w:r>
          </w:p>
        </w:tc>
        <w:tc>
          <w:tcPr>
            <w:tcW w:w="3541" w:type="dxa"/>
            <w:tcBorders>
              <w:top w:val="nil"/>
              <w:left w:val="nil"/>
              <w:bottom w:val="single" w:sz="4" w:space="0" w:color="auto"/>
              <w:right w:val="single" w:sz="4" w:space="0" w:color="auto"/>
            </w:tcBorders>
            <w:shd w:val="clear" w:color="auto" w:fill="C6EFCE"/>
            <w:noWrap/>
          </w:tcPr>
          <w:p w14:paraId="2FED6387" w14:textId="77777777" w:rsidR="00A8033B" w:rsidRPr="009674F2" w:rsidRDefault="00A8033B" w:rsidP="00A8033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Съответствие на състава на управителните съвети на големите държавни предприятия с процедурите за подбор, определени в Закона за публичните предприятия</w:t>
            </w:r>
          </w:p>
        </w:tc>
      </w:tr>
      <w:tr w:rsidR="00A8033B" w:rsidRPr="005241FC" w14:paraId="3381D1C9" w14:textId="77777777" w:rsidTr="7B697459">
        <w:trPr>
          <w:trHeight w:val="302"/>
          <w:jc w:val="center"/>
        </w:trPr>
        <w:tc>
          <w:tcPr>
            <w:tcW w:w="1274" w:type="dxa"/>
            <w:tcBorders>
              <w:top w:val="nil"/>
              <w:left w:val="single" w:sz="4" w:space="0" w:color="auto"/>
              <w:bottom w:val="single" w:sz="4" w:space="0" w:color="auto"/>
              <w:right w:val="single" w:sz="4" w:space="0" w:color="auto"/>
            </w:tcBorders>
            <w:shd w:val="clear" w:color="auto" w:fill="C6EFCE"/>
            <w:noWrap/>
          </w:tcPr>
          <w:p w14:paraId="1D09DB2A" w14:textId="77777777" w:rsidR="00A8033B" w:rsidRPr="009674F2" w:rsidRDefault="00A8033B" w:rsidP="00A8033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240</w:t>
            </w:r>
          </w:p>
        </w:tc>
        <w:tc>
          <w:tcPr>
            <w:tcW w:w="3827" w:type="dxa"/>
            <w:tcBorders>
              <w:top w:val="nil"/>
              <w:left w:val="nil"/>
              <w:bottom w:val="single" w:sz="4" w:space="0" w:color="auto"/>
              <w:right w:val="single" w:sz="4" w:space="0" w:color="auto"/>
            </w:tcBorders>
            <w:shd w:val="clear" w:color="auto" w:fill="C6EFCE"/>
            <w:noWrap/>
          </w:tcPr>
          <w:p w14:paraId="1E29ABDB" w14:textId="77777777" w:rsidR="00A8033B" w:rsidRPr="009674F2" w:rsidRDefault="00A8033B" w:rsidP="00A8033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 xml:space="preserve">C10R8 Подобряване на рамката за борба с изпирането на пари </w:t>
            </w:r>
          </w:p>
        </w:tc>
        <w:tc>
          <w:tcPr>
            <w:tcW w:w="1560" w:type="dxa"/>
            <w:tcBorders>
              <w:top w:val="nil"/>
              <w:left w:val="nil"/>
              <w:bottom w:val="single" w:sz="4" w:space="0" w:color="auto"/>
              <w:right w:val="single" w:sz="4" w:space="0" w:color="auto"/>
            </w:tcBorders>
            <w:shd w:val="clear" w:color="auto" w:fill="C6EFCE"/>
            <w:noWrap/>
          </w:tcPr>
          <w:p w14:paraId="3FB2C2FB" w14:textId="77777777" w:rsidR="00A8033B" w:rsidRPr="009674F2" w:rsidRDefault="00A8033B" w:rsidP="00A8033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Ключов етап</w:t>
            </w:r>
          </w:p>
        </w:tc>
        <w:tc>
          <w:tcPr>
            <w:tcW w:w="3541" w:type="dxa"/>
            <w:tcBorders>
              <w:top w:val="nil"/>
              <w:left w:val="nil"/>
              <w:bottom w:val="single" w:sz="4" w:space="0" w:color="auto"/>
              <w:right w:val="single" w:sz="4" w:space="0" w:color="auto"/>
            </w:tcBorders>
            <w:shd w:val="clear" w:color="auto" w:fill="C6EFCE"/>
            <w:noWrap/>
          </w:tcPr>
          <w:p w14:paraId="47EEE988" w14:textId="77777777" w:rsidR="00A8033B" w:rsidRPr="009674F2" w:rsidRDefault="00A8033B" w:rsidP="00A8033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 xml:space="preserve">Повишаване на капацитета и способностите на надзорните органи да намаляват рисковете от изпиране на пари и да подобряват прилагането на рамката за борба с изпирането на пари от страна на задължените субекти </w:t>
            </w:r>
          </w:p>
        </w:tc>
      </w:tr>
      <w:tr w:rsidR="00A8033B" w:rsidRPr="005241FC" w14:paraId="42006263" w14:textId="77777777" w:rsidTr="7B697459">
        <w:trPr>
          <w:trHeight w:val="302"/>
          <w:jc w:val="center"/>
        </w:trPr>
        <w:tc>
          <w:tcPr>
            <w:tcW w:w="1274" w:type="dxa"/>
            <w:tcBorders>
              <w:top w:val="nil"/>
              <w:left w:val="single" w:sz="4" w:space="0" w:color="auto"/>
              <w:bottom w:val="single" w:sz="4" w:space="0" w:color="auto"/>
              <w:right w:val="single" w:sz="4" w:space="0" w:color="auto"/>
            </w:tcBorders>
            <w:shd w:val="clear" w:color="auto" w:fill="C6EFCE"/>
            <w:noWrap/>
          </w:tcPr>
          <w:p w14:paraId="1659DB85" w14:textId="77777777" w:rsidR="00A8033B" w:rsidRPr="009674F2" w:rsidRDefault="00A8033B" w:rsidP="00A8033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259</w:t>
            </w:r>
          </w:p>
        </w:tc>
        <w:tc>
          <w:tcPr>
            <w:tcW w:w="3827" w:type="dxa"/>
            <w:tcBorders>
              <w:top w:val="nil"/>
              <w:left w:val="nil"/>
              <w:bottom w:val="single" w:sz="4" w:space="0" w:color="auto"/>
              <w:right w:val="single" w:sz="4" w:space="0" w:color="auto"/>
            </w:tcBorders>
            <w:shd w:val="clear" w:color="auto" w:fill="C6EFCE"/>
            <w:noWrap/>
          </w:tcPr>
          <w:p w14:paraId="10474C72" w14:textId="77777777" w:rsidR="00A8033B" w:rsidRPr="009674F2" w:rsidRDefault="00A8033B" w:rsidP="00A8033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C10I2 Цифровизация на ключови съдопроизводствени процеси в системата на административното правораздаване</w:t>
            </w:r>
          </w:p>
        </w:tc>
        <w:tc>
          <w:tcPr>
            <w:tcW w:w="1560" w:type="dxa"/>
            <w:tcBorders>
              <w:top w:val="nil"/>
              <w:left w:val="nil"/>
              <w:bottom w:val="single" w:sz="4" w:space="0" w:color="auto"/>
              <w:right w:val="single" w:sz="4" w:space="0" w:color="auto"/>
            </w:tcBorders>
            <w:shd w:val="clear" w:color="auto" w:fill="C6EFCE"/>
            <w:noWrap/>
          </w:tcPr>
          <w:p w14:paraId="1A4C5DB3" w14:textId="77777777" w:rsidR="00A8033B" w:rsidRPr="009674F2" w:rsidRDefault="00A8033B" w:rsidP="00A8033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Цел</w:t>
            </w:r>
          </w:p>
        </w:tc>
        <w:tc>
          <w:tcPr>
            <w:tcW w:w="3541" w:type="dxa"/>
            <w:tcBorders>
              <w:top w:val="nil"/>
              <w:left w:val="nil"/>
              <w:bottom w:val="single" w:sz="4" w:space="0" w:color="auto"/>
              <w:right w:val="single" w:sz="4" w:space="0" w:color="auto"/>
            </w:tcBorders>
            <w:shd w:val="clear" w:color="auto" w:fill="C6EFCE"/>
            <w:noWrap/>
          </w:tcPr>
          <w:p w14:paraId="7EB35CE9" w14:textId="77777777" w:rsidR="00A8033B" w:rsidRPr="009674F2" w:rsidRDefault="00A8033B" w:rsidP="00A8033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Въвеждане на система за електронно призоваване и уведомяване</w:t>
            </w:r>
          </w:p>
        </w:tc>
      </w:tr>
      <w:tr w:rsidR="00A8033B" w:rsidRPr="005241FC" w14:paraId="6C16CEDC" w14:textId="77777777" w:rsidTr="7B697459">
        <w:trPr>
          <w:trHeight w:val="302"/>
          <w:jc w:val="center"/>
        </w:trPr>
        <w:tc>
          <w:tcPr>
            <w:tcW w:w="1274" w:type="dxa"/>
            <w:tcBorders>
              <w:top w:val="nil"/>
              <w:left w:val="single" w:sz="4" w:space="0" w:color="auto"/>
              <w:bottom w:val="single" w:sz="4" w:space="0" w:color="auto"/>
              <w:right w:val="single" w:sz="4" w:space="0" w:color="auto"/>
            </w:tcBorders>
            <w:shd w:val="clear" w:color="auto" w:fill="C6EFCE"/>
            <w:noWrap/>
          </w:tcPr>
          <w:p w14:paraId="23CB40AA" w14:textId="77777777" w:rsidR="00A8033B" w:rsidRPr="009674F2" w:rsidRDefault="00A8033B" w:rsidP="00A8033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264</w:t>
            </w:r>
          </w:p>
        </w:tc>
        <w:tc>
          <w:tcPr>
            <w:tcW w:w="3827" w:type="dxa"/>
            <w:tcBorders>
              <w:top w:val="nil"/>
              <w:left w:val="nil"/>
              <w:bottom w:val="single" w:sz="4" w:space="0" w:color="auto"/>
              <w:right w:val="single" w:sz="4" w:space="0" w:color="auto"/>
            </w:tcBorders>
            <w:shd w:val="clear" w:color="auto" w:fill="C6EFCE"/>
            <w:noWrap/>
          </w:tcPr>
          <w:p w14:paraId="477C8549" w14:textId="77777777" w:rsidR="00A8033B" w:rsidRPr="009674F2" w:rsidRDefault="00A8033B" w:rsidP="00A8033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C10I4 Подобряване на качеството и устойчивостта на политиките в сферата на сигурността</w:t>
            </w:r>
          </w:p>
        </w:tc>
        <w:tc>
          <w:tcPr>
            <w:tcW w:w="1560" w:type="dxa"/>
            <w:tcBorders>
              <w:top w:val="nil"/>
              <w:left w:val="nil"/>
              <w:bottom w:val="single" w:sz="4" w:space="0" w:color="auto"/>
              <w:right w:val="single" w:sz="4" w:space="0" w:color="auto"/>
            </w:tcBorders>
            <w:shd w:val="clear" w:color="auto" w:fill="C6EFCE"/>
            <w:noWrap/>
          </w:tcPr>
          <w:p w14:paraId="0F121EF5" w14:textId="77777777" w:rsidR="00A8033B" w:rsidRPr="009674F2" w:rsidRDefault="00A8033B" w:rsidP="00A8033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Цел</w:t>
            </w:r>
          </w:p>
        </w:tc>
        <w:tc>
          <w:tcPr>
            <w:tcW w:w="3541" w:type="dxa"/>
            <w:tcBorders>
              <w:top w:val="nil"/>
              <w:left w:val="nil"/>
              <w:bottom w:val="single" w:sz="4" w:space="0" w:color="auto"/>
              <w:right w:val="single" w:sz="4" w:space="0" w:color="auto"/>
            </w:tcBorders>
            <w:shd w:val="clear" w:color="auto" w:fill="C6EFCE"/>
            <w:noWrap/>
          </w:tcPr>
          <w:p w14:paraId="453A63E3" w14:textId="77777777" w:rsidR="00A8033B" w:rsidRPr="009674F2" w:rsidRDefault="00A8033B" w:rsidP="00A8033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Интелигентни системи за видеонаблюдение, инсталирани и функциониращи в обекти на градската инфраструктура</w:t>
            </w:r>
          </w:p>
        </w:tc>
      </w:tr>
      <w:tr w:rsidR="00A8033B" w:rsidRPr="005241FC" w14:paraId="29CE3C43" w14:textId="77777777" w:rsidTr="7B697459">
        <w:trPr>
          <w:trHeight w:val="302"/>
          <w:jc w:val="center"/>
        </w:trPr>
        <w:tc>
          <w:tcPr>
            <w:tcW w:w="1274" w:type="dxa"/>
            <w:tcBorders>
              <w:top w:val="nil"/>
              <w:left w:val="single" w:sz="4" w:space="0" w:color="auto"/>
              <w:bottom w:val="single" w:sz="4" w:space="0" w:color="auto"/>
              <w:right w:val="single" w:sz="4" w:space="0" w:color="auto"/>
            </w:tcBorders>
            <w:shd w:val="clear" w:color="auto" w:fill="C6EFCE"/>
            <w:noWrap/>
          </w:tcPr>
          <w:p w14:paraId="420AAE21" w14:textId="77777777" w:rsidR="00A8033B" w:rsidRPr="009674F2" w:rsidRDefault="00A8033B" w:rsidP="00A8033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284</w:t>
            </w:r>
          </w:p>
        </w:tc>
        <w:tc>
          <w:tcPr>
            <w:tcW w:w="3827" w:type="dxa"/>
            <w:tcBorders>
              <w:top w:val="nil"/>
              <w:left w:val="nil"/>
              <w:bottom w:val="single" w:sz="4" w:space="0" w:color="auto"/>
              <w:right w:val="single" w:sz="4" w:space="0" w:color="auto"/>
            </w:tcBorders>
            <w:shd w:val="clear" w:color="auto" w:fill="C6EFCE"/>
            <w:noWrap/>
          </w:tcPr>
          <w:p w14:paraId="2EC70A85" w14:textId="77777777" w:rsidR="00A8033B" w:rsidRPr="009674F2" w:rsidRDefault="00A8033B" w:rsidP="00A8033B">
            <w:pPr>
              <w:spacing w:after="0" w:line="240" w:lineRule="auto"/>
              <w:jc w:val="both"/>
              <w:rPr>
                <w:rFonts w:ascii="Times New Roman" w:eastAsia="Times New Roman" w:hAnsi="Times New Roman" w:cs="Times New Roman"/>
                <w:noProof/>
                <w:color w:val="006100"/>
                <w:highlight w:val="yellow"/>
              </w:rPr>
            </w:pPr>
            <w:r>
              <w:rPr>
                <w:rFonts w:ascii="Times New Roman" w:hAnsi="Times New Roman"/>
                <w:noProof/>
                <w:color w:val="006100"/>
              </w:rPr>
              <w:t>C10I11 Осигуряване на адекватна информационна и административна среда за изпълнение на Плана за възстановяване и устойчивост</w:t>
            </w:r>
          </w:p>
        </w:tc>
        <w:tc>
          <w:tcPr>
            <w:tcW w:w="1560" w:type="dxa"/>
            <w:tcBorders>
              <w:top w:val="nil"/>
              <w:left w:val="nil"/>
              <w:bottom w:val="single" w:sz="4" w:space="0" w:color="auto"/>
              <w:right w:val="single" w:sz="4" w:space="0" w:color="auto"/>
            </w:tcBorders>
            <w:shd w:val="clear" w:color="auto" w:fill="C6EFCE"/>
            <w:noWrap/>
          </w:tcPr>
          <w:p w14:paraId="24EB64B0" w14:textId="77777777" w:rsidR="00A8033B" w:rsidRPr="009674F2" w:rsidRDefault="00A8033B" w:rsidP="00A8033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Цел</w:t>
            </w:r>
          </w:p>
        </w:tc>
        <w:tc>
          <w:tcPr>
            <w:tcW w:w="3541" w:type="dxa"/>
            <w:tcBorders>
              <w:top w:val="nil"/>
              <w:left w:val="nil"/>
              <w:bottom w:val="single" w:sz="4" w:space="0" w:color="auto"/>
              <w:right w:val="single" w:sz="4" w:space="0" w:color="auto"/>
            </w:tcBorders>
            <w:shd w:val="clear" w:color="auto" w:fill="C6EFCE"/>
            <w:noWrap/>
          </w:tcPr>
          <w:p w14:paraId="75827BA4" w14:textId="77777777" w:rsidR="00A8033B" w:rsidRPr="009674F2" w:rsidRDefault="00A8033B" w:rsidP="00A8033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Актуализиране на видеонаръчниците, за да се обхванат изцяло всички работни процеси на информационната система за възстановяване и устойчивост</w:t>
            </w:r>
          </w:p>
        </w:tc>
      </w:tr>
      <w:tr w:rsidR="00A8033B" w:rsidRPr="005241FC" w14:paraId="1B89EB4E" w14:textId="77777777" w:rsidTr="7B697459">
        <w:trPr>
          <w:trHeight w:val="302"/>
          <w:jc w:val="center"/>
        </w:trPr>
        <w:tc>
          <w:tcPr>
            <w:tcW w:w="1274" w:type="dxa"/>
            <w:tcBorders>
              <w:top w:val="nil"/>
              <w:left w:val="single" w:sz="4" w:space="0" w:color="auto"/>
              <w:bottom w:val="single" w:sz="4" w:space="0" w:color="auto"/>
              <w:right w:val="single" w:sz="4" w:space="0" w:color="auto"/>
            </w:tcBorders>
            <w:shd w:val="clear" w:color="auto" w:fill="C6EFCE"/>
            <w:noWrap/>
          </w:tcPr>
          <w:p w14:paraId="67EAAF94" w14:textId="77777777" w:rsidR="00A8033B" w:rsidRPr="009674F2" w:rsidRDefault="00A8033B" w:rsidP="00A8033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320</w:t>
            </w:r>
          </w:p>
        </w:tc>
        <w:tc>
          <w:tcPr>
            <w:tcW w:w="3827" w:type="dxa"/>
            <w:tcBorders>
              <w:top w:val="nil"/>
              <w:left w:val="nil"/>
              <w:bottom w:val="single" w:sz="4" w:space="0" w:color="auto"/>
              <w:right w:val="single" w:sz="4" w:space="0" w:color="auto"/>
            </w:tcBorders>
            <w:shd w:val="clear" w:color="auto" w:fill="C6EFCE"/>
            <w:noWrap/>
          </w:tcPr>
          <w:p w14:paraId="315EA76B" w14:textId="77777777" w:rsidR="00A8033B" w:rsidRPr="009674F2" w:rsidRDefault="00A8033B" w:rsidP="00A8033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C12.R1 Актуализиране на стратегическата рамка на сектор „Здравеопазване“</w:t>
            </w:r>
          </w:p>
        </w:tc>
        <w:tc>
          <w:tcPr>
            <w:tcW w:w="1560" w:type="dxa"/>
            <w:tcBorders>
              <w:top w:val="nil"/>
              <w:left w:val="nil"/>
              <w:bottom w:val="single" w:sz="4" w:space="0" w:color="auto"/>
              <w:right w:val="single" w:sz="4" w:space="0" w:color="auto"/>
            </w:tcBorders>
            <w:shd w:val="clear" w:color="auto" w:fill="C6EFCE"/>
            <w:noWrap/>
          </w:tcPr>
          <w:p w14:paraId="174987DE" w14:textId="77777777" w:rsidR="00A8033B" w:rsidRPr="00BF5719" w:rsidRDefault="00A8033B" w:rsidP="00A8033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Ключов етап</w:t>
            </w:r>
          </w:p>
        </w:tc>
        <w:tc>
          <w:tcPr>
            <w:tcW w:w="3541" w:type="dxa"/>
            <w:tcBorders>
              <w:top w:val="nil"/>
              <w:left w:val="nil"/>
              <w:bottom w:val="single" w:sz="4" w:space="0" w:color="auto"/>
              <w:right w:val="single" w:sz="4" w:space="0" w:color="auto"/>
            </w:tcBorders>
            <w:shd w:val="clear" w:color="auto" w:fill="C6EFCE"/>
            <w:noWrap/>
          </w:tcPr>
          <w:p w14:paraId="7AEE1AE0" w14:textId="77777777" w:rsidR="00A8033B" w:rsidRPr="009674F2" w:rsidRDefault="00A8033B" w:rsidP="00A8033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Национална стратегия за гериатрична грижа и остаряване в добро здраве в Република България 2021—2030 г. и план за действие за изпълнение на стратегията</w:t>
            </w:r>
          </w:p>
        </w:tc>
      </w:tr>
      <w:tr w:rsidR="00A8033B" w:rsidRPr="005241FC" w14:paraId="1E8E1EB4" w14:textId="77777777" w:rsidTr="7B697459">
        <w:trPr>
          <w:trHeight w:val="302"/>
          <w:jc w:val="center"/>
        </w:trPr>
        <w:tc>
          <w:tcPr>
            <w:tcW w:w="1274" w:type="dxa"/>
            <w:tcBorders>
              <w:top w:val="nil"/>
              <w:left w:val="single" w:sz="4" w:space="0" w:color="auto"/>
              <w:bottom w:val="single" w:sz="4" w:space="0" w:color="auto"/>
              <w:right w:val="single" w:sz="4" w:space="0" w:color="auto"/>
            </w:tcBorders>
            <w:shd w:val="clear" w:color="auto" w:fill="C6EFCE"/>
            <w:noWrap/>
          </w:tcPr>
          <w:p w14:paraId="1514C06B" w14:textId="77777777" w:rsidR="00A8033B" w:rsidRPr="009674F2" w:rsidRDefault="00A8033B" w:rsidP="00A8033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323</w:t>
            </w:r>
          </w:p>
        </w:tc>
        <w:tc>
          <w:tcPr>
            <w:tcW w:w="3827" w:type="dxa"/>
            <w:tcBorders>
              <w:top w:val="nil"/>
              <w:left w:val="nil"/>
              <w:bottom w:val="single" w:sz="4" w:space="0" w:color="auto"/>
              <w:right w:val="single" w:sz="4" w:space="0" w:color="auto"/>
            </w:tcBorders>
            <w:shd w:val="clear" w:color="auto" w:fill="C6EFCE"/>
            <w:noWrap/>
          </w:tcPr>
          <w:p w14:paraId="58267B5F" w14:textId="77777777" w:rsidR="00A8033B" w:rsidRPr="009674F2" w:rsidRDefault="00A8033B" w:rsidP="00A8033B">
            <w:pPr>
              <w:spacing w:after="0"/>
              <w:jc w:val="both"/>
              <w:rPr>
                <w:rFonts w:ascii="Times New Roman" w:hAnsi="Times New Roman" w:cs="Times New Roman"/>
                <w:noProof/>
                <w:color w:val="006100"/>
              </w:rPr>
            </w:pPr>
            <w:r>
              <w:rPr>
                <w:rFonts w:ascii="Times New Roman" w:hAnsi="Times New Roman"/>
                <w:noProof/>
                <w:color w:val="006100"/>
              </w:rPr>
              <w:t>C12R3 Повишаване на привлекателността на здравните професии и насърчаване на по-балансираното разпределение на здравните специалисти на територията на страната</w:t>
            </w:r>
          </w:p>
        </w:tc>
        <w:tc>
          <w:tcPr>
            <w:tcW w:w="1560" w:type="dxa"/>
            <w:tcBorders>
              <w:top w:val="nil"/>
              <w:left w:val="nil"/>
              <w:bottom w:val="single" w:sz="4" w:space="0" w:color="auto"/>
              <w:right w:val="single" w:sz="4" w:space="0" w:color="auto"/>
            </w:tcBorders>
            <w:shd w:val="clear" w:color="auto" w:fill="C6EFCE"/>
            <w:noWrap/>
          </w:tcPr>
          <w:p w14:paraId="5757D5AF" w14:textId="77777777" w:rsidR="00A8033B" w:rsidRPr="009674F2" w:rsidRDefault="00A8033B" w:rsidP="00A8033B">
            <w:pPr>
              <w:spacing w:after="0" w:line="240" w:lineRule="auto"/>
              <w:jc w:val="center"/>
              <w:rPr>
                <w:rFonts w:ascii="Times New Roman" w:hAnsi="Times New Roman" w:cs="Times New Roman"/>
                <w:noProof/>
                <w:color w:val="006100"/>
              </w:rPr>
            </w:pPr>
            <w:r>
              <w:rPr>
                <w:rFonts w:ascii="Times New Roman" w:hAnsi="Times New Roman"/>
                <w:noProof/>
                <w:color w:val="006100"/>
              </w:rPr>
              <w:t>Ключов етап</w:t>
            </w:r>
          </w:p>
        </w:tc>
        <w:tc>
          <w:tcPr>
            <w:tcW w:w="3541" w:type="dxa"/>
            <w:tcBorders>
              <w:top w:val="nil"/>
              <w:left w:val="nil"/>
              <w:bottom w:val="single" w:sz="4" w:space="0" w:color="auto"/>
              <w:right w:val="single" w:sz="4" w:space="0" w:color="auto"/>
            </w:tcBorders>
            <w:shd w:val="clear" w:color="auto" w:fill="C6EFCE"/>
            <w:noWrap/>
          </w:tcPr>
          <w:p w14:paraId="5FAD832C" w14:textId="77777777" w:rsidR="00A8033B" w:rsidRPr="009674F2" w:rsidRDefault="00A8033B" w:rsidP="00A8033B">
            <w:pPr>
              <w:spacing w:after="0" w:line="240" w:lineRule="auto"/>
              <w:jc w:val="both"/>
              <w:rPr>
                <w:rFonts w:ascii="Times New Roman" w:hAnsi="Times New Roman" w:cs="Times New Roman"/>
                <w:noProof/>
                <w:color w:val="006100"/>
              </w:rPr>
            </w:pPr>
            <w:r>
              <w:rPr>
                <w:rFonts w:ascii="Times New Roman" w:hAnsi="Times New Roman"/>
                <w:noProof/>
                <w:color w:val="006100"/>
              </w:rPr>
              <w:t xml:space="preserve">Влизане в сила на измененията на законите и подзаконовите нормативни актове с цел справяне с недостига и насърчаване на по-балансирано разпределение на здравните специалисти на територията на страната </w:t>
            </w:r>
          </w:p>
        </w:tc>
      </w:tr>
      <w:tr w:rsidR="00A8033B" w:rsidRPr="005241FC" w14:paraId="1C636507" w14:textId="77777777" w:rsidTr="7B697459">
        <w:trPr>
          <w:trHeight w:val="302"/>
          <w:jc w:val="center"/>
        </w:trPr>
        <w:tc>
          <w:tcPr>
            <w:tcW w:w="1274" w:type="dxa"/>
            <w:tcBorders>
              <w:top w:val="nil"/>
              <w:left w:val="single" w:sz="4" w:space="0" w:color="auto"/>
              <w:bottom w:val="single" w:sz="4" w:space="0" w:color="auto"/>
              <w:right w:val="single" w:sz="4" w:space="0" w:color="auto"/>
            </w:tcBorders>
            <w:shd w:val="clear" w:color="auto" w:fill="C6EFCE"/>
            <w:noWrap/>
          </w:tcPr>
          <w:p w14:paraId="4D3CB290" w14:textId="77777777" w:rsidR="00A8033B" w:rsidRPr="009674F2" w:rsidRDefault="00A8033B" w:rsidP="00A8033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322</w:t>
            </w:r>
          </w:p>
        </w:tc>
        <w:tc>
          <w:tcPr>
            <w:tcW w:w="3827" w:type="dxa"/>
            <w:tcBorders>
              <w:top w:val="nil"/>
              <w:left w:val="nil"/>
              <w:bottom w:val="single" w:sz="4" w:space="0" w:color="auto"/>
              <w:right w:val="single" w:sz="4" w:space="0" w:color="auto"/>
            </w:tcBorders>
            <w:shd w:val="clear" w:color="auto" w:fill="C6EFCE"/>
            <w:noWrap/>
          </w:tcPr>
          <w:p w14:paraId="2C9B099E" w14:textId="77777777" w:rsidR="00A8033B" w:rsidRPr="009674F2" w:rsidRDefault="00A8033B" w:rsidP="00A8033B">
            <w:pPr>
              <w:spacing w:after="0"/>
              <w:jc w:val="both"/>
              <w:rPr>
                <w:rFonts w:ascii="Times New Roman" w:hAnsi="Times New Roman" w:cs="Times New Roman"/>
                <w:noProof/>
                <w:color w:val="006100"/>
              </w:rPr>
            </w:pPr>
            <w:r>
              <w:rPr>
                <w:rFonts w:ascii="Times New Roman" w:hAnsi="Times New Roman"/>
                <w:noProof/>
                <w:color w:val="006100"/>
              </w:rPr>
              <w:t>C12R2 Развитие на електронното здравеопазване и на Националната здравно информационна система</w:t>
            </w:r>
          </w:p>
        </w:tc>
        <w:tc>
          <w:tcPr>
            <w:tcW w:w="1560" w:type="dxa"/>
            <w:tcBorders>
              <w:top w:val="nil"/>
              <w:left w:val="nil"/>
              <w:bottom w:val="single" w:sz="4" w:space="0" w:color="auto"/>
              <w:right w:val="single" w:sz="4" w:space="0" w:color="auto"/>
            </w:tcBorders>
            <w:shd w:val="clear" w:color="auto" w:fill="C6EFCE"/>
            <w:noWrap/>
          </w:tcPr>
          <w:p w14:paraId="52CCBAEE" w14:textId="77777777" w:rsidR="00A8033B" w:rsidRPr="009674F2" w:rsidRDefault="00A8033B" w:rsidP="00A8033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Ключов етап</w:t>
            </w:r>
          </w:p>
        </w:tc>
        <w:tc>
          <w:tcPr>
            <w:tcW w:w="3541" w:type="dxa"/>
            <w:tcBorders>
              <w:top w:val="nil"/>
              <w:left w:val="nil"/>
              <w:bottom w:val="single" w:sz="4" w:space="0" w:color="auto"/>
              <w:right w:val="single" w:sz="4" w:space="0" w:color="auto"/>
            </w:tcBorders>
            <w:shd w:val="clear" w:color="auto" w:fill="C6EFCE"/>
            <w:noWrap/>
          </w:tcPr>
          <w:p w14:paraId="132C0FB6" w14:textId="77777777" w:rsidR="00A8033B" w:rsidRPr="009674F2" w:rsidRDefault="00A8033B" w:rsidP="00A8033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Актуализиране на Националната здравно информационна система (НЗИС)</w:t>
            </w:r>
          </w:p>
        </w:tc>
      </w:tr>
      <w:tr w:rsidR="00A8033B" w:rsidRPr="005241FC" w14:paraId="001ECF2E" w14:textId="77777777" w:rsidTr="7B697459">
        <w:trPr>
          <w:trHeight w:val="302"/>
          <w:jc w:val="center"/>
        </w:trPr>
        <w:tc>
          <w:tcPr>
            <w:tcW w:w="1274" w:type="dxa"/>
            <w:tcBorders>
              <w:top w:val="nil"/>
              <w:left w:val="single" w:sz="4" w:space="0" w:color="auto"/>
              <w:bottom w:val="single" w:sz="4" w:space="0" w:color="auto"/>
              <w:right w:val="single" w:sz="4" w:space="0" w:color="auto"/>
            </w:tcBorders>
            <w:shd w:val="clear" w:color="auto" w:fill="C6EFCE"/>
            <w:noWrap/>
          </w:tcPr>
          <w:p w14:paraId="2C2781F4" w14:textId="77777777" w:rsidR="00A8033B" w:rsidRPr="009674F2" w:rsidRDefault="00A8033B" w:rsidP="00A8033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336</w:t>
            </w:r>
          </w:p>
        </w:tc>
        <w:tc>
          <w:tcPr>
            <w:tcW w:w="3827" w:type="dxa"/>
            <w:tcBorders>
              <w:top w:val="nil"/>
              <w:left w:val="nil"/>
              <w:bottom w:val="single" w:sz="4" w:space="0" w:color="auto"/>
              <w:right w:val="single" w:sz="4" w:space="0" w:color="auto"/>
            </w:tcBorders>
            <w:shd w:val="clear" w:color="auto" w:fill="C6EFCE"/>
            <w:noWrap/>
          </w:tcPr>
          <w:p w14:paraId="02B14144" w14:textId="77777777" w:rsidR="00A8033B" w:rsidRPr="009674F2" w:rsidRDefault="00A8033B" w:rsidP="00A8033B">
            <w:pPr>
              <w:spacing w:after="0"/>
              <w:jc w:val="both"/>
              <w:rPr>
                <w:rFonts w:ascii="Times New Roman" w:hAnsi="Times New Roman" w:cs="Times New Roman"/>
                <w:noProof/>
                <w:color w:val="006100"/>
              </w:rPr>
            </w:pPr>
            <w:r>
              <w:rPr>
                <w:rFonts w:ascii="Times New Roman" w:hAnsi="Times New Roman"/>
                <w:noProof/>
                <w:color w:val="006100"/>
              </w:rPr>
              <w:t>C12I4 Създаване на система за оказване на спешна медицинска помощ по въздуха</w:t>
            </w:r>
          </w:p>
        </w:tc>
        <w:tc>
          <w:tcPr>
            <w:tcW w:w="1560" w:type="dxa"/>
            <w:tcBorders>
              <w:top w:val="nil"/>
              <w:left w:val="nil"/>
              <w:bottom w:val="single" w:sz="4" w:space="0" w:color="auto"/>
              <w:right w:val="single" w:sz="4" w:space="0" w:color="auto"/>
            </w:tcBorders>
            <w:shd w:val="clear" w:color="auto" w:fill="C6EFCE"/>
            <w:noWrap/>
          </w:tcPr>
          <w:p w14:paraId="65217616" w14:textId="77777777" w:rsidR="00A8033B" w:rsidRPr="009674F2" w:rsidRDefault="00A8033B" w:rsidP="00A8033B">
            <w:pPr>
              <w:spacing w:after="0" w:line="240" w:lineRule="auto"/>
              <w:jc w:val="center"/>
              <w:rPr>
                <w:rFonts w:ascii="Times New Roman" w:hAnsi="Times New Roman" w:cs="Times New Roman"/>
                <w:noProof/>
                <w:color w:val="006100"/>
              </w:rPr>
            </w:pPr>
            <w:r>
              <w:rPr>
                <w:rFonts w:ascii="Times New Roman" w:hAnsi="Times New Roman"/>
                <w:noProof/>
                <w:color w:val="006100"/>
              </w:rPr>
              <w:t>Ключов етап</w:t>
            </w:r>
          </w:p>
        </w:tc>
        <w:tc>
          <w:tcPr>
            <w:tcW w:w="3541" w:type="dxa"/>
            <w:tcBorders>
              <w:top w:val="nil"/>
              <w:left w:val="nil"/>
              <w:bottom w:val="single" w:sz="4" w:space="0" w:color="auto"/>
              <w:right w:val="single" w:sz="4" w:space="0" w:color="auto"/>
            </w:tcBorders>
            <w:shd w:val="clear" w:color="auto" w:fill="C6EFCE"/>
            <w:noWrap/>
          </w:tcPr>
          <w:p w14:paraId="4FBC2686" w14:textId="77777777" w:rsidR="00A8033B" w:rsidRPr="009674F2" w:rsidRDefault="00A8033B" w:rsidP="00A8033B">
            <w:pPr>
              <w:spacing w:after="0" w:line="240" w:lineRule="auto"/>
              <w:jc w:val="both"/>
              <w:rPr>
                <w:rFonts w:ascii="Times New Roman" w:hAnsi="Times New Roman" w:cs="Times New Roman"/>
                <w:noProof/>
                <w:color w:val="006100"/>
              </w:rPr>
            </w:pPr>
            <w:r>
              <w:rPr>
                <w:rFonts w:ascii="Times New Roman" w:hAnsi="Times New Roman"/>
                <w:noProof/>
                <w:color w:val="006100"/>
              </w:rPr>
              <w:t>Сключване на договори за доставка на вертолети за системата за оказване на спешна медицинска помощ по въздуха</w:t>
            </w:r>
          </w:p>
        </w:tc>
      </w:tr>
      <w:tr w:rsidR="00A8033B" w:rsidRPr="005241FC" w14:paraId="13EEA6D9" w14:textId="77777777" w:rsidTr="7B697459">
        <w:trPr>
          <w:trHeight w:val="302"/>
          <w:jc w:val="center"/>
        </w:trPr>
        <w:tc>
          <w:tcPr>
            <w:tcW w:w="1274" w:type="dxa"/>
            <w:tcBorders>
              <w:top w:val="nil"/>
              <w:left w:val="single" w:sz="4" w:space="0" w:color="auto"/>
              <w:bottom w:val="single" w:sz="4" w:space="0" w:color="auto"/>
              <w:right w:val="single" w:sz="4" w:space="0" w:color="auto"/>
            </w:tcBorders>
            <w:shd w:val="clear" w:color="auto" w:fill="C6EFCE"/>
            <w:noWrap/>
          </w:tcPr>
          <w:p w14:paraId="38FECBC9" w14:textId="77777777" w:rsidR="00A8033B" w:rsidRPr="009674F2" w:rsidRDefault="00A8033B" w:rsidP="00A8033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326</w:t>
            </w:r>
          </w:p>
        </w:tc>
        <w:tc>
          <w:tcPr>
            <w:tcW w:w="3827" w:type="dxa"/>
            <w:tcBorders>
              <w:top w:val="nil"/>
              <w:left w:val="nil"/>
              <w:bottom w:val="single" w:sz="4" w:space="0" w:color="auto"/>
              <w:right w:val="single" w:sz="4" w:space="0" w:color="auto"/>
            </w:tcBorders>
            <w:shd w:val="clear" w:color="auto" w:fill="C6EFCE"/>
            <w:noWrap/>
          </w:tcPr>
          <w:p w14:paraId="21DCC114" w14:textId="77777777" w:rsidR="00A8033B" w:rsidRPr="009674F2" w:rsidRDefault="00A8033B" w:rsidP="00A8033B">
            <w:pPr>
              <w:spacing w:after="0"/>
              <w:jc w:val="both"/>
              <w:rPr>
                <w:rFonts w:ascii="Times New Roman" w:hAnsi="Times New Roman" w:cs="Times New Roman"/>
                <w:noProof/>
                <w:color w:val="006100"/>
              </w:rPr>
            </w:pPr>
            <w:r>
              <w:rPr>
                <w:rFonts w:ascii="Times New Roman" w:hAnsi="Times New Roman"/>
                <w:noProof/>
                <w:color w:val="006100"/>
              </w:rPr>
              <w:t>C12R4 Стратегическа рамка и план за увеличаване на наличието на първични и амбулаторни грижи</w:t>
            </w:r>
          </w:p>
        </w:tc>
        <w:tc>
          <w:tcPr>
            <w:tcW w:w="1560" w:type="dxa"/>
            <w:tcBorders>
              <w:top w:val="nil"/>
              <w:left w:val="nil"/>
              <w:bottom w:val="single" w:sz="4" w:space="0" w:color="auto"/>
              <w:right w:val="single" w:sz="4" w:space="0" w:color="auto"/>
            </w:tcBorders>
            <w:shd w:val="clear" w:color="auto" w:fill="C6EFCE"/>
            <w:noWrap/>
          </w:tcPr>
          <w:p w14:paraId="2CE7E313" w14:textId="77777777" w:rsidR="00A8033B" w:rsidRPr="009674F2" w:rsidRDefault="00A8033B" w:rsidP="00A8033B">
            <w:pPr>
              <w:spacing w:after="0" w:line="240" w:lineRule="auto"/>
              <w:jc w:val="center"/>
              <w:rPr>
                <w:rFonts w:ascii="Times New Roman" w:hAnsi="Times New Roman" w:cs="Times New Roman"/>
                <w:noProof/>
                <w:color w:val="006100"/>
              </w:rPr>
            </w:pPr>
            <w:r>
              <w:rPr>
                <w:rFonts w:ascii="Times New Roman" w:hAnsi="Times New Roman"/>
                <w:noProof/>
                <w:color w:val="006100"/>
              </w:rPr>
              <w:t>Ключов етап</w:t>
            </w:r>
          </w:p>
        </w:tc>
        <w:tc>
          <w:tcPr>
            <w:tcW w:w="3541" w:type="dxa"/>
            <w:tcBorders>
              <w:top w:val="nil"/>
              <w:left w:val="nil"/>
              <w:bottom w:val="single" w:sz="4" w:space="0" w:color="auto"/>
              <w:right w:val="single" w:sz="4" w:space="0" w:color="auto"/>
            </w:tcBorders>
            <w:shd w:val="clear" w:color="auto" w:fill="C6EFCE"/>
            <w:noWrap/>
          </w:tcPr>
          <w:p w14:paraId="56FF1C54" w14:textId="77777777" w:rsidR="00A8033B" w:rsidRPr="009674F2" w:rsidRDefault="00A8033B" w:rsidP="00A8033B">
            <w:pPr>
              <w:spacing w:after="0" w:line="240" w:lineRule="auto"/>
              <w:rPr>
                <w:rFonts w:ascii="Times New Roman" w:hAnsi="Times New Roman" w:cs="Times New Roman"/>
                <w:noProof/>
                <w:color w:val="006100"/>
              </w:rPr>
            </w:pPr>
            <w:r>
              <w:rPr>
                <w:rFonts w:ascii="Times New Roman" w:hAnsi="Times New Roman"/>
                <w:noProof/>
                <w:color w:val="006100"/>
              </w:rPr>
              <w:t>Национална стратегия за подобряване на достъпността и капацитета на първичната извънболнична медицинска помощ и осигуряване на балансирано териториално разпределение на медицинската помощ и здравните грижи в Република България 2021—2027 г. и план за действие за изпълнение на стратегията.</w:t>
            </w:r>
          </w:p>
        </w:tc>
      </w:tr>
      <w:tr w:rsidR="00A8033B" w:rsidRPr="005241FC" w14:paraId="04DC2028" w14:textId="77777777" w:rsidTr="7B697459">
        <w:trPr>
          <w:trHeight w:val="302"/>
          <w:jc w:val="center"/>
        </w:trPr>
        <w:tc>
          <w:tcPr>
            <w:tcW w:w="1274" w:type="dxa"/>
            <w:tcBorders>
              <w:top w:val="nil"/>
              <w:left w:val="single" w:sz="4" w:space="0" w:color="auto"/>
              <w:bottom w:val="single" w:sz="4" w:space="0" w:color="auto"/>
              <w:right w:val="single" w:sz="4" w:space="0" w:color="auto"/>
            </w:tcBorders>
            <w:shd w:val="clear" w:color="auto" w:fill="C6EFCE"/>
            <w:noWrap/>
          </w:tcPr>
          <w:p w14:paraId="45838EA0" w14:textId="77777777" w:rsidR="00A8033B" w:rsidRPr="009674F2" w:rsidRDefault="00A8033B" w:rsidP="00A8033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327</w:t>
            </w:r>
          </w:p>
        </w:tc>
        <w:tc>
          <w:tcPr>
            <w:tcW w:w="3827" w:type="dxa"/>
            <w:tcBorders>
              <w:top w:val="nil"/>
              <w:left w:val="nil"/>
              <w:bottom w:val="single" w:sz="4" w:space="0" w:color="auto"/>
              <w:right w:val="single" w:sz="4" w:space="0" w:color="auto"/>
            </w:tcBorders>
            <w:shd w:val="clear" w:color="auto" w:fill="C6EFCE"/>
            <w:noWrap/>
          </w:tcPr>
          <w:p w14:paraId="63036804" w14:textId="77777777" w:rsidR="00A8033B" w:rsidRPr="009674F2" w:rsidRDefault="00A8033B" w:rsidP="00A8033B">
            <w:pPr>
              <w:spacing w:after="0"/>
              <w:jc w:val="both"/>
              <w:rPr>
                <w:rFonts w:ascii="Times New Roman" w:hAnsi="Times New Roman" w:cs="Times New Roman"/>
                <w:noProof/>
                <w:color w:val="006100"/>
              </w:rPr>
            </w:pPr>
            <w:r>
              <w:rPr>
                <w:rFonts w:ascii="Times New Roman" w:hAnsi="Times New Roman"/>
                <w:noProof/>
                <w:color w:val="006100"/>
              </w:rPr>
              <w:t>C12R5 Подкрепа за по-доброто осигуряване на профилактични скринингови дейности</w:t>
            </w:r>
          </w:p>
        </w:tc>
        <w:tc>
          <w:tcPr>
            <w:tcW w:w="1560" w:type="dxa"/>
            <w:tcBorders>
              <w:top w:val="nil"/>
              <w:left w:val="nil"/>
              <w:bottom w:val="single" w:sz="4" w:space="0" w:color="auto"/>
              <w:right w:val="single" w:sz="4" w:space="0" w:color="auto"/>
            </w:tcBorders>
            <w:shd w:val="clear" w:color="auto" w:fill="C6EFCE"/>
            <w:noWrap/>
          </w:tcPr>
          <w:p w14:paraId="14BA3DC5" w14:textId="77777777" w:rsidR="00A8033B" w:rsidRPr="009674F2" w:rsidRDefault="00A8033B" w:rsidP="00A8033B">
            <w:pPr>
              <w:spacing w:after="0" w:line="240" w:lineRule="auto"/>
              <w:jc w:val="center"/>
              <w:rPr>
                <w:rFonts w:ascii="Times New Roman" w:hAnsi="Times New Roman" w:cs="Times New Roman"/>
                <w:noProof/>
                <w:color w:val="006100"/>
              </w:rPr>
            </w:pPr>
            <w:r>
              <w:rPr>
                <w:rFonts w:ascii="Times New Roman" w:hAnsi="Times New Roman"/>
                <w:noProof/>
                <w:color w:val="006100"/>
              </w:rPr>
              <w:t>Ключов етап</w:t>
            </w:r>
          </w:p>
        </w:tc>
        <w:tc>
          <w:tcPr>
            <w:tcW w:w="3541" w:type="dxa"/>
            <w:tcBorders>
              <w:top w:val="nil"/>
              <w:left w:val="nil"/>
              <w:bottom w:val="single" w:sz="4" w:space="0" w:color="auto"/>
              <w:right w:val="single" w:sz="4" w:space="0" w:color="auto"/>
            </w:tcBorders>
            <w:shd w:val="clear" w:color="auto" w:fill="C6EFCE"/>
            <w:noWrap/>
          </w:tcPr>
          <w:p w14:paraId="47E059A6" w14:textId="77777777" w:rsidR="00A8033B" w:rsidRPr="009674F2" w:rsidRDefault="00A8033B" w:rsidP="00A8033B">
            <w:pPr>
              <w:spacing w:after="0" w:line="240" w:lineRule="auto"/>
              <w:rPr>
                <w:rFonts w:ascii="Times New Roman" w:hAnsi="Times New Roman" w:cs="Times New Roman"/>
                <w:noProof/>
                <w:color w:val="006100"/>
              </w:rPr>
            </w:pPr>
            <w:r>
              <w:rPr>
                <w:rFonts w:ascii="Times New Roman" w:hAnsi="Times New Roman"/>
                <w:noProof/>
                <w:color w:val="006100"/>
              </w:rPr>
              <w:t>Национален план за развитие на широкообхватен пренатален и неонатален скрининг и скрининг на социалнозначимите заболявания 2021—2027 г.</w:t>
            </w:r>
          </w:p>
        </w:tc>
      </w:tr>
      <w:tr w:rsidR="00A8033B" w:rsidRPr="00F41C75" w14:paraId="5B0B59F7" w14:textId="77777777" w:rsidTr="7B697459">
        <w:trPr>
          <w:trHeight w:val="302"/>
          <w:jc w:val="center"/>
        </w:trPr>
        <w:tc>
          <w:tcPr>
            <w:tcW w:w="1274" w:type="dxa"/>
            <w:tcBorders>
              <w:top w:val="single" w:sz="4" w:space="0" w:color="auto"/>
              <w:left w:val="single" w:sz="4" w:space="0" w:color="auto"/>
              <w:bottom w:val="single" w:sz="4" w:space="0" w:color="auto"/>
              <w:right w:val="single" w:sz="4" w:space="0" w:color="auto"/>
            </w:tcBorders>
            <w:shd w:val="clear" w:color="auto" w:fill="C6EFCE"/>
            <w:noWrap/>
            <w:vAlign w:val="bottom"/>
          </w:tcPr>
          <w:p w14:paraId="0BCA52C3" w14:textId="77777777" w:rsidR="00A8033B" w:rsidRPr="008A0F8A" w:rsidRDefault="00A8033B" w:rsidP="00A8033B">
            <w:pPr>
              <w:spacing w:after="0" w:line="240" w:lineRule="auto"/>
              <w:jc w:val="center"/>
              <w:rPr>
                <w:rFonts w:ascii="Times New Roman" w:eastAsia="Times New Roman" w:hAnsi="Times New Roman" w:cs="Times New Roman"/>
                <w:noProof/>
                <w:color w:val="006100"/>
                <w:lang w:val="ru-RU" w:eastAsia="en-GB"/>
              </w:rPr>
            </w:pPr>
          </w:p>
        </w:tc>
        <w:tc>
          <w:tcPr>
            <w:tcW w:w="3827" w:type="dxa"/>
            <w:tcBorders>
              <w:top w:val="single" w:sz="4" w:space="0" w:color="auto"/>
              <w:left w:val="nil"/>
              <w:bottom w:val="single" w:sz="4" w:space="0" w:color="auto"/>
              <w:right w:val="single" w:sz="4" w:space="0" w:color="auto"/>
            </w:tcBorders>
            <w:shd w:val="clear" w:color="auto" w:fill="C6EFCE"/>
            <w:noWrap/>
            <w:vAlign w:val="bottom"/>
          </w:tcPr>
          <w:p w14:paraId="6BD5A71A" w14:textId="77777777" w:rsidR="00A8033B" w:rsidRPr="008A0F8A" w:rsidRDefault="00A8033B" w:rsidP="00A8033B">
            <w:pPr>
              <w:spacing w:after="0" w:line="240" w:lineRule="auto"/>
              <w:jc w:val="both"/>
              <w:rPr>
                <w:rFonts w:ascii="Times New Roman" w:eastAsia="Times New Roman" w:hAnsi="Times New Roman" w:cs="Times New Roman"/>
                <w:noProof/>
                <w:color w:val="006100"/>
                <w:lang w:val="ru-RU" w:eastAsia="en-GB"/>
              </w:rPr>
            </w:pPr>
          </w:p>
        </w:tc>
        <w:tc>
          <w:tcPr>
            <w:tcW w:w="1560" w:type="dxa"/>
            <w:tcBorders>
              <w:top w:val="single" w:sz="4" w:space="0" w:color="auto"/>
              <w:left w:val="nil"/>
              <w:bottom w:val="single" w:sz="4" w:space="0" w:color="auto"/>
              <w:right w:val="single" w:sz="4" w:space="0" w:color="auto"/>
            </w:tcBorders>
            <w:shd w:val="clear" w:color="auto" w:fill="C6EFCE"/>
            <w:noWrap/>
            <w:vAlign w:val="bottom"/>
          </w:tcPr>
          <w:p w14:paraId="7E788D59" w14:textId="77777777" w:rsidR="00A8033B" w:rsidRPr="00B34264" w:rsidRDefault="00A8033B" w:rsidP="00A8033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Размер на вноската</w:t>
            </w:r>
          </w:p>
        </w:tc>
        <w:tc>
          <w:tcPr>
            <w:tcW w:w="3541" w:type="dxa"/>
            <w:tcBorders>
              <w:top w:val="single" w:sz="4" w:space="0" w:color="auto"/>
              <w:left w:val="nil"/>
              <w:bottom w:val="single" w:sz="4" w:space="0" w:color="auto"/>
              <w:right w:val="single" w:sz="4" w:space="0" w:color="auto"/>
            </w:tcBorders>
            <w:shd w:val="clear" w:color="auto" w:fill="C6EFCE"/>
            <w:noWrap/>
            <w:vAlign w:val="bottom"/>
          </w:tcPr>
          <w:p w14:paraId="71D387BD" w14:textId="7EC01C5A" w:rsidR="00A8033B" w:rsidRPr="00B34264" w:rsidRDefault="34518F82" w:rsidP="00A8033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 xml:space="preserve">711 702 214 EUR </w:t>
            </w:r>
          </w:p>
        </w:tc>
      </w:tr>
    </w:tbl>
    <w:p w14:paraId="5D873FC1" w14:textId="77777777" w:rsidR="00D21D80" w:rsidRPr="00F41C75" w:rsidRDefault="00D21D80" w:rsidP="00D21D80">
      <w:pPr>
        <w:spacing w:before="120" w:after="120" w:line="240" w:lineRule="auto"/>
        <w:jc w:val="both"/>
        <w:rPr>
          <w:rFonts w:ascii="Times New Roman" w:eastAsia="Calibri" w:hAnsi="Times New Roman" w:cs="Times New Roman"/>
          <w:noProof/>
          <w:lang w:val="en-GB"/>
        </w:rPr>
      </w:pPr>
    </w:p>
    <w:p w14:paraId="28A5C5F4" w14:textId="77777777" w:rsidR="00D21D80" w:rsidRPr="00F41C75" w:rsidRDefault="00D21D80" w:rsidP="00D21D80">
      <w:pPr>
        <w:numPr>
          <w:ilvl w:val="1"/>
          <w:numId w:val="1"/>
        </w:numPr>
        <w:spacing w:before="120" w:after="120" w:line="240" w:lineRule="auto"/>
        <w:jc w:val="both"/>
        <w:rPr>
          <w:rFonts w:ascii="Times New Roman" w:eastAsia="Calibri" w:hAnsi="Times New Roman" w:cs="Times New Roman"/>
          <w:noProof/>
        </w:rPr>
      </w:pPr>
      <w:r>
        <w:rPr>
          <w:rFonts w:ascii="Times New Roman" w:hAnsi="Times New Roman"/>
          <w:noProof/>
        </w:rPr>
        <w:t xml:space="preserve">Четвърта вноска (безвъзмездна подкрепа): </w:t>
      </w:r>
    </w:p>
    <w:tbl>
      <w:tblPr>
        <w:tblW w:w="10064" w:type="dxa"/>
        <w:jc w:val="center"/>
        <w:tblLook w:val="04A0" w:firstRow="1" w:lastRow="0" w:firstColumn="1" w:lastColumn="0" w:noHBand="0" w:noVBand="1"/>
      </w:tblPr>
      <w:tblGrid>
        <w:gridCol w:w="1207"/>
        <w:gridCol w:w="4119"/>
        <w:gridCol w:w="1701"/>
        <w:gridCol w:w="3472"/>
      </w:tblGrid>
      <w:tr w:rsidR="00D21D80" w:rsidRPr="00F41C75" w14:paraId="633BB3B0" w14:textId="77777777" w:rsidTr="008E333E">
        <w:trPr>
          <w:trHeight w:val="906"/>
          <w:tblHeader/>
          <w:jc w:val="center"/>
        </w:trPr>
        <w:tc>
          <w:tcPr>
            <w:tcW w:w="120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AA7D843" w14:textId="77777777" w:rsidR="00D21D80" w:rsidRPr="00F41C75" w:rsidRDefault="00D21D80" w:rsidP="00C955DB">
            <w:pPr>
              <w:spacing w:after="0" w:line="240" w:lineRule="auto"/>
              <w:jc w:val="center"/>
              <w:rPr>
                <w:rFonts w:ascii="Times New Roman" w:eastAsia="Times New Roman" w:hAnsi="Times New Roman" w:cs="Times New Roman"/>
                <w:b/>
                <w:noProof/>
              </w:rPr>
            </w:pPr>
            <w:r>
              <w:rPr>
                <w:rFonts w:ascii="Times New Roman" w:hAnsi="Times New Roman"/>
                <w:b/>
                <w:noProof/>
              </w:rPr>
              <w:t>Пореден номер</w:t>
            </w:r>
          </w:p>
        </w:tc>
        <w:tc>
          <w:tcPr>
            <w:tcW w:w="368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4206C24" w14:textId="77777777" w:rsidR="00D21D80" w:rsidRPr="00F41C75" w:rsidRDefault="00D21D80" w:rsidP="00C955DB">
            <w:pPr>
              <w:spacing w:after="0" w:line="240" w:lineRule="auto"/>
              <w:jc w:val="center"/>
              <w:rPr>
                <w:rFonts w:ascii="Times New Roman" w:eastAsia="Times New Roman" w:hAnsi="Times New Roman" w:cs="Times New Roman"/>
                <w:b/>
                <w:noProof/>
              </w:rPr>
            </w:pPr>
            <w:r>
              <w:rPr>
                <w:rFonts w:ascii="Times New Roman" w:hAnsi="Times New Roman"/>
                <w:b/>
                <w:noProof/>
              </w:rPr>
              <w:t>Свързана мярка (реформа или инвестиция)</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AE166D6" w14:textId="77777777" w:rsidR="00D21D80" w:rsidRPr="00F41C75" w:rsidRDefault="00D21D80" w:rsidP="00C955DB">
            <w:pPr>
              <w:spacing w:after="0" w:line="240" w:lineRule="auto"/>
              <w:jc w:val="center"/>
              <w:rPr>
                <w:rFonts w:ascii="Times New Roman" w:eastAsia="Times New Roman" w:hAnsi="Times New Roman" w:cs="Times New Roman"/>
                <w:b/>
                <w:noProof/>
              </w:rPr>
            </w:pPr>
            <w:r>
              <w:rPr>
                <w:rFonts w:ascii="Times New Roman" w:hAnsi="Times New Roman"/>
                <w:b/>
                <w:noProof/>
              </w:rPr>
              <w:t>Ключов етап / Цел</w:t>
            </w:r>
          </w:p>
        </w:tc>
        <w:tc>
          <w:tcPr>
            <w:tcW w:w="347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432FDB3" w14:textId="77777777" w:rsidR="00D21D80" w:rsidRPr="00F41C75" w:rsidRDefault="00D21D80" w:rsidP="00C955DB">
            <w:pPr>
              <w:spacing w:after="0" w:line="240" w:lineRule="auto"/>
              <w:jc w:val="center"/>
              <w:rPr>
                <w:rFonts w:ascii="Times New Roman" w:eastAsia="Times New Roman" w:hAnsi="Times New Roman" w:cs="Times New Roman"/>
                <w:b/>
                <w:noProof/>
              </w:rPr>
            </w:pPr>
            <w:r>
              <w:rPr>
                <w:rFonts w:ascii="Times New Roman" w:hAnsi="Times New Roman"/>
                <w:b/>
                <w:noProof/>
              </w:rPr>
              <w:t>Наименование</w:t>
            </w:r>
          </w:p>
        </w:tc>
      </w:tr>
      <w:tr w:rsidR="00D21D80" w:rsidRPr="00F41C75" w14:paraId="4E1597A9" w14:textId="77777777" w:rsidTr="008E333E">
        <w:trPr>
          <w:trHeight w:val="450"/>
          <w:jc w:val="center"/>
        </w:trPr>
        <w:tc>
          <w:tcPr>
            <w:tcW w:w="1207" w:type="dxa"/>
            <w:vMerge/>
            <w:tcBorders>
              <w:top w:val="single" w:sz="4" w:space="0" w:color="auto"/>
              <w:left w:val="single" w:sz="4" w:space="0" w:color="auto"/>
              <w:bottom w:val="single" w:sz="4" w:space="0" w:color="auto"/>
              <w:right w:val="single" w:sz="4" w:space="0" w:color="auto"/>
            </w:tcBorders>
            <w:vAlign w:val="center"/>
            <w:hideMark/>
          </w:tcPr>
          <w:p w14:paraId="046943ED" w14:textId="77777777" w:rsidR="00D21D80" w:rsidRPr="00F41C75" w:rsidRDefault="00D21D80" w:rsidP="00C955DB">
            <w:pPr>
              <w:spacing w:after="0" w:line="240" w:lineRule="auto"/>
              <w:jc w:val="center"/>
              <w:rPr>
                <w:rFonts w:ascii="Times New Roman" w:eastAsia="Times New Roman" w:hAnsi="Times New Roman" w:cs="Times New Roman"/>
                <w:b/>
                <w:bCs/>
                <w:noProof/>
                <w:lang w:val="en-GB" w:eastAsia="en-GB"/>
              </w:rPr>
            </w:pPr>
          </w:p>
        </w:tc>
        <w:tc>
          <w:tcPr>
            <w:tcW w:w="3684" w:type="dxa"/>
            <w:vMerge/>
            <w:tcBorders>
              <w:top w:val="single" w:sz="4" w:space="0" w:color="auto"/>
              <w:left w:val="single" w:sz="4" w:space="0" w:color="auto"/>
              <w:bottom w:val="single" w:sz="4" w:space="0" w:color="auto"/>
              <w:right w:val="single" w:sz="4" w:space="0" w:color="auto"/>
            </w:tcBorders>
            <w:vAlign w:val="center"/>
            <w:hideMark/>
          </w:tcPr>
          <w:p w14:paraId="555F9E88" w14:textId="77777777" w:rsidR="00D21D80" w:rsidRPr="00F41C75" w:rsidRDefault="00D21D80" w:rsidP="00C955DB">
            <w:pPr>
              <w:spacing w:after="0" w:line="240" w:lineRule="auto"/>
              <w:jc w:val="both"/>
              <w:rPr>
                <w:rFonts w:ascii="Times New Roman" w:eastAsia="Times New Roman" w:hAnsi="Times New Roman" w:cs="Times New Roman"/>
                <w:b/>
                <w:bCs/>
                <w:noProof/>
                <w:lang w:val="en-GB" w:eastAsia="en-G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051B387" w14:textId="77777777" w:rsidR="00D21D80" w:rsidRPr="00F41C75" w:rsidRDefault="00D21D80" w:rsidP="00C955DB">
            <w:pPr>
              <w:spacing w:after="0" w:line="240" w:lineRule="auto"/>
              <w:jc w:val="center"/>
              <w:rPr>
                <w:rFonts w:ascii="Times New Roman" w:eastAsia="Times New Roman" w:hAnsi="Times New Roman" w:cs="Times New Roman"/>
                <w:b/>
                <w:bCs/>
                <w:noProof/>
                <w:lang w:val="en-GB" w:eastAsia="en-GB"/>
              </w:rPr>
            </w:pPr>
          </w:p>
        </w:tc>
        <w:tc>
          <w:tcPr>
            <w:tcW w:w="3472" w:type="dxa"/>
            <w:vMerge/>
            <w:tcBorders>
              <w:top w:val="single" w:sz="4" w:space="0" w:color="auto"/>
              <w:left w:val="single" w:sz="4" w:space="0" w:color="auto"/>
              <w:bottom w:val="single" w:sz="4" w:space="0" w:color="auto"/>
              <w:right w:val="single" w:sz="4" w:space="0" w:color="auto"/>
            </w:tcBorders>
            <w:vAlign w:val="center"/>
            <w:hideMark/>
          </w:tcPr>
          <w:p w14:paraId="69612000" w14:textId="77777777" w:rsidR="00D21D80" w:rsidRPr="00F41C75" w:rsidRDefault="00D21D80" w:rsidP="00C955DB">
            <w:pPr>
              <w:spacing w:after="0" w:line="240" w:lineRule="auto"/>
              <w:jc w:val="both"/>
              <w:rPr>
                <w:rFonts w:ascii="Times New Roman" w:eastAsia="Times New Roman" w:hAnsi="Times New Roman" w:cs="Times New Roman"/>
                <w:b/>
                <w:bCs/>
                <w:noProof/>
                <w:lang w:val="en-GB" w:eastAsia="en-GB"/>
              </w:rPr>
            </w:pPr>
          </w:p>
        </w:tc>
      </w:tr>
      <w:tr w:rsidR="00D21D80" w:rsidRPr="005241FC" w14:paraId="62D5A9CF" w14:textId="77777777" w:rsidTr="008E333E">
        <w:trPr>
          <w:trHeight w:val="302"/>
          <w:jc w:val="center"/>
        </w:trPr>
        <w:tc>
          <w:tcPr>
            <w:tcW w:w="1207" w:type="dxa"/>
            <w:tcBorders>
              <w:top w:val="single" w:sz="4" w:space="0" w:color="auto"/>
              <w:left w:val="single" w:sz="4" w:space="0" w:color="auto"/>
              <w:bottom w:val="single" w:sz="4" w:space="0" w:color="auto"/>
              <w:right w:val="single" w:sz="4" w:space="0" w:color="auto"/>
            </w:tcBorders>
            <w:shd w:val="clear" w:color="auto" w:fill="C6EFCE"/>
            <w:noWrap/>
          </w:tcPr>
          <w:p w14:paraId="2D680B4F"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9</w:t>
            </w:r>
          </w:p>
        </w:tc>
        <w:tc>
          <w:tcPr>
            <w:tcW w:w="3684" w:type="dxa"/>
            <w:tcBorders>
              <w:top w:val="single" w:sz="4" w:space="0" w:color="auto"/>
              <w:left w:val="nil"/>
              <w:bottom w:val="single" w:sz="4" w:space="0" w:color="auto"/>
              <w:right w:val="single" w:sz="4" w:space="0" w:color="auto"/>
            </w:tcBorders>
            <w:shd w:val="clear" w:color="auto" w:fill="C6EFCE"/>
            <w:noWrap/>
          </w:tcPr>
          <w:p w14:paraId="0B86922B" w14:textId="77777777" w:rsidR="00D21D80" w:rsidRPr="009674F2" w:rsidRDefault="00D21D80" w:rsidP="00C955DB">
            <w:pPr>
              <w:spacing w:after="0"/>
              <w:jc w:val="both"/>
              <w:rPr>
                <w:rFonts w:ascii="Times New Roman" w:hAnsi="Times New Roman" w:cs="Times New Roman"/>
                <w:noProof/>
                <w:color w:val="006100"/>
              </w:rPr>
            </w:pPr>
            <w:r>
              <w:rPr>
                <w:rFonts w:ascii="Times New Roman" w:hAnsi="Times New Roman"/>
                <w:noProof/>
                <w:color w:val="006100"/>
              </w:rPr>
              <w:t>C1I1 Центрове за НТИМ и иновации в образованието</w:t>
            </w:r>
          </w:p>
        </w:tc>
        <w:tc>
          <w:tcPr>
            <w:tcW w:w="1701" w:type="dxa"/>
            <w:tcBorders>
              <w:top w:val="single" w:sz="4" w:space="0" w:color="auto"/>
              <w:left w:val="nil"/>
              <w:bottom w:val="single" w:sz="4" w:space="0" w:color="auto"/>
              <w:right w:val="single" w:sz="4" w:space="0" w:color="auto"/>
            </w:tcBorders>
            <w:shd w:val="clear" w:color="auto" w:fill="C6EFCE"/>
            <w:noWrap/>
          </w:tcPr>
          <w:p w14:paraId="44A24580" w14:textId="77777777" w:rsidR="00D21D80" w:rsidRPr="009674F2" w:rsidRDefault="00D21D80" w:rsidP="00C955DB">
            <w:pPr>
              <w:spacing w:after="0" w:line="240" w:lineRule="auto"/>
              <w:jc w:val="center"/>
              <w:rPr>
                <w:rFonts w:ascii="Times New Roman" w:hAnsi="Times New Roman" w:cs="Times New Roman"/>
                <w:noProof/>
                <w:color w:val="006100"/>
              </w:rPr>
            </w:pPr>
            <w:r>
              <w:rPr>
                <w:rFonts w:ascii="Times New Roman" w:hAnsi="Times New Roman"/>
                <w:noProof/>
                <w:color w:val="006100"/>
              </w:rPr>
              <w:t>Ключов етап</w:t>
            </w:r>
          </w:p>
        </w:tc>
        <w:tc>
          <w:tcPr>
            <w:tcW w:w="3472" w:type="dxa"/>
            <w:tcBorders>
              <w:top w:val="single" w:sz="4" w:space="0" w:color="auto"/>
              <w:left w:val="nil"/>
              <w:bottom w:val="single" w:sz="4" w:space="0" w:color="auto"/>
              <w:right w:val="single" w:sz="4" w:space="0" w:color="auto"/>
            </w:tcBorders>
            <w:shd w:val="clear" w:color="auto" w:fill="C6EFCE"/>
            <w:noWrap/>
          </w:tcPr>
          <w:p w14:paraId="20511D16" w14:textId="77777777" w:rsidR="00D21D80" w:rsidRPr="009674F2" w:rsidRDefault="00D21D80" w:rsidP="00C955DB">
            <w:pPr>
              <w:spacing w:after="0" w:line="240" w:lineRule="auto"/>
              <w:rPr>
                <w:rFonts w:ascii="Times New Roman" w:hAnsi="Times New Roman" w:cs="Times New Roman"/>
                <w:noProof/>
                <w:color w:val="006100"/>
              </w:rPr>
            </w:pPr>
            <w:r>
              <w:rPr>
                <w:rFonts w:ascii="Times New Roman" w:hAnsi="Times New Roman"/>
                <w:noProof/>
                <w:color w:val="006100"/>
              </w:rPr>
              <w:t>Подписване на договори за изграждане или обновяване на национални и регионални центрове за НТИМ и на лаборатории за НТИМ в училищата</w:t>
            </w:r>
          </w:p>
        </w:tc>
      </w:tr>
      <w:tr w:rsidR="00D21D80" w:rsidRPr="005241FC" w14:paraId="40989969" w14:textId="77777777" w:rsidTr="7B697459">
        <w:trPr>
          <w:trHeight w:val="302"/>
          <w:jc w:val="center"/>
        </w:trPr>
        <w:tc>
          <w:tcPr>
            <w:tcW w:w="1207" w:type="dxa"/>
            <w:tcBorders>
              <w:top w:val="nil"/>
              <w:left w:val="single" w:sz="4" w:space="0" w:color="auto"/>
              <w:bottom w:val="single" w:sz="4" w:space="0" w:color="auto"/>
              <w:right w:val="single" w:sz="4" w:space="0" w:color="auto"/>
            </w:tcBorders>
            <w:shd w:val="clear" w:color="auto" w:fill="C6EFCE"/>
            <w:noWrap/>
          </w:tcPr>
          <w:p w14:paraId="39E05BB7"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4</w:t>
            </w:r>
          </w:p>
        </w:tc>
        <w:tc>
          <w:tcPr>
            <w:tcW w:w="3684" w:type="dxa"/>
            <w:tcBorders>
              <w:top w:val="nil"/>
              <w:left w:val="nil"/>
              <w:bottom w:val="single" w:sz="4" w:space="0" w:color="auto"/>
              <w:right w:val="single" w:sz="4" w:space="0" w:color="auto"/>
            </w:tcBorders>
            <w:shd w:val="clear" w:color="auto" w:fill="C6EFCE"/>
            <w:noWrap/>
          </w:tcPr>
          <w:p w14:paraId="6F2B5C6F" w14:textId="77777777" w:rsidR="00D21D80" w:rsidRPr="009674F2" w:rsidRDefault="00D21D80" w:rsidP="00C955DB">
            <w:pPr>
              <w:spacing w:after="0"/>
              <w:jc w:val="both"/>
              <w:rPr>
                <w:rFonts w:ascii="Times New Roman" w:hAnsi="Times New Roman" w:cs="Times New Roman"/>
                <w:noProof/>
                <w:color w:val="006100"/>
              </w:rPr>
            </w:pPr>
            <w:r>
              <w:rPr>
                <w:rFonts w:ascii="Times New Roman" w:hAnsi="Times New Roman"/>
                <w:noProof/>
                <w:color w:val="006100"/>
              </w:rPr>
              <w:t>C1R1 Реформа в предучилищното, училищното образование и ученето през целия живот</w:t>
            </w:r>
          </w:p>
        </w:tc>
        <w:tc>
          <w:tcPr>
            <w:tcW w:w="1701" w:type="dxa"/>
            <w:tcBorders>
              <w:top w:val="nil"/>
              <w:left w:val="nil"/>
              <w:bottom w:val="single" w:sz="4" w:space="0" w:color="auto"/>
              <w:right w:val="single" w:sz="4" w:space="0" w:color="auto"/>
            </w:tcBorders>
            <w:shd w:val="clear" w:color="auto" w:fill="C6EFCE"/>
            <w:noWrap/>
          </w:tcPr>
          <w:p w14:paraId="6D86102C" w14:textId="77777777" w:rsidR="00D21D80" w:rsidRPr="009674F2" w:rsidRDefault="00D21D80" w:rsidP="00C955DB">
            <w:pPr>
              <w:spacing w:after="0" w:line="240" w:lineRule="auto"/>
              <w:jc w:val="center"/>
              <w:rPr>
                <w:rFonts w:ascii="Times New Roman" w:hAnsi="Times New Roman" w:cs="Times New Roman"/>
                <w:noProof/>
                <w:color w:val="006100"/>
              </w:rPr>
            </w:pPr>
            <w:r>
              <w:rPr>
                <w:rFonts w:ascii="Times New Roman" w:hAnsi="Times New Roman"/>
                <w:noProof/>
                <w:color w:val="006100"/>
              </w:rPr>
              <w:t>Ключов етап</w:t>
            </w:r>
          </w:p>
        </w:tc>
        <w:tc>
          <w:tcPr>
            <w:tcW w:w="3472" w:type="dxa"/>
            <w:tcBorders>
              <w:top w:val="nil"/>
              <w:left w:val="nil"/>
              <w:bottom w:val="single" w:sz="4" w:space="0" w:color="auto"/>
              <w:right w:val="single" w:sz="4" w:space="0" w:color="auto"/>
            </w:tcBorders>
            <w:shd w:val="clear" w:color="auto" w:fill="C6EFCE"/>
            <w:noWrap/>
          </w:tcPr>
          <w:p w14:paraId="4B275FF2" w14:textId="77777777" w:rsidR="00D21D80" w:rsidRPr="009674F2" w:rsidRDefault="00D21D80" w:rsidP="00C955DB">
            <w:pPr>
              <w:spacing w:after="0" w:line="240" w:lineRule="auto"/>
              <w:jc w:val="both"/>
              <w:rPr>
                <w:rFonts w:ascii="Times New Roman" w:hAnsi="Times New Roman" w:cs="Times New Roman"/>
                <w:noProof/>
                <w:color w:val="006100"/>
              </w:rPr>
            </w:pPr>
            <w:r>
              <w:rPr>
                <w:rFonts w:ascii="Times New Roman" w:hAnsi="Times New Roman"/>
                <w:noProof/>
                <w:color w:val="006100"/>
              </w:rPr>
              <w:t xml:space="preserve">Влизане в сила на измененията на нормативната уредба на професионалното образование и обучение </w:t>
            </w:r>
          </w:p>
        </w:tc>
      </w:tr>
      <w:tr w:rsidR="00D21D80" w:rsidRPr="005241FC" w14:paraId="2FAAFBF5" w14:textId="77777777" w:rsidTr="7B697459">
        <w:trPr>
          <w:trHeight w:val="302"/>
          <w:jc w:val="center"/>
        </w:trPr>
        <w:tc>
          <w:tcPr>
            <w:tcW w:w="1207" w:type="dxa"/>
            <w:tcBorders>
              <w:top w:val="nil"/>
              <w:left w:val="single" w:sz="4" w:space="0" w:color="auto"/>
              <w:bottom w:val="single" w:sz="4" w:space="0" w:color="auto"/>
              <w:right w:val="single" w:sz="4" w:space="0" w:color="auto"/>
            </w:tcBorders>
            <w:shd w:val="clear" w:color="auto" w:fill="C6EFCE"/>
            <w:noWrap/>
          </w:tcPr>
          <w:p w14:paraId="39422A76" w14:textId="41415835"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12</w:t>
            </w:r>
          </w:p>
        </w:tc>
        <w:tc>
          <w:tcPr>
            <w:tcW w:w="3684" w:type="dxa"/>
            <w:tcBorders>
              <w:top w:val="nil"/>
              <w:left w:val="nil"/>
              <w:bottom w:val="single" w:sz="4" w:space="0" w:color="auto"/>
              <w:right w:val="single" w:sz="4" w:space="0" w:color="auto"/>
            </w:tcBorders>
            <w:shd w:val="clear" w:color="auto" w:fill="C6EFCE"/>
            <w:noWrap/>
          </w:tcPr>
          <w:p w14:paraId="3A63B820" w14:textId="58A67298" w:rsidR="00D21D80" w:rsidRPr="009674F2" w:rsidDel="00ED27EC" w:rsidRDefault="00D21D80" w:rsidP="00C955DB">
            <w:pPr>
              <w:spacing w:after="0"/>
              <w:jc w:val="both"/>
              <w:rPr>
                <w:rFonts w:ascii="Times New Roman" w:hAnsi="Times New Roman" w:cs="Times New Roman"/>
                <w:noProof/>
                <w:color w:val="006100"/>
              </w:rPr>
            </w:pPr>
            <w:r>
              <w:rPr>
                <w:rFonts w:ascii="Times New Roman" w:hAnsi="Times New Roman"/>
                <w:noProof/>
                <w:color w:val="006100"/>
              </w:rPr>
              <w:t>C1I2 Модернизиране на образователната инфраструктура</w:t>
            </w:r>
          </w:p>
          <w:p w14:paraId="1E9B7380" w14:textId="77777777" w:rsidR="00D21D80" w:rsidRPr="009674F2" w:rsidRDefault="00D21D80" w:rsidP="00ED27EC">
            <w:pPr>
              <w:spacing w:after="0"/>
              <w:jc w:val="both"/>
              <w:rPr>
                <w:rFonts w:ascii="Times New Roman" w:hAnsi="Times New Roman" w:cs="Times New Roman"/>
                <w:noProof/>
                <w:color w:val="006100"/>
                <w:lang w:val="en-US"/>
              </w:rPr>
            </w:pPr>
          </w:p>
        </w:tc>
        <w:tc>
          <w:tcPr>
            <w:tcW w:w="1701" w:type="dxa"/>
            <w:tcBorders>
              <w:top w:val="nil"/>
              <w:left w:val="nil"/>
              <w:bottom w:val="single" w:sz="4" w:space="0" w:color="auto"/>
              <w:right w:val="single" w:sz="4" w:space="0" w:color="auto"/>
            </w:tcBorders>
            <w:shd w:val="clear" w:color="auto" w:fill="C6EFCE"/>
            <w:noWrap/>
          </w:tcPr>
          <w:p w14:paraId="4CAAC11A" w14:textId="42BD4281" w:rsidR="00D21D80" w:rsidRPr="009674F2" w:rsidRDefault="00D21D80" w:rsidP="00C955DB">
            <w:pPr>
              <w:spacing w:after="0" w:line="240" w:lineRule="auto"/>
              <w:jc w:val="center"/>
              <w:rPr>
                <w:rFonts w:ascii="Times New Roman" w:hAnsi="Times New Roman" w:cs="Times New Roman"/>
                <w:noProof/>
                <w:color w:val="006100"/>
              </w:rPr>
            </w:pPr>
            <w:r>
              <w:rPr>
                <w:rFonts w:ascii="Times New Roman" w:hAnsi="Times New Roman"/>
                <w:noProof/>
                <w:color w:val="006100"/>
              </w:rPr>
              <w:t>Ключов етап</w:t>
            </w:r>
          </w:p>
        </w:tc>
        <w:tc>
          <w:tcPr>
            <w:tcW w:w="3472" w:type="dxa"/>
            <w:tcBorders>
              <w:top w:val="nil"/>
              <w:left w:val="nil"/>
              <w:bottom w:val="single" w:sz="4" w:space="0" w:color="auto"/>
              <w:right w:val="single" w:sz="4" w:space="0" w:color="auto"/>
            </w:tcBorders>
            <w:shd w:val="clear" w:color="auto" w:fill="C6EFCE"/>
            <w:noWrap/>
          </w:tcPr>
          <w:p w14:paraId="4DBEE6D9" w14:textId="76344E18" w:rsidR="00D21D80" w:rsidRPr="009674F2" w:rsidRDefault="00D21D80" w:rsidP="00C955DB">
            <w:pPr>
              <w:spacing w:after="0" w:line="240" w:lineRule="auto"/>
              <w:rPr>
                <w:rFonts w:ascii="Times New Roman" w:hAnsi="Times New Roman" w:cs="Times New Roman"/>
                <w:noProof/>
                <w:color w:val="006100"/>
              </w:rPr>
            </w:pPr>
            <w:r>
              <w:rPr>
                <w:rFonts w:ascii="Times New Roman" w:hAnsi="Times New Roman"/>
                <w:noProof/>
                <w:color w:val="006100"/>
              </w:rPr>
              <w:t>Подписване на договори за изграждане или обновяване на образователна инфраструктура</w:t>
            </w:r>
          </w:p>
        </w:tc>
      </w:tr>
      <w:tr w:rsidR="00D21D80" w:rsidRPr="005241FC" w14:paraId="3ECCB127" w14:textId="77777777" w:rsidTr="7B697459">
        <w:trPr>
          <w:trHeight w:val="302"/>
          <w:jc w:val="center"/>
        </w:trPr>
        <w:tc>
          <w:tcPr>
            <w:tcW w:w="1207" w:type="dxa"/>
            <w:tcBorders>
              <w:top w:val="nil"/>
              <w:left w:val="single" w:sz="4" w:space="0" w:color="auto"/>
              <w:bottom w:val="single" w:sz="4" w:space="0" w:color="auto"/>
              <w:right w:val="single" w:sz="4" w:space="0" w:color="auto"/>
            </w:tcBorders>
            <w:shd w:val="clear" w:color="auto" w:fill="C6EFCE"/>
            <w:noWrap/>
          </w:tcPr>
          <w:p w14:paraId="4D90B9C6"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303</w:t>
            </w:r>
          </w:p>
        </w:tc>
        <w:tc>
          <w:tcPr>
            <w:tcW w:w="3684" w:type="dxa"/>
            <w:tcBorders>
              <w:top w:val="nil"/>
              <w:left w:val="nil"/>
              <w:bottom w:val="single" w:sz="4" w:space="0" w:color="auto"/>
              <w:right w:val="single" w:sz="4" w:space="0" w:color="auto"/>
            </w:tcBorders>
            <w:shd w:val="clear" w:color="auto" w:fill="C6EFCE"/>
            <w:noWrap/>
          </w:tcPr>
          <w:p w14:paraId="4433BD9E" w14:textId="77777777" w:rsidR="00D21D80" w:rsidRPr="009674F2" w:rsidRDefault="00D21D80" w:rsidP="00C955DB">
            <w:pPr>
              <w:spacing w:after="0"/>
              <w:jc w:val="both"/>
              <w:rPr>
                <w:rFonts w:ascii="Times New Roman" w:hAnsi="Times New Roman" w:cs="Times New Roman"/>
                <w:noProof/>
                <w:color w:val="006100"/>
              </w:rPr>
            </w:pPr>
            <w:r>
              <w:rPr>
                <w:rFonts w:ascii="Times New Roman" w:hAnsi="Times New Roman"/>
                <w:noProof/>
                <w:color w:val="006100"/>
              </w:rPr>
              <w:t>C11I4 Модернизиране на Агенцията за социално подпомагане</w:t>
            </w:r>
          </w:p>
        </w:tc>
        <w:tc>
          <w:tcPr>
            <w:tcW w:w="1701" w:type="dxa"/>
            <w:tcBorders>
              <w:top w:val="nil"/>
              <w:left w:val="nil"/>
              <w:bottom w:val="single" w:sz="4" w:space="0" w:color="auto"/>
              <w:right w:val="single" w:sz="4" w:space="0" w:color="auto"/>
            </w:tcBorders>
            <w:shd w:val="clear" w:color="auto" w:fill="C6EFCE"/>
            <w:noWrap/>
          </w:tcPr>
          <w:p w14:paraId="0FFE2454" w14:textId="77777777" w:rsidR="00D21D80" w:rsidRPr="009674F2" w:rsidRDefault="00D21D80" w:rsidP="00C955DB">
            <w:pPr>
              <w:spacing w:after="0" w:line="240" w:lineRule="auto"/>
              <w:jc w:val="center"/>
              <w:rPr>
                <w:rFonts w:ascii="Times New Roman" w:hAnsi="Times New Roman" w:cs="Times New Roman"/>
                <w:noProof/>
                <w:color w:val="006100"/>
              </w:rPr>
            </w:pPr>
            <w:r>
              <w:rPr>
                <w:rFonts w:ascii="Times New Roman" w:hAnsi="Times New Roman"/>
                <w:noProof/>
                <w:color w:val="006100"/>
              </w:rPr>
              <w:t>Ключов етап</w:t>
            </w:r>
          </w:p>
        </w:tc>
        <w:tc>
          <w:tcPr>
            <w:tcW w:w="3472" w:type="dxa"/>
            <w:tcBorders>
              <w:top w:val="nil"/>
              <w:left w:val="nil"/>
              <w:bottom w:val="single" w:sz="4" w:space="0" w:color="auto"/>
              <w:right w:val="single" w:sz="4" w:space="0" w:color="auto"/>
            </w:tcBorders>
            <w:shd w:val="clear" w:color="auto" w:fill="C6EFCE"/>
            <w:noWrap/>
          </w:tcPr>
          <w:p w14:paraId="23C45A66" w14:textId="77777777" w:rsidR="00D21D80" w:rsidRPr="009674F2" w:rsidRDefault="00D21D80" w:rsidP="00C955DB">
            <w:pPr>
              <w:spacing w:after="0" w:line="240" w:lineRule="auto"/>
              <w:rPr>
                <w:rFonts w:ascii="Times New Roman" w:hAnsi="Times New Roman" w:cs="Times New Roman"/>
                <w:noProof/>
                <w:color w:val="006100"/>
              </w:rPr>
            </w:pPr>
            <w:r>
              <w:rPr>
                <w:rFonts w:ascii="Times New Roman" w:hAnsi="Times New Roman"/>
                <w:noProof/>
                <w:color w:val="006100"/>
              </w:rPr>
              <w:t>Сключване на договори за ремонт и обзавеждане на местните представителства на Агенцията за социално подпомагане</w:t>
            </w:r>
          </w:p>
        </w:tc>
      </w:tr>
      <w:tr w:rsidR="00D21D80" w:rsidRPr="005241FC" w14:paraId="5F708EA2" w14:textId="77777777" w:rsidTr="7B697459">
        <w:trPr>
          <w:trHeight w:val="302"/>
          <w:jc w:val="center"/>
        </w:trPr>
        <w:tc>
          <w:tcPr>
            <w:tcW w:w="1207" w:type="dxa"/>
            <w:tcBorders>
              <w:top w:val="nil"/>
              <w:left w:val="single" w:sz="4" w:space="0" w:color="auto"/>
              <w:bottom w:val="single" w:sz="4" w:space="0" w:color="auto"/>
              <w:right w:val="single" w:sz="4" w:space="0" w:color="auto"/>
            </w:tcBorders>
            <w:shd w:val="clear" w:color="auto" w:fill="C6EFCE"/>
            <w:noWrap/>
          </w:tcPr>
          <w:p w14:paraId="4DB5048D" w14:textId="24C621E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25</w:t>
            </w:r>
          </w:p>
        </w:tc>
        <w:tc>
          <w:tcPr>
            <w:tcW w:w="3684" w:type="dxa"/>
            <w:tcBorders>
              <w:top w:val="nil"/>
              <w:left w:val="nil"/>
              <w:bottom w:val="single" w:sz="4" w:space="0" w:color="auto"/>
              <w:right w:val="single" w:sz="4" w:space="0" w:color="auto"/>
            </w:tcBorders>
            <w:shd w:val="clear" w:color="auto" w:fill="C6EFCE"/>
            <w:noWrap/>
            <w:vAlign w:val="center"/>
          </w:tcPr>
          <w:p w14:paraId="347C77D4" w14:textId="7D91475C" w:rsidR="00D21D80" w:rsidRPr="009674F2" w:rsidRDefault="00D21D80" w:rsidP="00C955DB">
            <w:pPr>
              <w:spacing w:after="0" w:line="240" w:lineRule="auto"/>
              <w:jc w:val="both"/>
              <w:rPr>
                <w:rFonts w:ascii="Times New Roman" w:hAnsi="Times New Roman" w:cs="Times New Roman"/>
                <w:noProof/>
                <w:color w:val="006100"/>
              </w:rPr>
            </w:pPr>
            <w:r>
              <w:rPr>
                <w:rFonts w:ascii="Times New Roman" w:hAnsi="Times New Roman"/>
                <w:noProof/>
                <w:color w:val="006100"/>
              </w:rPr>
              <w:t xml:space="preserve">C2R1 Обща политика за развитие на научните изследвания и иновациите </w:t>
            </w:r>
          </w:p>
        </w:tc>
        <w:tc>
          <w:tcPr>
            <w:tcW w:w="1701" w:type="dxa"/>
            <w:tcBorders>
              <w:top w:val="nil"/>
              <w:left w:val="nil"/>
              <w:bottom w:val="single" w:sz="4" w:space="0" w:color="auto"/>
              <w:right w:val="single" w:sz="4" w:space="0" w:color="auto"/>
            </w:tcBorders>
            <w:shd w:val="clear" w:color="auto" w:fill="C6EFCE"/>
            <w:noWrap/>
            <w:vAlign w:val="center"/>
          </w:tcPr>
          <w:p w14:paraId="260DDB5B" w14:textId="71F84DEF" w:rsidR="00D21D80" w:rsidRPr="009674F2" w:rsidRDefault="00D21D80" w:rsidP="00C955DB">
            <w:pPr>
              <w:spacing w:after="0" w:line="240" w:lineRule="auto"/>
              <w:jc w:val="center"/>
              <w:rPr>
                <w:rFonts w:ascii="Times New Roman" w:hAnsi="Times New Roman" w:cs="Times New Roman"/>
                <w:noProof/>
                <w:color w:val="006100"/>
              </w:rPr>
            </w:pPr>
            <w:r>
              <w:rPr>
                <w:rFonts w:ascii="Times New Roman" w:hAnsi="Times New Roman"/>
                <w:noProof/>
                <w:color w:val="006100"/>
              </w:rPr>
              <w:t>Ключов етап</w:t>
            </w:r>
          </w:p>
        </w:tc>
        <w:tc>
          <w:tcPr>
            <w:tcW w:w="3472" w:type="dxa"/>
            <w:tcBorders>
              <w:top w:val="nil"/>
              <w:left w:val="nil"/>
              <w:bottom w:val="single" w:sz="4" w:space="0" w:color="auto"/>
              <w:right w:val="single" w:sz="4" w:space="0" w:color="auto"/>
            </w:tcBorders>
            <w:shd w:val="clear" w:color="auto" w:fill="C6EFCE"/>
            <w:noWrap/>
            <w:vAlign w:val="center"/>
          </w:tcPr>
          <w:p w14:paraId="7CA4F5A4" w14:textId="45956C32" w:rsidR="00D21D80" w:rsidRPr="009674F2" w:rsidRDefault="00D21D80" w:rsidP="00C955DB">
            <w:pPr>
              <w:spacing w:after="0" w:line="240" w:lineRule="auto"/>
              <w:jc w:val="both"/>
              <w:rPr>
                <w:rFonts w:ascii="Times New Roman" w:hAnsi="Times New Roman" w:cs="Times New Roman"/>
                <w:noProof/>
                <w:color w:val="006100"/>
              </w:rPr>
            </w:pPr>
            <w:r>
              <w:rPr>
                <w:rFonts w:ascii="Times New Roman" w:hAnsi="Times New Roman"/>
                <w:noProof/>
                <w:color w:val="006100"/>
              </w:rPr>
              <w:t>Създаване на Съвет по иновации</w:t>
            </w:r>
          </w:p>
        </w:tc>
      </w:tr>
      <w:tr w:rsidR="00D21D80" w:rsidRPr="005241FC" w14:paraId="23AADB13" w14:textId="77777777" w:rsidTr="7B697459">
        <w:trPr>
          <w:trHeight w:val="302"/>
          <w:jc w:val="center"/>
        </w:trPr>
        <w:tc>
          <w:tcPr>
            <w:tcW w:w="1207" w:type="dxa"/>
            <w:tcBorders>
              <w:top w:val="nil"/>
              <w:left w:val="single" w:sz="4" w:space="0" w:color="auto"/>
              <w:bottom w:val="single" w:sz="4" w:space="0" w:color="auto"/>
              <w:right w:val="single" w:sz="4" w:space="0" w:color="auto"/>
            </w:tcBorders>
            <w:shd w:val="clear" w:color="auto" w:fill="C6EFCE"/>
            <w:noWrap/>
          </w:tcPr>
          <w:p w14:paraId="7C1CD901"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41</w:t>
            </w:r>
          </w:p>
        </w:tc>
        <w:tc>
          <w:tcPr>
            <w:tcW w:w="3684" w:type="dxa"/>
            <w:tcBorders>
              <w:top w:val="nil"/>
              <w:left w:val="nil"/>
              <w:bottom w:val="single" w:sz="4" w:space="0" w:color="auto"/>
              <w:right w:val="single" w:sz="4" w:space="0" w:color="auto"/>
            </w:tcBorders>
            <w:shd w:val="clear" w:color="auto" w:fill="C6EFCE"/>
            <w:noWrap/>
            <w:vAlign w:val="center"/>
          </w:tcPr>
          <w:p w14:paraId="79BDFABD" w14:textId="77777777" w:rsidR="00D21D80" w:rsidRPr="009674F2" w:rsidRDefault="00D21D80" w:rsidP="00C955DB">
            <w:pPr>
              <w:spacing w:after="0" w:line="240" w:lineRule="auto"/>
              <w:jc w:val="both"/>
              <w:rPr>
                <w:rFonts w:ascii="Times New Roman" w:hAnsi="Times New Roman" w:cs="Times New Roman"/>
                <w:noProof/>
                <w:color w:val="006100"/>
              </w:rPr>
            </w:pPr>
            <w:r>
              <w:rPr>
                <w:rFonts w:ascii="Times New Roman" w:hAnsi="Times New Roman"/>
                <w:noProof/>
                <w:color w:val="006100"/>
              </w:rPr>
              <w:t>C3I21.а Гаранционен инструмент за растеж</w:t>
            </w:r>
          </w:p>
        </w:tc>
        <w:tc>
          <w:tcPr>
            <w:tcW w:w="1701" w:type="dxa"/>
            <w:tcBorders>
              <w:top w:val="nil"/>
              <w:left w:val="nil"/>
              <w:bottom w:val="single" w:sz="4" w:space="0" w:color="auto"/>
              <w:right w:val="single" w:sz="4" w:space="0" w:color="auto"/>
            </w:tcBorders>
            <w:shd w:val="clear" w:color="auto" w:fill="C6EFCE"/>
            <w:noWrap/>
            <w:vAlign w:val="center"/>
          </w:tcPr>
          <w:p w14:paraId="08491CC6" w14:textId="77777777" w:rsidR="00D21D80" w:rsidRPr="009674F2" w:rsidRDefault="00D21D80" w:rsidP="00C955DB">
            <w:pPr>
              <w:spacing w:after="0" w:line="240" w:lineRule="auto"/>
              <w:jc w:val="center"/>
              <w:rPr>
                <w:rFonts w:ascii="Times New Roman" w:hAnsi="Times New Roman" w:cs="Times New Roman"/>
                <w:noProof/>
                <w:color w:val="006100"/>
              </w:rPr>
            </w:pPr>
            <w:r>
              <w:rPr>
                <w:rFonts w:ascii="Times New Roman" w:hAnsi="Times New Roman"/>
                <w:noProof/>
                <w:color w:val="006100"/>
              </w:rPr>
              <w:t>Цел</w:t>
            </w:r>
          </w:p>
        </w:tc>
        <w:tc>
          <w:tcPr>
            <w:tcW w:w="3472" w:type="dxa"/>
            <w:tcBorders>
              <w:top w:val="nil"/>
              <w:left w:val="nil"/>
              <w:bottom w:val="single" w:sz="4" w:space="0" w:color="auto"/>
              <w:right w:val="single" w:sz="4" w:space="0" w:color="auto"/>
            </w:tcBorders>
            <w:shd w:val="clear" w:color="auto" w:fill="C6EFCE"/>
            <w:noWrap/>
            <w:vAlign w:val="center"/>
          </w:tcPr>
          <w:p w14:paraId="77E191FF" w14:textId="77777777" w:rsidR="00D21D80" w:rsidRPr="009674F2" w:rsidRDefault="00D21D80" w:rsidP="00C955DB">
            <w:pPr>
              <w:spacing w:after="0" w:line="240" w:lineRule="auto"/>
              <w:rPr>
                <w:rFonts w:ascii="Times New Roman" w:hAnsi="Times New Roman" w:cs="Times New Roman"/>
                <w:noProof/>
                <w:color w:val="006100"/>
              </w:rPr>
            </w:pPr>
            <w:r>
              <w:rPr>
                <w:rFonts w:ascii="Times New Roman" w:hAnsi="Times New Roman"/>
                <w:noProof/>
                <w:color w:val="006100"/>
              </w:rPr>
              <w:t xml:space="preserve">Операции в размер най-малко на 50 % от общото предвидено финансиране, одобрени от инвестиционния комитет на InvestEU </w:t>
            </w:r>
          </w:p>
        </w:tc>
      </w:tr>
      <w:tr w:rsidR="00D21D80" w:rsidRPr="00F41C75" w14:paraId="2816B584" w14:textId="77777777" w:rsidTr="7B697459">
        <w:trPr>
          <w:trHeight w:val="302"/>
          <w:jc w:val="center"/>
        </w:trPr>
        <w:tc>
          <w:tcPr>
            <w:tcW w:w="1207" w:type="dxa"/>
            <w:tcBorders>
              <w:top w:val="nil"/>
              <w:left w:val="single" w:sz="4" w:space="0" w:color="auto"/>
              <w:bottom w:val="single" w:sz="4" w:space="0" w:color="auto"/>
              <w:right w:val="single" w:sz="4" w:space="0" w:color="auto"/>
            </w:tcBorders>
            <w:shd w:val="clear" w:color="auto" w:fill="C6EFCE"/>
            <w:noWrap/>
          </w:tcPr>
          <w:p w14:paraId="6CA3300E"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53</w:t>
            </w:r>
          </w:p>
        </w:tc>
        <w:tc>
          <w:tcPr>
            <w:tcW w:w="3684" w:type="dxa"/>
            <w:tcBorders>
              <w:top w:val="nil"/>
              <w:left w:val="nil"/>
              <w:bottom w:val="single" w:sz="4" w:space="0" w:color="auto"/>
              <w:right w:val="single" w:sz="4" w:space="0" w:color="auto"/>
            </w:tcBorders>
            <w:shd w:val="clear" w:color="auto" w:fill="C6EFCE"/>
            <w:noWrap/>
            <w:vAlign w:val="center"/>
          </w:tcPr>
          <w:p w14:paraId="4B778637" w14:textId="77777777" w:rsidR="00D21D80" w:rsidRPr="009674F2" w:rsidRDefault="00D21D80" w:rsidP="00C955DB">
            <w:pPr>
              <w:spacing w:after="0" w:line="240" w:lineRule="auto"/>
              <w:jc w:val="both"/>
              <w:rPr>
                <w:rFonts w:ascii="Times New Roman" w:hAnsi="Times New Roman" w:cs="Times New Roman"/>
                <w:noProof/>
                <w:color w:val="006100"/>
              </w:rPr>
            </w:pPr>
            <w:r>
              <w:rPr>
                <w:rFonts w:ascii="Times New Roman" w:hAnsi="Times New Roman"/>
                <w:noProof/>
                <w:color w:val="006100"/>
              </w:rPr>
              <w:t>C3I2.2.а Схема за безвъзмездни средства за съчетаване на възобновяеми източници на електроенергия със съхранение на място</w:t>
            </w:r>
          </w:p>
        </w:tc>
        <w:tc>
          <w:tcPr>
            <w:tcW w:w="1701" w:type="dxa"/>
            <w:tcBorders>
              <w:top w:val="nil"/>
              <w:left w:val="nil"/>
              <w:bottom w:val="single" w:sz="4" w:space="0" w:color="auto"/>
              <w:right w:val="single" w:sz="4" w:space="0" w:color="auto"/>
            </w:tcBorders>
            <w:shd w:val="clear" w:color="auto" w:fill="C6EFCE"/>
            <w:noWrap/>
            <w:vAlign w:val="center"/>
          </w:tcPr>
          <w:p w14:paraId="4364D302" w14:textId="77777777" w:rsidR="00D21D80" w:rsidRPr="009674F2" w:rsidRDefault="00D21D80" w:rsidP="00C955DB">
            <w:pPr>
              <w:spacing w:after="0" w:line="240" w:lineRule="auto"/>
              <w:jc w:val="center"/>
              <w:rPr>
                <w:rFonts w:ascii="Times New Roman" w:hAnsi="Times New Roman" w:cs="Times New Roman"/>
                <w:noProof/>
                <w:color w:val="006100"/>
              </w:rPr>
            </w:pPr>
            <w:r>
              <w:rPr>
                <w:rFonts w:ascii="Times New Roman" w:hAnsi="Times New Roman"/>
                <w:noProof/>
                <w:color w:val="006100"/>
              </w:rPr>
              <w:t>Ключов етап</w:t>
            </w:r>
          </w:p>
        </w:tc>
        <w:tc>
          <w:tcPr>
            <w:tcW w:w="3472" w:type="dxa"/>
            <w:tcBorders>
              <w:top w:val="nil"/>
              <w:left w:val="nil"/>
              <w:bottom w:val="single" w:sz="4" w:space="0" w:color="auto"/>
              <w:right w:val="single" w:sz="4" w:space="0" w:color="auto"/>
            </w:tcBorders>
            <w:shd w:val="clear" w:color="auto" w:fill="C6EFCE"/>
            <w:noWrap/>
            <w:vAlign w:val="center"/>
          </w:tcPr>
          <w:p w14:paraId="0DFFC434" w14:textId="77777777" w:rsidR="00D21D80" w:rsidRPr="009674F2" w:rsidRDefault="00D21D80" w:rsidP="00C955DB">
            <w:pPr>
              <w:spacing w:after="0" w:line="240" w:lineRule="auto"/>
              <w:jc w:val="both"/>
              <w:rPr>
                <w:rFonts w:ascii="Times New Roman" w:hAnsi="Times New Roman" w:cs="Times New Roman"/>
                <w:noProof/>
                <w:color w:val="006100"/>
              </w:rPr>
            </w:pPr>
            <w:r>
              <w:rPr>
                <w:rFonts w:ascii="Times New Roman" w:hAnsi="Times New Roman"/>
                <w:noProof/>
                <w:color w:val="006100"/>
              </w:rPr>
              <w:t xml:space="preserve">Приключили процедури за подбор </w:t>
            </w:r>
          </w:p>
        </w:tc>
      </w:tr>
      <w:tr w:rsidR="00D21D80" w:rsidRPr="005241FC" w14:paraId="2007181A" w14:textId="77777777" w:rsidTr="7B697459">
        <w:trPr>
          <w:trHeight w:val="302"/>
          <w:jc w:val="center"/>
        </w:trPr>
        <w:tc>
          <w:tcPr>
            <w:tcW w:w="1207" w:type="dxa"/>
            <w:tcBorders>
              <w:top w:val="nil"/>
              <w:left w:val="single" w:sz="4" w:space="0" w:color="auto"/>
              <w:bottom w:val="single" w:sz="4" w:space="0" w:color="auto"/>
              <w:right w:val="single" w:sz="4" w:space="0" w:color="auto"/>
            </w:tcBorders>
            <w:shd w:val="clear" w:color="auto" w:fill="C6EFCE"/>
            <w:noWrap/>
          </w:tcPr>
          <w:p w14:paraId="0A3E4C64"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57</w:t>
            </w:r>
          </w:p>
        </w:tc>
        <w:tc>
          <w:tcPr>
            <w:tcW w:w="3684" w:type="dxa"/>
            <w:tcBorders>
              <w:top w:val="nil"/>
              <w:left w:val="nil"/>
              <w:bottom w:val="single" w:sz="4" w:space="0" w:color="auto"/>
              <w:right w:val="single" w:sz="4" w:space="0" w:color="auto"/>
            </w:tcBorders>
            <w:shd w:val="clear" w:color="auto" w:fill="C6EFCE"/>
            <w:noWrap/>
            <w:vAlign w:val="center"/>
          </w:tcPr>
          <w:p w14:paraId="13055E17" w14:textId="77777777" w:rsidR="00D21D80" w:rsidRPr="009674F2" w:rsidRDefault="00D21D80" w:rsidP="00C955DB">
            <w:pPr>
              <w:spacing w:after="0" w:line="240" w:lineRule="auto"/>
              <w:jc w:val="both"/>
              <w:rPr>
                <w:rFonts w:ascii="Times New Roman" w:hAnsi="Times New Roman" w:cs="Times New Roman"/>
                <w:noProof/>
                <w:color w:val="006100"/>
              </w:rPr>
            </w:pPr>
            <w:r>
              <w:rPr>
                <w:rFonts w:ascii="Times New Roman" w:hAnsi="Times New Roman"/>
                <w:noProof/>
                <w:color w:val="006100"/>
              </w:rPr>
              <w:t>C3I2.2.b — Гаранционен инструмент за енергийна ефективност и възобновяема енергия</w:t>
            </w:r>
          </w:p>
        </w:tc>
        <w:tc>
          <w:tcPr>
            <w:tcW w:w="1701" w:type="dxa"/>
            <w:tcBorders>
              <w:top w:val="nil"/>
              <w:left w:val="nil"/>
              <w:bottom w:val="single" w:sz="4" w:space="0" w:color="auto"/>
              <w:right w:val="single" w:sz="4" w:space="0" w:color="auto"/>
            </w:tcBorders>
            <w:shd w:val="clear" w:color="auto" w:fill="C6EFCE"/>
            <w:noWrap/>
            <w:vAlign w:val="center"/>
          </w:tcPr>
          <w:p w14:paraId="4FF74FF4"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Цел</w:t>
            </w:r>
          </w:p>
        </w:tc>
        <w:tc>
          <w:tcPr>
            <w:tcW w:w="3472" w:type="dxa"/>
            <w:tcBorders>
              <w:top w:val="nil"/>
              <w:left w:val="nil"/>
              <w:bottom w:val="single" w:sz="4" w:space="0" w:color="auto"/>
              <w:right w:val="single" w:sz="4" w:space="0" w:color="auto"/>
            </w:tcBorders>
            <w:shd w:val="clear" w:color="auto" w:fill="C6EFCE"/>
            <w:noWrap/>
            <w:vAlign w:val="center"/>
          </w:tcPr>
          <w:p w14:paraId="5DC314F0" w14:textId="77777777" w:rsidR="00D21D80" w:rsidRPr="009674F2" w:rsidRDefault="00D21D80" w:rsidP="00C955DB">
            <w:pPr>
              <w:spacing w:after="0" w:line="240" w:lineRule="auto"/>
              <w:rPr>
                <w:rFonts w:ascii="Times New Roman" w:hAnsi="Times New Roman" w:cs="Times New Roman"/>
                <w:noProof/>
                <w:color w:val="006100"/>
              </w:rPr>
            </w:pPr>
            <w:r>
              <w:rPr>
                <w:rFonts w:ascii="Times New Roman" w:hAnsi="Times New Roman"/>
                <w:noProof/>
                <w:color w:val="006100"/>
              </w:rPr>
              <w:t>Операции в размер най-малко на 50 % от общия размер на средствата, разпределени за инструмента, одобрени от инвестиционния комитет на InvestEU</w:t>
            </w:r>
          </w:p>
        </w:tc>
      </w:tr>
      <w:tr w:rsidR="00D21D80" w:rsidRPr="005241FC" w14:paraId="4A063EAE" w14:textId="77777777" w:rsidTr="7B697459">
        <w:trPr>
          <w:trHeight w:val="302"/>
          <w:jc w:val="center"/>
        </w:trPr>
        <w:tc>
          <w:tcPr>
            <w:tcW w:w="1207" w:type="dxa"/>
            <w:tcBorders>
              <w:top w:val="nil"/>
              <w:left w:val="single" w:sz="4" w:space="0" w:color="auto"/>
              <w:bottom w:val="single" w:sz="4" w:space="0" w:color="auto"/>
              <w:right w:val="single" w:sz="4" w:space="0" w:color="auto"/>
            </w:tcBorders>
            <w:shd w:val="clear" w:color="auto" w:fill="C6EFCE"/>
            <w:noWrap/>
          </w:tcPr>
          <w:p w14:paraId="4B3459E9"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73</w:t>
            </w:r>
          </w:p>
        </w:tc>
        <w:tc>
          <w:tcPr>
            <w:tcW w:w="3684" w:type="dxa"/>
            <w:tcBorders>
              <w:top w:val="nil"/>
              <w:left w:val="nil"/>
              <w:bottom w:val="single" w:sz="4" w:space="0" w:color="auto"/>
              <w:right w:val="single" w:sz="4" w:space="0" w:color="auto"/>
            </w:tcBorders>
            <w:shd w:val="clear" w:color="auto" w:fill="C6EFCE"/>
            <w:noWrap/>
          </w:tcPr>
          <w:p w14:paraId="326A2FE3" w14:textId="77777777" w:rsidR="00D21D80" w:rsidRPr="009674F2" w:rsidRDefault="00D21D80" w:rsidP="00C955DB">
            <w:pPr>
              <w:spacing w:after="0" w:line="240" w:lineRule="auto"/>
              <w:jc w:val="both"/>
              <w:rPr>
                <w:rFonts w:ascii="Times New Roman" w:hAnsi="Times New Roman" w:cs="Times New Roman"/>
                <w:noProof/>
                <w:color w:val="006100"/>
              </w:rPr>
            </w:pPr>
            <w:r>
              <w:rPr>
                <w:rFonts w:ascii="Times New Roman" w:hAnsi="Times New Roman"/>
                <w:noProof/>
                <w:color w:val="006100"/>
              </w:rPr>
              <w:t>C4I1 Подкрепа за обновяване на сградния фонд </w:t>
            </w:r>
          </w:p>
          <w:p w14:paraId="2EBBF50D" w14:textId="77777777" w:rsidR="00D21D80" w:rsidRPr="008A0F8A" w:rsidRDefault="00D21D80" w:rsidP="00C955DB">
            <w:pPr>
              <w:spacing w:after="0" w:line="240" w:lineRule="auto"/>
              <w:jc w:val="both"/>
              <w:rPr>
                <w:rFonts w:ascii="Times New Roman" w:hAnsi="Times New Roman" w:cs="Times New Roman"/>
                <w:noProof/>
                <w:color w:val="006100"/>
                <w:lang w:val="ru-RU"/>
              </w:rPr>
            </w:pPr>
          </w:p>
          <w:p w14:paraId="7BB4C88A" w14:textId="77777777" w:rsidR="00D21D80" w:rsidRPr="009674F2" w:rsidRDefault="00D21D80" w:rsidP="00C955DB">
            <w:pPr>
              <w:spacing w:after="0" w:line="240" w:lineRule="auto"/>
              <w:jc w:val="both"/>
              <w:rPr>
                <w:rFonts w:ascii="Times New Roman" w:hAnsi="Times New Roman" w:cs="Times New Roman"/>
                <w:noProof/>
                <w:color w:val="006100"/>
              </w:rPr>
            </w:pPr>
            <w:r>
              <w:rPr>
                <w:rFonts w:ascii="Times New Roman" w:hAnsi="Times New Roman"/>
                <w:noProof/>
                <w:color w:val="006100"/>
              </w:rPr>
              <w:t>Подмярка 2: Обновяване на нежилищни сгради, включително обществени сгради</w:t>
            </w:r>
          </w:p>
          <w:p w14:paraId="617E47A6" w14:textId="77777777" w:rsidR="00D21D80" w:rsidRPr="008A0F8A" w:rsidRDefault="00D21D80" w:rsidP="00C955DB">
            <w:pPr>
              <w:spacing w:after="0" w:line="240" w:lineRule="auto"/>
              <w:jc w:val="both"/>
              <w:rPr>
                <w:rFonts w:ascii="Times New Roman" w:hAnsi="Times New Roman" w:cs="Times New Roman"/>
                <w:noProof/>
                <w:color w:val="006100"/>
                <w:lang w:val="ru-RU"/>
              </w:rPr>
            </w:pPr>
          </w:p>
          <w:p w14:paraId="448F8C56" w14:textId="77777777" w:rsidR="00D21D80" w:rsidRPr="009674F2" w:rsidRDefault="00D21D80" w:rsidP="00C955DB">
            <w:pPr>
              <w:spacing w:after="0" w:line="240" w:lineRule="auto"/>
              <w:jc w:val="both"/>
              <w:rPr>
                <w:rFonts w:ascii="Times New Roman" w:hAnsi="Times New Roman" w:cs="Times New Roman"/>
                <w:noProof/>
                <w:color w:val="006100"/>
              </w:rPr>
            </w:pPr>
            <w:r>
              <w:rPr>
                <w:rFonts w:ascii="Times New Roman" w:hAnsi="Times New Roman"/>
                <w:noProof/>
                <w:color w:val="006100"/>
              </w:rPr>
              <w:t xml:space="preserve">както и </w:t>
            </w:r>
          </w:p>
          <w:p w14:paraId="5207A1B2" w14:textId="77777777" w:rsidR="00D21D80" w:rsidRPr="008A0F8A" w:rsidRDefault="00D21D80" w:rsidP="00C955DB">
            <w:pPr>
              <w:spacing w:after="0" w:line="240" w:lineRule="auto"/>
              <w:jc w:val="both"/>
              <w:rPr>
                <w:rFonts w:ascii="Times New Roman" w:hAnsi="Times New Roman" w:cs="Times New Roman"/>
                <w:noProof/>
                <w:color w:val="006100"/>
                <w:lang w:val="ru-RU"/>
              </w:rPr>
            </w:pPr>
          </w:p>
          <w:p w14:paraId="09D31D6F" w14:textId="77777777" w:rsidR="00D21D80" w:rsidRPr="009674F2" w:rsidRDefault="00D21D80" w:rsidP="00C955DB">
            <w:pPr>
              <w:spacing w:after="0" w:line="240" w:lineRule="auto"/>
              <w:jc w:val="both"/>
              <w:rPr>
                <w:rFonts w:ascii="Times New Roman" w:hAnsi="Times New Roman" w:cs="Times New Roman"/>
                <w:noProof/>
                <w:color w:val="006100"/>
              </w:rPr>
            </w:pPr>
            <w:r>
              <w:rPr>
                <w:rFonts w:ascii="Times New Roman" w:hAnsi="Times New Roman"/>
                <w:noProof/>
                <w:color w:val="006100"/>
              </w:rPr>
              <w:t>Подмярка 3: Обновяване на нежилищни сгради в производството, търговията и услугите, както и на сгради от туристическия сектор</w:t>
            </w:r>
          </w:p>
          <w:p w14:paraId="031CD0CB" w14:textId="77777777" w:rsidR="00D21D80" w:rsidRPr="008A0F8A" w:rsidRDefault="00D21D80" w:rsidP="00C955DB">
            <w:pPr>
              <w:spacing w:after="0" w:line="240" w:lineRule="auto"/>
              <w:jc w:val="both"/>
              <w:rPr>
                <w:rFonts w:ascii="Times New Roman" w:eastAsia="Times New Roman" w:hAnsi="Times New Roman" w:cs="Times New Roman"/>
                <w:noProof/>
                <w:color w:val="006100"/>
                <w:lang w:val="ru-RU" w:eastAsia="en-GB"/>
              </w:rPr>
            </w:pPr>
          </w:p>
        </w:tc>
        <w:tc>
          <w:tcPr>
            <w:tcW w:w="1701" w:type="dxa"/>
            <w:tcBorders>
              <w:top w:val="nil"/>
              <w:left w:val="nil"/>
              <w:bottom w:val="single" w:sz="4" w:space="0" w:color="auto"/>
              <w:right w:val="single" w:sz="4" w:space="0" w:color="auto"/>
            </w:tcBorders>
            <w:shd w:val="clear" w:color="auto" w:fill="C6EFCE"/>
            <w:noWrap/>
          </w:tcPr>
          <w:p w14:paraId="0382A855"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Ключов етап</w:t>
            </w:r>
          </w:p>
        </w:tc>
        <w:tc>
          <w:tcPr>
            <w:tcW w:w="3472" w:type="dxa"/>
            <w:tcBorders>
              <w:top w:val="nil"/>
              <w:left w:val="nil"/>
              <w:bottom w:val="single" w:sz="4" w:space="0" w:color="auto"/>
              <w:right w:val="single" w:sz="4" w:space="0" w:color="auto"/>
            </w:tcBorders>
            <w:shd w:val="clear" w:color="auto" w:fill="C6EFCE"/>
            <w:noWrap/>
          </w:tcPr>
          <w:p w14:paraId="46807B47" w14:textId="77777777" w:rsidR="00D21D80" w:rsidRPr="009674F2" w:rsidRDefault="00D21D80" w:rsidP="00C955DB">
            <w:pPr>
              <w:spacing w:after="0" w:line="240" w:lineRule="auto"/>
              <w:rPr>
                <w:rFonts w:ascii="Times New Roman" w:eastAsia="Times New Roman" w:hAnsi="Times New Roman" w:cs="Times New Roman"/>
                <w:noProof/>
                <w:color w:val="006100"/>
              </w:rPr>
            </w:pPr>
            <w:r>
              <w:rPr>
                <w:rFonts w:ascii="Times New Roman" w:hAnsi="Times New Roman"/>
                <w:noProof/>
                <w:color w:val="006100"/>
              </w:rPr>
              <w:t>Подписване на договори за енергийно-ефективно обновяване на нежилищни сгради</w:t>
            </w:r>
          </w:p>
        </w:tc>
      </w:tr>
      <w:tr w:rsidR="00D21D80" w:rsidRPr="005241FC" w14:paraId="1F3EF617" w14:textId="77777777" w:rsidTr="7B697459">
        <w:trPr>
          <w:trHeight w:val="302"/>
          <w:jc w:val="center"/>
        </w:trPr>
        <w:tc>
          <w:tcPr>
            <w:tcW w:w="1207" w:type="dxa"/>
            <w:tcBorders>
              <w:top w:val="nil"/>
              <w:left w:val="single" w:sz="4" w:space="0" w:color="auto"/>
              <w:bottom w:val="single" w:sz="4" w:space="0" w:color="auto"/>
              <w:right w:val="single" w:sz="4" w:space="0" w:color="auto"/>
            </w:tcBorders>
            <w:shd w:val="clear" w:color="auto" w:fill="C6EFCE"/>
            <w:noWrap/>
          </w:tcPr>
          <w:p w14:paraId="6C9F7957" w14:textId="77777777" w:rsidR="00D21D80" w:rsidRPr="009674F2" w:rsidRDefault="00D21D80" w:rsidP="00C955DB">
            <w:pPr>
              <w:spacing w:after="0" w:line="240" w:lineRule="auto"/>
              <w:jc w:val="center"/>
              <w:rPr>
                <w:rFonts w:ascii="Times New Roman" w:hAnsi="Times New Roman" w:cs="Times New Roman"/>
                <w:noProof/>
                <w:color w:val="006100"/>
              </w:rPr>
            </w:pPr>
            <w:r>
              <w:rPr>
                <w:rFonts w:ascii="Times New Roman" w:hAnsi="Times New Roman"/>
                <w:noProof/>
                <w:color w:val="006100"/>
              </w:rPr>
              <w:t>96</w:t>
            </w:r>
          </w:p>
        </w:tc>
        <w:tc>
          <w:tcPr>
            <w:tcW w:w="3684" w:type="dxa"/>
            <w:tcBorders>
              <w:top w:val="nil"/>
              <w:left w:val="nil"/>
              <w:bottom w:val="single" w:sz="4" w:space="0" w:color="auto"/>
              <w:right w:val="single" w:sz="4" w:space="0" w:color="auto"/>
            </w:tcBorders>
            <w:shd w:val="clear" w:color="auto" w:fill="C6EFCE"/>
            <w:noWrap/>
          </w:tcPr>
          <w:p w14:paraId="3CFF0088" w14:textId="77777777" w:rsidR="00D21D80" w:rsidRPr="009674F2" w:rsidRDefault="00D21D80" w:rsidP="00C955DB">
            <w:pPr>
              <w:spacing w:after="0" w:line="240" w:lineRule="auto"/>
              <w:jc w:val="both"/>
              <w:rPr>
                <w:rFonts w:ascii="Times New Roman" w:hAnsi="Times New Roman" w:cs="Times New Roman"/>
                <w:noProof/>
                <w:color w:val="006100"/>
              </w:rPr>
            </w:pPr>
            <w:r>
              <w:rPr>
                <w:rFonts w:ascii="Times New Roman" w:hAnsi="Times New Roman"/>
                <w:noProof/>
                <w:color w:val="006100"/>
              </w:rPr>
              <w:t>C4R6 Стимулиране на производството на електроенергия от възобновяеми източници</w:t>
            </w:r>
          </w:p>
        </w:tc>
        <w:tc>
          <w:tcPr>
            <w:tcW w:w="1701" w:type="dxa"/>
            <w:tcBorders>
              <w:top w:val="nil"/>
              <w:left w:val="nil"/>
              <w:bottom w:val="single" w:sz="4" w:space="0" w:color="auto"/>
              <w:right w:val="single" w:sz="4" w:space="0" w:color="auto"/>
            </w:tcBorders>
            <w:shd w:val="clear" w:color="auto" w:fill="C6EFCE"/>
            <w:noWrap/>
          </w:tcPr>
          <w:p w14:paraId="1DC43A0D" w14:textId="77777777" w:rsidR="00D21D80" w:rsidRPr="009674F2" w:rsidRDefault="00D21D80" w:rsidP="00C955DB">
            <w:pPr>
              <w:spacing w:after="0" w:line="240" w:lineRule="auto"/>
              <w:jc w:val="center"/>
              <w:rPr>
                <w:rFonts w:ascii="Times New Roman" w:hAnsi="Times New Roman" w:cs="Times New Roman"/>
                <w:noProof/>
                <w:color w:val="006100"/>
              </w:rPr>
            </w:pPr>
            <w:r>
              <w:rPr>
                <w:rFonts w:ascii="Times New Roman" w:hAnsi="Times New Roman"/>
                <w:noProof/>
                <w:color w:val="006100"/>
              </w:rPr>
              <w:t>Ключов етап</w:t>
            </w:r>
          </w:p>
        </w:tc>
        <w:tc>
          <w:tcPr>
            <w:tcW w:w="3472" w:type="dxa"/>
            <w:tcBorders>
              <w:top w:val="nil"/>
              <w:left w:val="nil"/>
              <w:bottom w:val="single" w:sz="4" w:space="0" w:color="auto"/>
              <w:right w:val="single" w:sz="4" w:space="0" w:color="auto"/>
            </w:tcBorders>
            <w:shd w:val="clear" w:color="auto" w:fill="C6EFCE"/>
            <w:noWrap/>
          </w:tcPr>
          <w:p w14:paraId="0BF3B3A2" w14:textId="77777777" w:rsidR="00D21D80" w:rsidRPr="009674F2" w:rsidRDefault="00D21D80" w:rsidP="00C955DB">
            <w:pPr>
              <w:spacing w:after="0" w:line="240" w:lineRule="auto"/>
              <w:jc w:val="both"/>
              <w:rPr>
                <w:rFonts w:ascii="Times New Roman" w:hAnsi="Times New Roman" w:cs="Times New Roman"/>
                <w:noProof/>
                <w:color w:val="006100"/>
              </w:rPr>
            </w:pPr>
            <w:r>
              <w:rPr>
                <w:rFonts w:ascii="Times New Roman" w:hAnsi="Times New Roman"/>
                <w:noProof/>
                <w:color w:val="006100"/>
              </w:rPr>
              <w:t>Влизане в сила на измененията в националната законодателна рамка в подкрепа на бързото разгръщане на разположени в морето вятърни електрогенериращи инсталации</w:t>
            </w:r>
          </w:p>
        </w:tc>
      </w:tr>
      <w:tr w:rsidR="00D21D80" w:rsidRPr="005241FC" w14:paraId="5ED6ABCD" w14:textId="77777777" w:rsidTr="7B697459">
        <w:trPr>
          <w:trHeight w:val="302"/>
          <w:jc w:val="center"/>
        </w:trPr>
        <w:tc>
          <w:tcPr>
            <w:tcW w:w="1207" w:type="dxa"/>
            <w:tcBorders>
              <w:top w:val="nil"/>
              <w:left w:val="single" w:sz="4" w:space="0" w:color="auto"/>
              <w:bottom w:val="single" w:sz="4" w:space="0" w:color="auto"/>
              <w:right w:val="single" w:sz="4" w:space="0" w:color="auto"/>
            </w:tcBorders>
            <w:shd w:val="clear" w:color="auto" w:fill="C6EFCE"/>
            <w:noWrap/>
          </w:tcPr>
          <w:p w14:paraId="4D739896"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80</w:t>
            </w:r>
          </w:p>
        </w:tc>
        <w:tc>
          <w:tcPr>
            <w:tcW w:w="3684" w:type="dxa"/>
            <w:tcBorders>
              <w:top w:val="nil"/>
              <w:left w:val="nil"/>
              <w:bottom w:val="single" w:sz="4" w:space="0" w:color="auto"/>
              <w:right w:val="single" w:sz="4" w:space="0" w:color="auto"/>
            </w:tcBorders>
            <w:shd w:val="clear" w:color="auto" w:fill="C6EFCE"/>
            <w:noWrap/>
          </w:tcPr>
          <w:p w14:paraId="66B1903A" w14:textId="77777777" w:rsidR="00D21D80" w:rsidRPr="009674F2" w:rsidRDefault="00D21D80" w:rsidP="00C955DB">
            <w:pPr>
              <w:spacing w:after="0" w:line="240" w:lineRule="auto"/>
              <w:jc w:val="both"/>
              <w:rPr>
                <w:rFonts w:ascii="Times New Roman" w:hAnsi="Times New Roman" w:cs="Times New Roman"/>
                <w:noProof/>
                <w:color w:val="006100"/>
              </w:rPr>
            </w:pPr>
            <w:r>
              <w:rPr>
                <w:rFonts w:ascii="Times New Roman" w:hAnsi="Times New Roman"/>
                <w:noProof/>
                <w:color w:val="006100"/>
              </w:rPr>
              <w:t>C4I3 Подкрепа за енергийно ефективни системи за улично осветление</w:t>
            </w:r>
          </w:p>
        </w:tc>
        <w:tc>
          <w:tcPr>
            <w:tcW w:w="1701" w:type="dxa"/>
            <w:tcBorders>
              <w:top w:val="nil"/>
              <w:left w:val="nil"/>
              <w:bottom w:val="single" w:sz="4" w:space="0" w:color="auto"/>
              <w:right w:val="single" w:sz="4" w:space="0" w:color="auto"/>
            </w:tcBorders>
            <w:shd w:val="clear" w:color="auto" w:fill="C6EFCE"/>
            <w:noWrap/>
          </w:tcPr>
          <w:p w14:paraId="44F6E3D3" w14:textId="77777777" w:rsidR="00D21D80" w:rsidRPr="009674F2" w:rsidRDefault="00D21D80" w:rsidP="00C955DB">
            <w:pPr>
              <w:spacing w:after="0" w:line="240" w:lineRule="auto"/>
              <w:jc w:val="center"/>
              <w:rPr>
                <w:rFonts w:ascii="Times New Roman" w:hAnsi="Times New Roman" w:cs="Times New Roman"/>
                <w:noProof/>
                <w:color w:val="006100"/>
              </w:rPr>
            </w:pPr>
            <w:r>
              <w:rPr>
                <w:rFonts w:ascii="Times New Roman" w:hAnsi="Times New Roman"/>
                <w:noProof/>
                <w:color w:val="006100"/>
              </w:rPr>
              <w:t>Ключов етап</w:t>
            </w:r>
          </w:p>
        </w:tc>
        <w:tc>
          <w:tcPr>
            <w:tcW w:w="3472" w:type="dxa"/>
            <w:tcBorders>
              <w:top w:val="nil"/>
              <w:left w:val="nil"/>
              <w:bottom w:val="single" w:sz="4" w:space="0" w:color="auto"/>
              <w:right w:val="single" w:sz="4" w:space="0" w:color="auto"/>
            </w:tcBorders>
            <w:shd w:val="clear" w:color="auto" w:fill="C6EFCE"/>
            <w:noWrap/>
          </w:tcPr>
          <w:p w14:paraId="4E8EFEED" w14:textId="77777777" w:rsidR="00D21D80" w:rsidRPr="009674F2" w:rsidRDefault="00D21D80" w:rsidP="00C955DB">
            <w:pPr>
              <w:spacing w:after="0"/>
              <w:rPr>
                <w:rFonts w:ascii="Times New Roman" w:hAnsi="Times New Roman" w:cs="Times New Roman"/>
                <w:noProof/>
                <w:color w:val="006100"/>
              </w:rPr>
            </w:pPr>
            <w:r>
              <w:rPr>
                <w:rFonts w:ascii="Times New Roman" w:hAnsi="Times New Roman"/>
                <w:noProof/>
                <w:color w:val="006100"/>
              </w:rPr>
              <w:t>Сключване на договори за отпускане на безвъзмездни средства за обновяване на обществените осветителни системи (покана 2)</w:t>
            </w:r>
          </w:p>
        </w:tc>
      </w:tr>
      <w:tr w:rsidR="00D21D80" w:rsidRPr="005241FC" w14:paraId="36171F05" w14:textId="77777777" w:rsidTr="7B697459">
        <w:trPr>
          <w:trHeight w:val="302"/>
          <w:jc w:val="center"/>
        </w:trPr>
        <w:tc>
          <w:tcPr>
            <w:tcW w:w="1207" w:type="dxa"/>
            <w:tcBorders>
              <w:top w:val="nil"/>
              <w:left w:val="single" w:sz="4" w:space="0" w:color="auto"/>
              <w:bottom w:val="single" w:sz="4" w:space="0" w:color="auto"/>
              <w:right w:val="single" w:sz="4" w:space="0" w:color="auto"/>
            </w:tcBorders>
            <w:shd w:val="clear" w:color="auto" w:fill="C6EFCE"/>
            <w:noWrap/>
          </w:tcPr>
          <w:p w14:paraId="6C89D247"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100</w:t>
            </w:r>
          </w:p>
        </w:tc>
        <w:tc>
          <w:tcPr>
            <w:tcW w:w="3684" w:type="dxa"/>
            <w:tcBorders>
              <w:top w:val="nil"/>
              <w:left w:val="nil"/>
              <w:bottom w:val="single" w:sz="4" w:space="0" w:color="auto"/>
              <w:right w:val="single" w:sz="4" w:space="0" w:color="auto"/>
            </w:tcBorders>
            <w:shd w:val="clear" w:color="auto" w:fill="C6EFCE"/>
            <w:noWrap/>
          </w:tcPr>
          <w:p w14:paraId="7E54E2D4" w14:textId="77777777" w:rsidR="00D21D80" w:rsidRPr="009674F2" w:rsidRDefault="00D21D80" w:rsidP="00C955DB">
            <w:pPr>
              <w:spacing w:after="0" w:line="240" w:lineRule="auto"/>
              <w:jc w:val="both"/>
              <w:rPr>
                <w:rFonts w:ascii="Times New Roman" w:hAnsi="Times New Roman" w:cs="Times New Roman"/>
                <w:noProof/>
                <w:color w:val="006100"/>
                <w:highlight w:val="yellow"/>
              </w:rPr>
            </w:pPr>
            <w:r>
              <w:rPr>
                <w:rFonts w:ascii="Times New Roman" w:hAnsi="Times New Roman"/>
                <w:noProof/>
                <w:color w:val="006100"/>
              </w:rPr>
              <w:t>C4I6 Подкрепа за нови мощности за производство на електроенергия от възобновяеми източници и съхранение на електроенергия</w:t>
            </w:r>
          </w:p>
        </w:tc>
        <w:tc>
          <w:tcPr>
            <w:tcW w:w="1701" w:type="dxa"/>
            <w:tcBorders>
              <w:top w:val="nil"/>
              <w:left w:val="nil"/>
              <w:bottom w:val="single" w:sz="4" w:space="0" w:color="auto"/>
              <w:right w:val="single" w:sz="4" w:space="0" w:color="auto"/>
            </w:tcBorders>
            <w:shd w:val="clear" w:color="auto" w:fill="C6EFCE"/>
            <w:noWrap/>
          </w:tcPr>
          <w:p w14:paraId="198ED4BB" w14:textId="77777777" w:rsidR="00D21D80" w:rsidRPr="009674F2" w:rsidRDefault="00D21D80" w:rsidP="00C955DB">
            <w:pPr>
              <w:spacing w:after="0" w:line="240" w:lineRule="auto"/>
              <w:jc w:val="center"/>
              <w:rPr>
                <w:rFonts w:ascii="Times New Roman" w:hAnsi="Times New Roman" w:cs="Times New Roman"/>
                <w:noProof/>
                <w:color w:val="006100"/>
                <w:highlight w:val="yellow"/>
              </w:rPr>
            </w:pPr>
            <w:r>
              <w:rPr>
                <w:rFonts w:ascii="Times New Roman" w:hAnsi="Times New Roman"/>
                <w:noProof/>
                <w:color w:val="006100"/>
              </w:rPr>
              <w:t>Ключов етап</w:t>
            </w:r>
          </w:p>
        </w:tc>
        <w:tc>
          <w:tcPr>
            <w:tcW w:w="3472" w:type="dxa"/>
            <w:tcBorders>
              <w:top w:val="nil"/>
              <w:left w:val="nil"/>
              <w:bottom w:val="single" w:sz="4" w:space="0" w:color="auto"/>
              <w:right w:val="single" w:sz="4" w:space="0" w:color="auto"/>
            </w:tcBorders>
            <w:shd w:val="clear" w:color="auto" w:fill="C6EFCE"/>
            <w:noWrap/>
          </w:tcPr>
          <w:p w14:paraId="1783CB33" w14:textId="77777777" w:rsidR="00D21D80" w:rsidRPr="009674F2" w:rsidRDefault="00D21D80" w:rsidP="00C955DB">
            <w:pPr>
              <w:spacing w:after="0"/>
              <w:rPr>
                <w:rFonts w:ascii="Times New Roman" w:hAnsi="Times New Roman" w:cs="Times New Roman"/>
                <w:noProof/>
                <w:color w:val="006100"/>
                <w:highlight w:val="yellow"/>
              </w:rPr>
            </w:pPr>
            <w:r>
              <w:rPr>
                <w:rFonts w:ascii="Times New Roman" w:hAnsi="Times New Roman"/>
                <w:noProof/>
                <w:color w:val="006100"/>
              </w:rPr>
              <w:t>Обявяване на търг за изграждане на капацитет от 285 MW за производство на електроенергия от възобновяеми източници (вятърна и слънчева енергия), разположен заедно със системи за акумулиране на енергия</w:t>
            </w:r>
          </w:p>
        </w:tc>
      </w:tr>
      <w:tr w:rsidR="00350D0F" w:rsidRPr="005241FC" w14:paraId="5B99002B" w14:textId="77777777" w:rsidTr="7B697459">
        <w:trPr>
          <w:trHeight w:val="302"/>
          <w:jc w:val="center"/>
        </w:trPr>
        <w:tc>
          <w:tcPr>
            <w:tcW w:w="1207" w:type="dxa"/>
            <w:tcBorders>
              <w:top w:val="nil"/>
              <w:left w:val="single" w:sz="4" w:space="0" w:color="auto"/>
              <w:bottom w:val="single" w:sz="4" w:space="0" w:color="auto"/>
              <w:right w:val="single" w:sz="4" w:space="0" w:color="auto"/>
            </w:tcBorders>
            <w:shd w:val="clear" w:color="auto" w:fill="C6EFCE"/>
            <w:noWrap/>
          </w:tcPr>
          <w:p w14:paraId="10BF5862" w14:textId="48CD8199" w:rsidR="00350D0F" w:rsidRPr="009674F2" w:rsidRDefault="00350D0F" w:rsidP="00350D0F">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109</w:t>
            </w:r>
          </w:p>
        </w:tc>
        <w:tc>
          <w:tcPr>
            <w:tcW w:w="3684" w:type="dxa"/>
            <w:tcBorders>
              <w:top w:val="nil"/>
              <w:left w:val="nil"/>
              <w:bottom w:val="single" w:sz="4" w:space="0" w:color="auto"/>
              <w:right w:val="single" w:sz="4" w:space="0" w:color="auto"/>
            </w:tcBorders>
            <w:shd w:val="clear" w:color="auto" w:fill="C6EFCE"/>
            <w:noWrap/>
          </w:tcPr>
          <w:p w14:paraId="17AE5FF3" w14:textId="6D33FEAC" w:rsidR="00350D0F" w:rsidRPr="009674F2" w:rsidRDefault="00350D0F" w:rsidP="00350D0F">
            <w:pPr>
              <w:spacing w:after="0" w:line="240" w:lineRule="auto"/>
              <w:jc w:val="both"/>
              <w:rPr>
                <w:rFonts w:ascii="Times New Roman" w:hAnsi="Times New Roman" w:cs="Times New Roman"/>
                <w:noProof/>
                <w:color w:val="006100"/>
              </w:rPr>
            </w:pPr>
            <w:r>
              <w:rPr>
                <w:rFonts w:ascii="Times New Roman" w:hAnsi="Times New Roman"/>
                <w:noProof/>
                <w:color w:val="006100"/>
              </w:rPr>
              <w:t>C4I5 Пилотни проекти за производството на зелен водород</w:t>
            </w:r>
          </w:p>
        </w:tc>
        <w:tc>
          <w:tcPr>
            <w:tcW w:w="1701" w:type="dxa"/>
            <w:tcBorders>
              <w:top w:val="nil"/>
              <w:left w:val="nil"/>
              <w:bottom w:val="single" w:sz="4" w:space="0" w:color="auto"/>
              <w:right w:val="single" w:sz="4" w:space="0" w:color="auto"/>
            </w:tcBorders>
            <w:shd w:val="clear" w:color="auto" w:fill="C6EFCE"/>
            <w:noWrap/>
          </w:tcPr>
          <w:p w14:paraId="17A3B789" w14:textId="64C5315B" w:rsidR="00350D0F" w:rsidRPr="009674F2" w:rsidRDefault="00350D0F" w:rsidP="00350D0F">
            <w:pPr>
              <w:spacing w:after="0" w:line="240" w:lineRule="auto"/>
              <w:jc w:val="center"/>
              <w:rPr>
                <w:rFonts w:ascii="Times New Roman" w:hAnsi="Times New Roman" w:cs="Times New Roman"/>
                <w:noProof/>
                <w:color w:val="006100"/>
              </w:rPr>
            </w:pPr>
            <w:r>
              <w:rPr>
                <w:rFonts w:ascii="Times New Roman" w:hAnsi="Times New Roman"/>
                <w:noProof/>
                <w:color w:val="006100"/>
              </w:rPr>
              <w:t>Ключов етап</w:t>
            </w:r>
          </w:p>
        </w:tc>
        <w:tc>
          <w:tcPr>
            <w:tcW w:w="3472" w:type="dxa"/>
            <w:tcBorders>
              <w:top w:val="nil"/>
              <w:left w:val="nil"/>
              <w:bottom w:val="single" w:sz="4" w:space="0" w:color="auto"/>
              <w:right w:val="single" w:sz="4" w:space="0" w:color="auto"/>
            </w:tcBorders>
            <w:shd w:val="clear" w:color="auto" w:fill="C6EFCE"/>
            <w:noWrap/>
          </w:tcPr>
          <w:p w14:paraId="7EC4B677" w14:textId="77667296" w:rsidR="00350D0F" w:rsidRPr="009674F2" w:rsidRDefault="00350D0F" w:rsidP="00350D0F">
            <w:pPr>
              <w:spacing w:after="0"/>
              <w:rPr>
                <w:rFonts w:ascii="Times New Roman" w:hAnsi="Times New Roman" w:cs="Times New Roman"/>
                <w:noProof/>
                <w:color w:val="006100"/>
              </w:rPr>
            </w:pPr>
            <w:r>
              <w:rPr>
                <w:rFonts w:ascii="Times New Roman" w:hAnsi="Times New Roman"/>
                <w:noProof/>
                <w:color w:val="006100"/>
              </w:rPr>
              <w:t>Стартиране на тръжна процедура за предложения за проекти за производството на зелен водород</w:t>
            </w:r>
          </w:p>
        </w:tc>
      </w:tr>
      <w:tr w:rsidR="00350D0F" w:rsidRPr="005241FC" w14:paraId="3905A0A5" w14:textId="77777777" w:rsidTr="7B697459">
        <w:trPr>
          <w:trHeight w:val="302"/>
          <w:jc w:val="center"/>
        </w:trPr>
        <w:tc>
          <w:tcPr>
            <w:tcW w:w="1207" w:type="dxa"/>
            <w:tcBorders>
              <w:top w:val="nil"/>
              <w:left w:val="single" w:sz="4" w:space="0" w:color="auto"/>
              <w:bottom w:val="single" w:sz="4" w:space="0" w:color="auto"/>
              <w:right w:val="single" w:sz="4" w:space="0" w:color="auto"/>
            </w:tcBorders>
            <w:shd w:val="clear" w:color="auto" w:fill="C6EFCE"/>
            <w:noWrap/>
          </w:tcPr>
          <w:p w14:paraId="67F667DE" w14:textId="77777777" w:rsidR="00350D0F" w:rsidRPr="009674F2" w:rsidRDefault="00350D0F" w:rsidP="00350D0F">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84</w:t>
            </w:r>
          </w:p>
        </w:tc>
        <w:tc>
          <w:tcPr>
            <w:tcW w:w="3684" w:type="dxa"/>
            <w:tcBorders>
              <w:top w:val="nil"/>
              <w:left w:val="nil"/>
              <w:bottom w:val="single" w:sz="4" w:space="0" w:color="auto"/>
              <w:right w:val="single" w:sz="4" w:space="0" w:color="auto"/>
            </w:tcBorders>
            <w:shd w:val="clear" w:color="auto" w:fill="C6EFCE"/>
            <w:noWrap/>
          </w:tcPr>
          <w:p w14:paraId="72FBA642" w14:textId="77777777" w:rsidR="00350D0F" w:rsidRPr="009674F2" w:rsidRDefault="00350D0F" w:rsidP="00350D0F">
            <w:pPr>
              <w:spacing w:after="0" w:line="240" w:lineRule="auto"/>
              <w:jc w:val="both"/>
              <w:rPr>
                <w:rFonts w:ascii="Times New Roman" w:hAnsi="Times New Roman" w:cs="Times New Roman"/>
                <w:noProof/>
                <w:color w:val="006100"/>
              </w:rPr>
            </w:pPr>
            <w:r>
              <w:rPr>
                <w:rFonts w:ascii="Times New Roman" w:hAnsi="Times New Roman"/>
                <w:noProof/>
                <w:color w:val="006100"/>
              </w:rPr>
              <w:t>C4R5 Обслужване на едно гише за обновяване</w:t>
            </w:r>
          </w:p>
        </w:tc>
        <w:tc>
          <w:tcPr>
            <w:tcW w:w="1701" w:type="dxa"/>
            <w:tcBorders>
              <w:top w:val="nil"/>
              <w:left w:val="nil"/>
              <w:bottom w:val="single" w:sz="4" w:space="0" w:color="auto"/>
              <w:right w:val="single" w:sz="4" w:space="0" w:color="auto"/>
            </w:tcBorders>
            <w:shd w:val="clear" w:color="auto" w:fill="C6EFCE"/>
            <w:noWrap/>
          </w:tcPr>
          <w:p w14:paraId="3B26206C" w14:textId="77777777" w:rsidR="00350D0F" w:rsidRPr="009674F2" w:rsidRDefault="00350D0F" w:rsidP="00350D0F">
            <w:pPr>
              <w:spacing w:after="0" w:line="240" w:lineRule="auto"/>
              <w:jc w:val="center"/>
              <w:rPr>
                <w:rFonts w:ascii="Times New Roman" w:hAnsi="Times New Roman" w:cs="Times New Roman"/>
                <w:noProof/>
                <w:color w:val="006100"/>
              </w:rPr>
            </w:pPr>
            <w:r>
              <w:rPr>
                <w:rFonts w:ascii="Times New Roman" w:hAnsi="Times New Roman"/>
                <w:noProof/>
                <w:color w:val="006100"/>
              </w:rPr>
              <w:t>Цел</w:t>
            </w:r>
          </w:p>
        </w:tc>
        <w:tc>
          <w:tcPr>
            <w:tcW w:w="3472" w:type="dxa"/>
            <w:tcBorders>
              <w:top w:val="nil"/>
              <w:left w:val="nil"/>
              <w:bottom w:val="single" w:sz="4" w:space="0" w:color="auto"/>
              <w:right w:val="single" w:sz="4" w:space="0" w:color="auto"/>
            </w:tcBorders>
            <w:shd w:val="clear" w:color="auto" w:fill="C6EFCE"/>
            <w:noWrap/>
          </w:tcPr>
          <w:p w14:paraId="40B69F2F" w14:textId="77777777" w:rsidR="00350D0F" w:rsidRPr="009674F2" w:rsidRDefault="00350D0F" w:rsidP="00350D0F">
            <w:pPr>
              <w:spacing w:after="0" w:line="240" w:lineRule="auto"/>
              <w:rPr>
                <w:rFonts w:ascii="Times New Roman" w:hAnsi="Times New Roman" w:cs="Times New Roman"/>
                <w:noProof/>
                <w:color w:val="006100"/>
              </w:rPr>
            </w:pPr>
            <w:r>
              <w:rPr>
                <w:rFonts w:ascii="Times New Roman" w:hAnsi="Times New Roman"/>
                <w:noProof/>
                <w:color w:val="006100"/>
              </w:rPr>
              <w:t>Създаване на физическо обслужване на едно гише във всеки регион по NUTS-3 (или функционална област);</w:t>
            </w:r>
          </w:p>
        </w:tc>
      </w:tr>
      <w:tr w:rsidR="00350D0F" w:rsidRPr="005241FC" w14:paraId="67897EDB" w14:textId="77777777" w:rsidTr="7B697459">
        <w:trPr>
          <w:trHeight w:val="302"/>
          <w:jc w:val="center"/>
        </w:trPr>
        <w:tc>
          <w:tcPr>
            <w:tcW w:w="1207" w:type="dxa"/>
            <w:tcBorders>
              <w:top w:val="nil"/>
              <w:left w:val="single" w:sz="4" w:space="0" w:color="auto"/>
              <w:bottom w:val="single" w:sz="4" w:space="0" w:color="auto"/>
              <w:right w:val="single" w:sz="4" w:space="0" w:color="auto"/>
            </w:tcBorders>
            <w:shd w:val="clear" w:color="auto" w:fill="C6EFCE"/>
            <w:noWrap/>
          </w:tcPr>
          <w:p w14:paraId="27F0BA3A" w14:textId="77777777" w:rsidR="00350D0F" w:rsidRPr="009674F2" w:rsidRDefault="00350D0F" w:rsidP="00350D0F">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106</w:t>
            </w:r>
          </w:p>
          <w:p w14:paraId="59250634" w14:textId="77777777" w:rsidR="00350D0F" w:rsidRPr="009674F2" w:rsidRDefault="00350D0F" w:rsidP="00350D0F">
            <w:pPr>
              <w:spacing w:after="0" w:line="240" w:lineRule="auto"/>
              <w:jc w:val="center"/>
              <w:rPr>
                <w:rFonts w:ascii="Times New Roman" w:eastAsia="Times New Roman" w:hAnsi="Times New Roman" w:cs="Times New Roman"/>
                <w:noProof/>
                <w:color w:val="006100"/>
                <w:lang w:val="en-GB" w:eastAsia="en-GB"/>
              </w:rPr>
            </w:pPr>
          </w:p>
        </w:tc>
        <w:tc>
          <w:tcPr>
            <w:tcW w:w="3684" w:type="dxa"/>
            <w:tcBorders>
              <w:top w:val="nil"/>
              <w:left w:val="nil"/>
              <w:bottom w:val="single" w:sz="4" w:space="0" w:color="auto"/>
              <w:right w:val="single" w:sz="4" w:space="0" w:color="auto"/>
            </w:tcBorders>
            <w:shd w:val="clear" w:color="auto" w:fill="C6EFCE"/>
            <w:noWrap/>
          </w:tcPr>
          <w:p w14:paraId="7C6BEF80" w14:textId="77777777" w:rsidR="00350D0F" w:rsidRPr="009674F2" w:rsidRDefault="00350D0F" w:rsidP="00350D0F">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C4I7 Пилотен проект за комбинирано производство на топлинна и електрическа енергия от геотермални източници</w:t>
            </w:r>
          </w:p>
        </w:tc>
        <w:tc>
          <w:tcPr>
            <w:tcW w:w="1701" w:type="dxa"/>
            <w:tcBorders>
              <w:top w:val="nil"/>
              <w:left w:val="nil"/>
              <w:bottom w:val="single" w:sz="4" w:space="0" w:color="auto"/>
              <w:right w:val="single" w:sz="4" w:space="0" w:color="auto"/>
            </w:tcBorders>
            <w:shd w:val="clear" w:color="auto" w:fill="C6EFCE"/>
            <w:noWrap/>
          </w:tcPr>
          <w:p w14:paraId="53CFEFF2" w14:textId="77777777" w:rsidR="00350D0F" w:rsidRPr="009674F2" w:rsidRDefault="00350D0F" w:rsidP="00350D0F">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Ключов етап</w:t>
            </w:r>
          </w:p>
        </w:tc>
        <w:tc>
          <w:tcPr>
            <w:tcW w:w="3472" w:type="dxa"/>
            <w:tcBorders>
              <w:top w:val="nil"/>
              <w:left w:val="nil"/>
              <w:bottom w:val="single" w:sz="4" w:space="0" w:color="auto"/>
              <w:right w:val="single" w:sz="4" w:space="0" w:color="auto"/>
            </w:tcBorders>
            <w:shd w:val="clear" w:color="auto" w:fill="C6EFCE"/>
            <w:noWrap/>
          </w:tcPr>
          <w:p w14:paraId="6B34E6DC" w14:textId="77777777" w:rsidR="00350D0F" w:rsidRPr="009674F2" w:rsidRDefault="00350D0F" w:rsidP="00350D0F">
            <w:pPr>
              <w:spacing w:after="0" w:line="240" w:lineRule="auto"/>
              <w:rPr>
                <w:rFonts w:ascii="Times New Roman" w:eastAsia="Times New Roman" w:hAnsi="Times New Roman" w:cs="Times New Roman"/>
                <w:noProof/>
                <w:color w:val="006100"/>
              </w:rPr>
            </w:pPr>
            <w:r>
              <w:rPr>
                <w:rFonts w:ascii="Times New Roman" w:hAnsi="Times New Roman"/>
                <w:noProof/>
                <w:color w:val="006100"/>
              </w:rPr>
              <w:t>Създаване на специализирана лаборатория за изследвания и обучение в областта на геотермалната енергия</w:t>
            </w:r>
          </w:p>
        </w:tc>
      </w:tr>
      <w:tr w:rsidR="00350D0F" w:rsidRPr="005241FC" w14:paraId="1E6EF572" w14:textId="77777777" w:rsidTr="7B697459">
        <w:trPr>
          <w:trHeight w:val="302"/>
          <w:jc w:val="center"/>
        </w:trPr>
        <w:tc>
          <w:tcPr>
            <w:tcW w:w="1207" w:type="dxa"/>
            <w:tcBorders>
              <w:top w:val="nil"/>
              <w:left w:val="single" w:sz="4" w:space="0" w:color="auto"/>
              <w:bottom w:val="single" w:sz="4" w:space="0" w:color="auto"/>
              <w:right w:val="single" w:sz="4" w:space="0" w:color="auto"/>
            </w:tcBorders>
            <w:shd w:val="clear" w:color="auto" w:fill="C6EFCE"/>
            <w:noWrap/>
          </w:tcPr>
          <w:p w14:paraId="20D477FE" w14:textId="77777777" w:rsidR="00350D0F" w:rsidRPr="009674F2" w:rsidRDefault="00350D0F" w:rsidP="00350D0F">
            <w:pPr>
              <w:spacing w:after="0" w:line="240" w:lineRule="auto"/>
              <w:jc w:val="center"/>
              <w:rPr>
                <w:rFonts w:ascii="Times New Roman" w:hAnsi="Times New Roman" w:cs="Times New Roman"/>
                <w:noProof/>
                <w:color w:val="006100"/>
              </w:rPr>
            </w:pPr>
            <w:r>
              <w:rPr>
                <w:rFonts w:ascii="Times New Roman" w:hAnsi="Times New Roman"/>
                <w:noProof/>
                <w:color w:val="006100"/>
              </w:rPr>
              <w:t>107</w:t>
            </w:r>
          </w:p>
        </w:tc>
        <w:tc>
          <w:tcPr>
            <w:tcW w:w="3684" w:type="dxa"/>
            <w:tcBorders>
              <w:top w:val="nil"/>
              <w:left w:val="nil"/>
              <w:bottom w:val="single" w:sz="4" w:space="0" w:color="auto"/>
              <w:right w:val="single" w:sz="4" w:space="0" w:color="auto"/>
            </w:tcBorders>
            <w:shd w:val="clear" w:color="auto" w:fill="C6EFCE"/>
            <w:noWrap/>
          </w:tcPr>
          <w:p w14:paraId="120C1C59" w14:textId="77777777" w:rsidR="00350D0F" w:rsidRPr="009674F2" w:rsidRDefault="00350D0F" w:rsidP="00350D0F">
            <w:pPr>
              <w:spacing w:after="0" w:line="240" w:lineRule="auto"/>
              <w:jc w:val="both"/>
              <w:rPr>
                <w:rFonts w:ascii="Times New Roman" w:hAnsi="Times New Roman" w:cs="Times New Roman"/>
                <w:noProof/>
                <w:color w:val="006100"/>
              </w:rPr>
            </w:pPr>
            <w:r>
              <w:rPr>
                <w:rFonts w:ascii="Times New Roman" w:hAnsi="Times New Roman"/>
                <w:noProof/>
                <w:color w:val="006100"/>
              </w:rPr>
              <w:t>C4I7 Пилотен проект за комбинирано производство на топлинна и електрическа енергия от геотермални източници</w:t>
            </w:r>
          </w:p>
        </w:tc>
        <w:tc>
          <w:tcPr>
            <w:tcW w:w="1701" w:type="dxa"/>
            <w:tcBorders>
              <w:top w:val="nil"/>
              <w:left w:val="nil"/>
              <w:bottom w:val="single" w:sz="4" w:space="0" w:color="auto"/>
              <w:right w:val="single" w:sz="4" w:space="0" w:color="auto"/>
            </w:tcBorders>
            <w:shd w:val="clear" w:color="auto" w:fill="C6EFCE"/>
            <w:noWrap/>
          </w:tcPr>
          <w:p w14:paraId="75A84A56" w14:textId="77777777" w:rsidR="00350D0F" w:rsidRPr="009674F2" w:rsidRDefault="00350D0F" w:rsidP="00350D0F">
            <w:pPr>
              <w:spacing w:after="0" w:line="240" w:lineRule="auto"/>
              <w:jc w:val="center"/>
              <w:rPr>
                <w:rFonts w:ascii="Times New Roman" w:hAnsi="Times New Roman" w:cs="Times New Roman"/>
                <w:noProof/>
                <w:color w:val="006100"/>
              </w:rPr>
            </w:pPr>
            <w:r>
              <w:rPr>
                <w:rFonts w:ascii="Times New Roman" w:hAnsi="Times New Roman"/>
                <w:noProof/>
                <w:color w:val="006100"/>
              </w:rPr>
              <w:t>Ключов етап</w:t>
            </w:r>
          </w:p>
        </w:tc>
        <w:tc>
          <w:tcPr>
            <w:tcW w:w="3472" w:type="dxa"/>
            <w:tcBorders>
              <w:top w:val="nil"/>
              <w:left w:val="nil"/>
              <w:bottom w:val="single" w:sz="4" w:space="0" w:color="auto"/>
              <w:right w:val="single" w:sz="4" w:space="0" w:color="auto"/>
            </w:tcBorders>
            <w:shd w:val="clear" w:color="auto" w:fill="C6EFCE"/>
            <w:noWrap/>
          </w:tcPr>
          <w:p w14:paraId="5438B46F" w14:textId="77777777" w:rsidR="00350D0F" w:rsidRPr="009674F2" w:rsidRDefault="00350D0F" w:rsidP="00350D0F">
            <w:pPr>
              <w:spacing w:after="0" w:line="240" w:lineRule="auto"/>
              <w:rPr>
                <w:rFonts w:ascii="Times New Roman" w:hAnsi="Times New Roman" w:cs="Times New Roman"/>
                <w:noProof/>
                <w:color w:val="006100"/>
              </w:rPr>
            </w:pPr>
            <w:r>
              <w:rPr>
                <w:rFonts w:ascii="Times New Roman" w:hAnsi="Times New Roman"/>
                <w:noProof/>
                <w:color w:val="006100"/>
              </w:rPr>
              <w:t>Подписване на договори по схемата за подпомагане на разработването на пилотен проект за комбинирано производство на топлинна и електрическа енергия от геотермални източници.</w:t>
            </w:r>
          </w:p>
        </w:tc>
      </w:tr>
      <w:tr w:rsidR="00350D0F" w:rsidRPr="005241FC" w14:paraId="4E9E8D64" w14:textId="77777777" w:rsidTr="7B697459">
        <w:trPr>
          <w:trHeight w:val="302"/>
          <w:jc w:val="center"/>
        </w:trPr>
        <w:tc>
          <w:tcPr>
            <w:tcW w:w="1207" w:type="dxa"/>
            <w:tcBorders>
              <w:top w:val="nil"/>
              <w:left w:val="single" w:sz="4" w:space="0" w:color="auto"/>
              <w:bottom w:val="single" w:sz="4" w:space="0" w:color="auto"/>
              <w:right w:val="single" w:sz="4" w:space="0" w:color="auto"/>
            </w:tcBorders>
            <w:shd w:val="clear" w:color="auto" w:fill="C6EFCE"/>
            <w:noWrap/>
            <w:hideMark/>
          </w:tcPr>
          <w:p w14:paraId="21CAD834" w14:textId="77777777" w:rsidR="00350D0F" w:rsidRPr="009674F2" w:rsidRDefault="00350D0F" w:rsidP="00350D0F">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127</w:t>
            </w:r>
          </w:p>
        </w:tc>
        <w:tc>
          <w:tcPr>
            <w:tcW w:w="3684" w:type="dxa"/>
            <w:tcBorders>
              <w:top w:val="nil"/>
              <w:left w:val="nil"/>
              <w:bottom w:val="single" w:sz="4" w:space="0" w:color="auto"/>
              <w:right w:val="single" w:sz="4" w:space="0" w:color="auto"/>
            </w:tcBorders>
            <w:shd w:val="clear" w:color="auto" w:fill="C6EFCE"/>
            <w:noWrap/>
            <w:vAlign w:val="bottom"/>
            <w:hideMark/>
          </w:tcPr>
          <w:p w14:paraId="7DD508CC" w14:textId="77777777" w:rsidR="00350D0F" w:rsidRPr="009674F2" w:rsidRDefault="00350D0F" w:rsidP="00350D0F">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C5I1 Интегриране на екосистемния подход и прилагане на природосъобразни решения при защитата на обекти от Натура 2000</w:t>
            </w:r>
          </w:p>
        </w:tc>
        <w:tc>
          <w:tcPr>
            <w:tcW w:w="1701" w:type="dxa"/>
            <w:tcBorders>
              <w:top w:val="nil"/>
              <w:left w:val="nil"/>
              <w:bottom w:val="single" w:sz="4" w:space="0" w:color="auto"/>
              <w:right w:val="single" w:sz="4" w:space="0" w:color="auto"/>
            </w:tcBorders>
            <w:shd w:val="clear" w:color="auto" w:fill="C6EFCE"/>
            <w:noWrap/>
            <w:vAlign w:val="bottom"/>
            <w:hideMark/>
          </w:tcPr>
          <w:p w14:paraId="70BF6601" w14:textId="77777777" w:rsidR="00350D0F" w:rsidRPr="009674F2" w:rsidRDefault="00350D0F" w:rsidP="00350D0F">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Цел</w:t>
            </w:r>
          </w:p>
        </w:tc>
        <w:tc>
          <w:tcPr>
            <w:tcW w:w="3472" w:type="dxa"/>
            <w:tcBorders>
              <w:top w:val="nil"/>
              <w:left w:val="nil"/>
              <w:bottom w:val="single" w:sz="4" w:space="0" w:color="auto"/>
              <w:right w:val="single" w:sz="4" w:space="0" w:color="auto"/>
            </w:tcBorders>
            <w:shd w:val="clear" w:color="auto" w:fill="C6EFCE"/>
            <w:noWrap/>
            <w:vAlign w:val="bottom"/>
            <w:hideMark/>
          </w:tcPr>
          <w:p w14:paraId="79B923C7" w14:textId="77777777" w:rsidR="00350D0F" w:rsidRPr="009674F2" w:rsidRDefault="00350D0F" w:rsidP="00350D0F">
            <w:pPr>
              <w:spacing w:after="0" w:line="240" w:lineRule="auto"/>
              <w:rPr>
                <w:rFonts w:ascii="Times New Roman" w:eastAsia="Times New Roman" w:hAnsi="Times New Roman" w:cs="Times New Roman"/>
                <w:noProof/>
                <w:color w:val="006100"/>
              </w:rPr>
            </w:pPr>
            <w:r>
              <w:rPr>
                <w:rFonts w:ascii="Times New Roman" w:hAnsi="Times New Roman"/>
                <w:noProof/>
                <w:color w:val="006100"/>
              </w:rPr>
              <w:t>Разработване на специфични за отделната зона природозащитни цели и мерки за защитените зони по „Натура 2000“</w:t>
            </w:r>
          </w:p>
        </w:tc>
      </w:tr>
      <w:tr w:rsidR="00350D0F" w:rsidRPr="005241FC" w14:paraId="01D2F216" w14:textId="77777777" w:rsidTr="7B697459">
        <w:trPr>
          <w:trHeight w:val="302"/>
          <w:jc w:val="center"/>
        </w:trPr>
        <w:tc>
          <w:tcPr>
            <w:tcW w:w="1207" w:type="dxa"/>
            <w:tcBorders>
              <w:top w:val="nil"/>
              <w:left w:val="single" w:sz="4" w:space="0" w:color="auto"/>
              <w:bottom w:val="single" w:sz="4" w:space="0" w:color="auto"/>
              <w:right w:val="single" w:sz="4" w:space="0" w:color="auto"/>
            </w:tcBorders>
            <w:shd w:val="clear" w:color="auto" w:fill="C6EFCE"/>
            <w:noWrap/>
            <w:hideMark/>
          </w:tcPr>
          <w:p w14:paraId="33A31829" w14:textId="77777777" w:rsidR="00350D0F" w:rsidRPr="009674F2" w:rsidRDefault="00350D0F" w:rsidP="00350D0F">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131</w:t>
            </w:r>
          </w:p>
        </w:tc>
        <w:tc>
          <w:tcPr>
            <w:tcW w:w="3684" w:type="dxa"/>
            <w:tcBorders>
              <w:top w:val="nil"/>
              <w:left w:val="nil"/>
              <w:bottom w:val="single" w:sz="4" w:space="0" w:color="auto"/>
              <w:right w:val="single" w:sz="4" w:space="0" w:color="auto"/>
            </w:tcBorders>
            <w:shd w:val="clear" w:color="auto" w:fill="C6EFCE"/>
            <w:noWrap/>
            <w:hideMark/>
          </w:tcPr>
          <w:p w14:paraId="12E2A6C7" w14:textId="77777777" w:rsidR="00350D0F" w:rsidRPr="009674F2" w:rsidRDefault="00350D0F" w:rsidP="00350D0F">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C6R1 Актуализиране на стратегическата рамка на сектора на здравеопазването</w:t>
            </w:r>
          </w:p>
        </w:tc>
        <w:tc>
          <w:tcPr>
            <w:tcW w:w="1701" w:type="dxa"/>
            <w:tcBorders>
              <w:top w:val="nil"/>
              <w:left w:val="nil"/>
              <w:bottom w:val="single" w:sz="4" w:space="0" w:color="auto"/>
              <w:right w:val="single" w:sz="4" w:space="0" w:color="auto"/>
            </w:tcBorders>
            <w:shd w:val="clear" w:color="auto" w:fill="C6EFCE"/>
            <w:noWrap/>
            <w:hideMark/>
          </w:tcPr>
          <w:p w14:paraId="1C24D785" w14:textId="77777777" w:rsidR="00350D0F" w:rsidRPr="009674F2" w:rsidRDefault="00350D0F" w:rsidP="00350D0F">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Ключов етап</w:t>
            </w:r>
          </w:p>
        </w:tc>
        <w:tc>
          <w:tcPr>
            <w:tcW w:w="3472" w:type="dxa"/>
            <w:tcBorders>
              <w:top w:val="nil"/>
              <w:left w:val="nil"/>
              <w:bottom w:val="single" w:sz="4" w:space="0" w:color="auto"/>
              <w:right w:val="single" w:sz="4" w:space="0" w:color="auto"/>
            </w:tcBorders>
            <w:shd w:val="clear" w:color="auto" w:fill="C6EFCE"/>
            <w:noWrap/>
            <w:hideMark/>
          </w:tcPr>
          <w:p w14:paraId="4C6CB7C6" w14:textId="77777777" w:rsidR="00350D0F" w:rsidRPr="009674F2" w:rsidRDefault="00350D0F" w:rsidP="00350D0F">
            <w:pPr>
              <w:spacing w:after="0" w:line="240" w:lineRule="auto"/>
              <w:rPr>
                <w:rFonts w:ascii="Times New Roman" w:eastAsia="Times New Roman" w:hAnsi="Times New Roman" w:cs="Times New Roman"/>
                <w:noProof/>
                <w:color w:val="006100"/>
              </w:rPr>
            </w:pPr>
            <w:r>
              <w:rPr>
                <w:rFonts w:ascii="Times New Roman" w:hAnsi="Times New Roman"/>
                <w:noProof/>
                <w:color w:val="006100"/>
              </w:rPr>
              <w:t>Приемане на националната програма за действие, допринасяща за постигането на целите на стратегията „От фермата до трапезата“ до 2030 г.</w:t>
            </w:r>
          </w:p>
        </w:tc>
      </w:tr>
      <w:tr w:rsidR="00350D0F" w:rsidRPr="005241FC" w14:paraId="2E5DD4D4" w14:textId="77777777" w:rsidTr="7B697459">
        <w:trPr>
          <w:trHeight w:val="302"/>
          <w:jc w:val="center"/>
        </w:trPr>
        <w:tc>
          <w:tcPr>
            <w:tcW w:w="1207" w:type="dxa"/>
            <w:tcBorders>
              <w:top w:val="nil"/>
              <w:left w:val="single" w:sz="4" w:space="0" w:color="auto"/>
              <w:bottom w:val="single" w:sz="4" w:space="0" w:color="auto"/>
              <w:right w:val="single" w:sz="4" w:space="0" w:color="auto"/>
            </w:tcBorders>
            <w:shd w:val="clear" w:color="auto" w:fill="C6EFCE"/>
            <w:noWrap/>
          </w:tcPr>
          <w:p w14:paraId="65083B75" w14:textId="77777777" w:rsidR="00350D0F" w:rsidRPr="009674F2" w:rsidRDefault="00350D0F" w:rsidP="00350D0F">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135</w:t>
            </w:r>
          </w:p>
        </w:tc>
        <w:tc>
          <w:tcPr>
            <w:tcW w:w="3684" w:type="dxa"/>
            <w:tcBorders>
              <w:top w:val="nil"/>
              <w:left w:val="nil"/>
              <w:bottom w:val="single" w:sz="4" w:space="0" w:color="auto"/>
              <w:right w:val="single" w:sz="4" w:space="0" w:color="auto"/>
            </w:tcBorders>
            <w:shd w:val="clear" w:color="auto" w:fill="C6EFCE"/>
            <w:noWrap/>
            <w:vAlign w:val="bottom"/>
          </w:tcPr>
          <w:p w14:paraId="07DDE9EC" w14:textId="77777777" w:rsidR="00350D0F" w:rsidRPr="009674F2" w:rsidRDefault="00350D0F" w:rsidP="00350D0F">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C6I2 Цифровизация на процесите от фермата до трапезата</w:t>
            </w:r>
          </w:p>
        </w:tc>
        <w:tc>
          <w:tcPr>
            <w:tcW w:w="1701" w:type="dxa"/>
            <w:tcBorders>
              <w:top w:val="nil"/>
              <w:left w:val="nil"/>
              <w:bottom w:val="single" w:sz="4" w:space="0" w:color="auto"/>
              <w:right w:val="single" w:sz="4" w:space="0" w:color="auto"/>
            </w:tcBorders>
            <w:shd w:val="clear" w:color="auto" w:fill="C6EFCE"/>
            <w:noWrap/>
            <w:vAlign w:val="bottom"/>
          </w:tcPr>
          <w:p w14:paraId="6763C438" w14:textId="77777777" w:rsidR="00350D0F" w:rsidRPr="009674F2" w:rsidRDefault="00350D0F" w:rsidP="00350D0F">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Ключов етап</w:t>
            </w:r>
          </w:p>
        </w:tc>
        <w:tc>
          <w:tcPr>
            <w:tcW w:w="3472" w:type="dxa"/>
            <w:tcBorders>
              <w:top w:val="nil"/>
              <w:left w:val="nil"/>
              <w:bottom w:val="single" w:sz="4" w:space="0" w:color="auto"/>
              <w:right w:val="single" w:sz="4" w:space="0" w:color="auto"/>
            </w:tcBorders>
            <w:shd w:val="clear" w:color="auto" w:fill="C6EFCE"/>
            <w:noWrap/>
            <w:vAlign w:val="bottom"/>
          </w:tcPr>
          <w:p w14:paraId="796B8F1A" w14:textId="77777777" w:rsidR="00350D0F" w:rsidRPr="009674F2" w:rsidRDefault="00350D0F" w:rsidP="00350D0F">
            <w:pPr>
              <w:spacing w:after="0" w:line="240" w:lineRule="auto"/>
              <w:rPr>
                <w:rFonts w:ascii="Times New Roman" w:eastAsia="Times New Roman" w:hAnsi="Times New Roman" w:cs="Times New Roman"/>
                <w:noProof/>
                <w:color w:val="006100"/>
              </w:rPr>
            </w:pPr>
            <w:r>
              <w:rPr>
                <w:rFonts w:ascii="Times New Roman" w:hAnsi="Times New Roman"/>
                <w:noProof/>
                <w:color w:val="006100"/>
              </w:rPr>
              <w:t>Възлагане на обществени поръчки за: 1) софтуерни решения за електронната информационна система в селскостопанския сектор и 2) комуникационна мрежа за полевите датчици и датчиците за валежи</w:t>
            </w:r>
          </w:p>
        </w:tc>
      </w:tr>
      <w:tr w:rsidR="00350D0F" w:rsidRPr="005241FC" w14:paraId="2FCEFA54" w14:textId="77777777" w:rsidTr="7B697459">
        <w:trPr>
          <w:trHeight w:val="302"/>
          <w:jc w:val="center"/>
        </w:trPr>
        <w:tc>
          <w:tcPr>
            <w:tcW w:w="1207" w:type="dxa"/>
            <w:tcBorders>
              <w:top w:val="nil"/>
              <w:left w:val="single" w:sz="4" w:space="0" w:color="auto"/>
              <w:bottom w:val="single" w:sz="4" w:space="0" w:color="auto"/>
              <w:right w:val="single" w:sz="4" w:space="0" w:color="auto"/>
            </w:tcBorders>
            <w:shd w:val="clear" w:color="auto" w:fill="C6EFCE"/>
            <w:noWrap/>
          </w:tcPr>
          <w:p w14:paraId="60BA9092" w14:textId="77777777" w:rsidR="00350D0F" w:rsidRPr="009674F2" w:rsidRDefault="00350D0F" w:rsidP="00350D0F">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141</w:t>
            </w:r>
          </w:p>
        </w:tc>
        <w:tc>
          <w:tcPr>
            <w:tcW w:w="3684" w:type="dxa"/>
            <w:tcBorders>
              <w:top w:val="nil"/>
              <w:left w:val="nil"/>
              <w:bottom w:val="single" w:sz="4" w:space="0" w:color="auto"/>
              <w:right w:val="single" w:sz="4" w:space="0" w:color="auto"/>
            </w:tcBorders>
            <w:shd w:val="clear" w:color="auto" w:fill="C6EFCE"/>
            <w:noWrap/>
          </w:tcPr>
          <w:p w14:paraId="70491CC9" w14:textId="77777777" w:rsidR="00350D0F" w:rsidRPr="009674F2" w:rsidRDefault="00350D0F" w:rsidP="00350D0F">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C7I1 Широкомащабно внедряване на цифрова инфраструктура</w:t>
            </w:r>
          </w:p>
        </w:tc>
        <w:tc>
          <w:tcPr>
            <w:tcW w:w="1701" w:type="dxa"/>
            <w:tcBorders>
              <w:top w:val="nil"/>
              <w:left w:val="nil"/>
              <w:bottom w:val="single" w:sz="4" w:space="0" w:color="auto"/>
              <w:right w:val="single" w:sz="4" w:space="0" w:color="auto"/>
            </w:tcBorders>
            <w:shd w:val="clear" w:color="auto" w:fill="C6EFCE"/>
            <w:noWrap/>
          </w:tcPr>
          <w:p w14:paraId="3FE22C80" w14:textId="77777777" w:rsidR="00350D0F" w:rsidRPr="009674F2" w:rsidRDefault="00350D0F" w:rsidP="00350D0F">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Цел</w:t>
            </w:r>
          </w:p>
        </w:tc>
        <w:tc>
          <w:tcPr>
            <w:tcW w:w="3472" w:type="dxa"/>
            <w:tcBorders>
              <w:top w:val="nil"/>
              <w:left w:val="nil"/>
              <w:bottom w:val="single" w:sz="4" w:space="0" w:color="auto"/>
              <w:right w:val="single" w:sz="4" w:space="0" w:color="auto"/>
            </w:tcBorders>
            <w:shd w:val="clear" w:color="auto" w:fill="C6EFCE"/>
            <w:noWrap/>
          </w:tcPr>
          <w:p w14:paraId="62D2107A" w14:textId="77777777" w:rsidR="00350D0F" w:rsidRPr="009674F2" w:rsidRDefault="00350D0F" w:rsidP="00350D0F">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Точки за достъп с 1Gbps до държавната мрежа за доставчиците на услуги от общ интерес</w:t>
            </w:r>
          </w:p>
        </w:tc>
      </w:tr>
      <w:tr w:rsidR="00350D0F" w:rsidRPr="005241FC" w14:paraId="3A8395E5" w14:textId="77777777" w:rsidTr="7B697459">
        <w:trPr>
          <w:trHeight w:val="302"/>
          <w:jc w:val="center"/>
        </w:trPr>
        <w:tc>
          <w:tcPr>
            <w:tcW w:w="1207" w:type="dxa"/>
            <w:tcBorders>
              <w:top w:val="nil"/>
              <w:left w:val="single" w:sz="4" w:space="0" w:color="auto"/>
              <w:bottom w:val="single" w:sz="4" w:space="0" w:color="auto"/>
              <w:right w:val="single" w:sz="4" w:space="0" w:color="auto"/>
            </w:tcBorders>
            <w:shd w:val="clear" w:color="auto" w:fill="C6EFCE"/>
            <w:noWrap/>
          </w:tcPr>
          <w:p w14:paraId="5EECCF29" w14:textId="77777777" w:rsidR="00350D0F" w:rsidRPr="009674F2" w:rsidRDefault="00350D0F" w:rsidP="00350D0F">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163</w:t>
            </w:r>
          </w:p>
        </w:tc>
        <w:tc>
          <w:tcPr>
            <w:tcW w:w="3684" w:type="dxa"/>
            <w:tcBorders>
              <w:top w:val="nil"/>
              <w:left w:val="nil"/>
              <w:bottom w:val="single" w:sz="4" w:space="0" w:color="auto"/>
              <w:right w:val="single" w:sz="4" w:space="0" w:color="auto"/>
            </w:tcBorders>
            <w:shd w:val="clear" w:color="auto" w:fill="C6EFCE"/>
            <w:noWrap/>
          </w:tcPr>
          <w:p w14:paraId="3DD43255" w14:textId="77777777" w:rsidR="00350D0F" w:rsidRPr="009674F2" w:rsidRDefault="00350D0F" w:rsidP="00350D0F">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C8R1 Стратегическа рамка за транспорта</w:t>
            </w:r>
          </w:p>
        </w:tc>
        <w:tc>
          <w:tcPr>
            <w:tcW w:w="1701" w:type="dxa"/>
            <w:tcBorders>
              <w:top w:val="nil"/>
              <w:left w:val="nil"/>
              <w:bottom w:val="single" w:sz="4" w:space="0" w:color="auto"/>
              <w:right w:val="single" w:sz="4" w:space="0" w:color="auto"/>
            </w:tcBorders>
            <w:shd w:val="clear" w:color="auto" w:fill="C6EFCE"/>
            <w:noWrap/>
          </w:tcPr>
          <w:p w14:paraId="109BC9F0" w14:textId="77777777" w:rsidR="00350D0F" w:rsidRPr="009674F2" w:rsidRDefault="00350D0F" w:rsidP="00350D0F">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Ключов етап</w:t>
            </w:r>
          </w:p>
        </w:tc>
        <w:tc>
          <w:tcPr>
            <w:tcW w:w="3472" w:type="dxa"/>
            <w:tcBorders>
              <w:top w:val="nil"/>
              <w:left w:val="nil"/>
              <w:bottom w:val="single" w:sz="4" w:space="0" w:color="auto"/>
              <w:right w:val="single" w:sz="4" w:space="0" w:color="auto"/>
            </w:tcBorders>
            <w:shd w:val="clear" w:color="auto" w:fill="C6EFCE"/>
            <w:noWrap/>
          </w:tcPr>
          <w:p w14:paraId="439EB49C" w14:textId="77777777" w:rsidR="00350D0F" w:rsidRPr="009674F2" w:rsidRDefault="00350D0F" w:rsidP="00350D0F">
            <w:pPr>
              <w:spacing w:after="0" w:line="240" w:lineRule="auto"/>
              <w:rPr>
                <w:rFonts w:ascii="Times New Roman" w:eastAsia="Times New Roman" w:hAnsi="Times New Roman" w:cs="Times New Roman"/>
                <w:noProof/>
                <w:color w:val="006100"/>
              </w:rPr>
            </w:pPr>
            <w:r>
              <w:rPr>
                <w:rFonts w:ascii="Times New Roman" w:hAnsi="Times New Roman"/>
                <w:noProof/>
                <w:color w:val="006100"/>
              </w:rPr>
              <w:t>Укрепване на капацитета за управление и изпълнение на железопътни проекти за TEN-T</w:t>
            </w:r>
          </w:p>
        </w:tc>
      </w:tr>
      <w:tr w:rsidR="00350D0F" w:rsidRPr="005241FC" w14:paraId="2BB7DA0B" w14:textId="77777777" w:rsidTr="7B697459">
        <w:trPr>
          <w:trHeight w:val="302"/>
          <w:jc w:val="center"/>
        </w:trPr>
        <w:tc>
          <w:tcPr>
            <w:tcW w:w="1207" w:type="dxa"/>
            <w:tcBorders>
              <w:top w:val="nil"/>
              <w:left w:val="single" w:sz="4" w:space="0" w:color="auto"/>
              <w:bottom w:val="single" w:sz="4" w:space="0" w:color="auto"/>
              <w:right w:val="single" w:sz="4" w:space="0" w:color="auto"/>
            </w:tcBorders>
            <w:shd w:val="clear" w:color="auto" w:fill="C6EFCE"/>
            <w:noWrap/>
          </w:tcPr>
          <w:p w14:paraId="651A4822" w14:textId="77777777" w:rsidR="00350D0F" w:rsidRPr="009674F2" w:rsidRDefault="00350D0F" w:rsidP="00350D0F">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w:t>
            </w:r>
          </w:p>
        </w:tc>
        <w:tc>
          <w:tcPr>
            <w:tcW w:w="3684" w:type="dxa"/>
            <w:tcBorders>
              <w:top w:val="nil"/>
              <w:left w:val="nil"/>
              <w:bottom w:val="single" w:sz="4" w:space="0" w:color="auto"/>
              <w:right w:val="single" w:sz="4" w:space="0" w:color="auto"/>
            </w:tcBorders>
            <w:shd w:val="clear" w:color="auto" w:fill="C6EFCE"/>
            <w:noWrap/>
          </w:tcPr>
          <w:p w14:paraId="3C4E274E" w14:textId="77777777" w:rsidR="00350D0F" w:rsidRPr="009674F2" w:rsidRDefault="00350D0F" w:rsidP="00350D0F">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C8I7 Пилотна схема за устойчива градска мобилност</w:t>
            </w:r>
          </w:p>
        </w:tc>
        <w:tc>
          <w:tcPr>
            <w:tcW w:w="1701" w:type="dxa"/>
            <w:tcBorders>
              <w:top w:val="nil"/>
              <w:left w:val="nil"/>
              <w:bottom w:val="single" w:sz="4" w:space="0" w:color="auto"/>
              <w:right w:val="single" w:sz="4" w:space="0" w:color="auto"/>
            </w:tcBorders>
            <w:shd w:val="clear" w:color="auto" w:fill="C6EFCE"/>
            <w:noWrap/>
          </w:tcPr>
          <w:p w14:paraId="1D46A4D8" w14:textId="77777777" w:rsidR="00350D0F" w:rsidRPr="009674F2" w:rsidRDefault="00350D0F" w:rsidP="00350D0F">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Ключов етап</w:t>
            </w:r>
          </w:p>
        </w:tc>
        <w:tc>
          <w:tcPr>
            <w:tcW w:w="3472" w:type="dxa"/>
            <w:tcBorders>
              <w:top w:val="nil"/>
              <w:left w:val="nil"/>
              <w:bottom w:val="single" w:sz="4" w:space="0" w:color="auto"/>
              <w:right w:val="single" w:sz="4" w:space="0" w:color="auto"/>
            </w:tcBorders>
            <w:shd w:val="clear" w:color="auto" w:fill="C6EFCE"/>
            <w:noWrap/>
          </w:tcPr>
          <w:p w14:paraId="3A2EAD37" w14:textId="77777777" w:rsidR="00350D0F" w:rsidRPr="009674F2" w:rsidRDefault="00350D0F" w:rsidP="00350D0F">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Договори за новите превозни средства за обществен транспорт с нулеви емисии</w:t>
            </w:r>
          </w:p>
        </w:tc>
      </w:tr>
      <w:tr w:rsidR="00350D0F" w:rsidRPr="005241FC" w14:paraId="30E9FDCD" w14:textId="77777777" w:rsidTr="7B697459">
        <w:trPr>
          <w:trHeight w:val="302"/>
          <w:jc w:val="center"/>
        </w:trPr>
        <w:tc>
          <w:tcPr>
            <w:tcW w:w="1207" w:type="dxa"/>
            <w:tcBorders>
              <w:top w:val="nil"/>
              <w:left w:val="single" w:sz="4" w:space="0" w:color="auto"/>
              <w:bottom w:val="single" w:sz="4" w:space="0" w:color="auto"/>
              <w:right w:val="single" w:sz="4" w:space="0" w:color="auto"/>
            </w:tcBorders>
            <w:shd w:val="clear" w:color="auto" w:fill="C6EFCE"/>
            <w:noWrap/>
          </w:tcPr>
          <w:p w14:paraId="4734A147" w14:textId="77777777" w:rsidR="00350D0F" w:rsidRPr="009674F2" w:rsidRDefault="00350D0F" w:rsidP="00350D0F">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209</w:t>
            </w:r>
          </w:p>
        </w:tc>
        <w:tc>
          <w:tcPr>
            <w:tcW w:w="3684" w:type="dxa"/>
            <w:tcBorders>
              <w:top w:val="nil"/>
              <w:left w:val="nil"/>
              <w:bottom w:val="single" w:sz="4" w:space="0" w:color="auto"/>
              <w:right w:val="single" w:sz="4" w:space="0" w:color="auto"/>
            </w:tcBorders>
            <w:shd w:val="clear" w:color="auto" w:fill="C6EFCE"/>
            <w:noWrap/>
          </w:tcPr>
          <w:p w14:paraId="491BECFF" w14:textId="77777777" w:rsidR="00350D0F" w:rsidRPr="009674F2" w:rsidRDefault="00350D0F" w:rsidP="00350D0F">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C9I1 Програма за изграждане/доизграждане/реконструкция на водоснабдителни и канализационни системи, включително пречиствателни станции за отпадъчни води за агломерациите между 5 000 и 10 000 еквивалент жители</w:t>
            </w:r>
          </w:p>
        </w:tc>
        <w:tc>
          <w:tcPr>
            <w:tcW w:w="1701" w:type="dxa"/>
            <w:tcBorders>
              <w:top w:val="nil"/>
              <w:left w:val="nil"/>
              <w:bottom w:val="single" w:sz="4" w:space="0" w:color="auto"/>
              <w:right w:val="single" w:sz="4" w:space="0" w:color="auto"/>
            </w:tcBorders>
            <w:shd w:val="clear" w:color="auto" w:fill="C6EFCE"/>
            <w:noWrap/>
          </w:tcPr>
          <w:p w14:paraId="4F5FC20F" w14:textId="77777777" w:rsidR="00350D0F" w:rsidRPr="009674F2" w:rsidRDefault="00350D0F" w:rsidP="00350D0F">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Ключов етап</w:t>
            </w:r>
          </w:p>
        </w:tc>
        <w:tc>
          <w:tcPr>
            <w:tcW w:w="3472" w:type="dxa"/>
            <w:tcBorders>
              <w:top w:val="nil"/>
              <w:left w:val="nil"/>
              <w:bottom w:val="single" w:sz="4" w:space="0" w:color="auto"/>
              <w:right w:val="single" w:sz="4" w:space="0" w:color="auto"/>
            </w:tcBorders>
            <w:shd w:val="clear" w:color="auto" w:fill="C6EFCE"/>
            <w:noWrap/>
          </w:tcPr>
          <w:p w14:paraId="27A4A7F8" w14:textId="77777777" w:rsidR="00350D0F" w:rsidRPr="009674F2" w:rsidRDefault="00350D0F" w:rsidP="00350D0F">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Възлагане на обществени поръчки за </w:t>
            </w:r>
          </w:p>
          <w:p w14:paraId="72CCABDC" w14:textId="77777777" w:rsidR="00350D0F" w:rsidRPr="009674F2" w:rsidRDefault="00350D0F" w:rsidP="00350D0F">
            <w:pPr>
              <w:spacing w:after="0" w:line="240" w:lineRule="auto"/>
              <w:rPr>
                <w:rFonts w:ascii="Times New Roman" w:eastAsia="Times New Roman" w:hAnsi="Times New Roman" w:cs="Times New Roman"/>
                <w:noProof/>
                <w:color w:val="006100"/>
              </w:rPr>
            </w:pPr>
            <w:r>
              <w:rPr>
                <w:rFonts w:ascii="Times New Roman" w:hAnsi="Times New Roman"/>
                <w:noProof/>
                <w:color w:val="006100"/>
              </w:rPr>
              <w:t>проектиране и изграждане на пречиствателни станции за отпадъчни води и водоснабдителна и канализационна мрежа</w:t>
            </w:r>
          </w:p>
        </w:tc>
      </w:tr>
      <w:tr w:rsidR="00350D0F" w:rsidRPr="005241FC" w14:paraId="244B46BB" w14:textId="77777777" w:rsidTr="7B697459">
        <w:trPr>
          <w:trHeight w:val="302"/>
          <w:jc w:val="center"/>
        </w:trPr>
        <w:tc>
          <w:tcPr>
            <w:tcW w:w="1207" w:type="dxa"/>
            <w:tcBorders>
              <w:top w:val="nil"/>
              <w:left w:val="single" w:sz="4" w:space="0" w:color="auto"/>
              <w:bottom w:val="single" w:sz="4" w:space="0" w:color="auto"/>
              <w:right w:val="single" w:sz="4" w:space="0" w:color="auto"/>
            </w:tcBorders>
            <w:shd w:val="clear" w:color="auto" w:fill="C6EFCE"/>
            <w:noWrap/>
          </w:tcPr>
          <w:p w14:paraId="7019D925" w14:textId="77777777" w:rsidR="00350D0F" w:rsidRPr="009674F2" w:rsidRDefault="00350D0F" w:rsidP="00350D0F">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223</w:t>
            </w:r>
          </w:p>
        </w:tc>
        <w:tc>
          <w:tcPr>
            <w:tcW w:w="3684" w:type="dxa"/>
            <w:tcBorders>
              <w:top w:val="nil"/>
              <w:left w:val="nil"/>
              <w:bottom w:val="single" w:sz="4" w:space="0" w:color="auto"/>
              <w:right w:val="single" w:sz="4" w:space="0" w:color="auto"/>
            </w:tcBorders>
            <w:shd w:val="clear" w:color="auto" w:fill="C6EFCE"/>
            <w:noWrap/>
          </w:tcPr>
          <w:p w14:paraId="2AAC430C" w14:textId="77777777" w:rsidR="00350D0F" w:rsidRPr="009674F2" w:rsidRDefault="00350D0F" w:rsidP="00350D0F">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C10R2 Противодействие на корупцията</w:t>
            </w:r>
          </w:p>
        </w:tc>
        <w:tc>
          <w:tcPr>
            <w:tcW w:w="1701" w:type="dxa"/>
            <w:tcBorders>
              <w:top w:val="nil"/>
              <w:left w:val="nil"/>
              <w:bottom w:val="single" w:sz="4" w:space="0" w:color="auto"/>
              <w:right w:val="single" w:sz="4" w:space="0" w:color="auto"/>
            </w:tcBorders>
            <w:shd w:val="clear" w:color="auto" w:fill="C6EFCE"/>
            <w:noWrap/>
          </w:tcPr>
          <w:p w14:paraId="2D94FEB3" w14:textId="77777777" w:rsidR="00350D0F" w:rsidRPr="009674F2" w:rsidRDefault="00350D0F" w:rsidP="00350D0F">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Ключов етап</w:t>
            </w:r>
          </w:p>
        </w:tc>
        <w:tc>
          <w:tcPr>
            <w:tcW w:w="3472" w:type="dxa"/>
            <w:tcBorders>
              <w:top w:val="nil"/>
              <w:left w:val="nil"/>
              <w:bottom w:val="single" w:sz="4" w:space="0" w:color="auto"/>
              <w:right w:val="single" w:sz="4" w:space="0" w:color="auto"/>
            </w:tcBorders>
            <w:shd w:val="clear" w:color="auto" w:fill="C6EFCE"/>
            <w:noWrap/>
          </w:tcPr>
          <w:p w14:paraId="47FBDC9D" w14:textId="77777777" w:rsidR="00350D0F" w:rsidRPr="009674F2" w:rsidRDefault="00350D0F" w:rsidP="00350D0F">
            <w:pPr>
              <w:spacing w:after="0" w:line="240" w:lineRule="auto"/>
              <w:rPr>
                <w:rFonts w:ascii="Times New Roman" w:eastAsia="Times New Roman" w:hAnsi="Times New Roman" w:cs="Times New Roman"/>
                <w:noProof/>
                <w:color w:val="006100"/>
              </w:rPr>
            </w:pPr>
            <w:r>
              <w:rPr>
                <w:rFonts w:ascii="Times New Roman" w:hAnsi="Times New Roman"/>
                <w:noProof/>
                <w:color w:val="006100"/>
              </w:rPr>
              <w:t>Влизане в сила на законодателни мерки за уреждане на лобистките дейности</w:t>
            </w:r>
          </w:p>
        </w:tc>
      </w:tr>
      <w:tr w:rsidR="00350D0F" w:rsidRPr="005241FC" w14:paraId="214B9BF2" w14:textId="77777777" w:rsidTr="7B697459">
        <w:trPr>
          <w:trHeight w:val="302"/>
          <w:jc w:val="center"/>
        </w:trPr>
        <w:tc>
          <w:tcPr>
            <w:tcW w:w="1207" w:type="dxa"/>
            <w:tcBorders>
              <w:top w:val="nil"/>
              <w:left w:val="single" w:sz="4" w:space="0" w:color="auto"/>
              <w:bottom w:val="single" w:sz="4" w:space="0" w:color="auto"/>
              <w:right w:val="single" w:sz="4" w:space="0" w:color="auto"/>
            </w:tcBorders>
            <w:shd w:val="clear" w:color="auto" w:fill="C6EFCE"/>
            <w:noWrap/>
          </w:tcPr>
          <w:p w14:paraId="76E549A6" w14:textId="77777777" w:rsidR="00350D0F" w:rsidRPr="009674F2" w:rsidRDefault="00350D0F" w:rsidP="00350D0F">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245</w:t>
            </w:r>
          </w:p>
        </w:tc>
        <w:tc>
          <w:tcPr>
            <w:tcW w:w="3684" w:type="dxa"/>
            <w:tcBorders>
              <w:top w:val="nil"/>
              <w:left w:val="nil"/>
              <w:bottom w:val="single" w:sz="4" w:space="0" w:color="auto"/>
              <w:right w:val="single" w:sz="4" w:space="0" w:color="auto"/>
            </w:tcBorders>
            <w:shd w:val="clear" w:color="auto" w:fill="C6EFCE"/>
            <w:noWrap/>
          </w:tcPr>
          <w:p w14:paraId="55475DB7" w14:textId="77777777" w:rsidR="00350D0F" w:rsidRPr="009674F2" w:rsidRDefault="00350D0F" w:rsidP="00350D0F">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C10R10 Обществени поръчки</w:t>
            </w:r>
          </w:p>
        </w:tc>
        <w:tc>
          <w:tcPr>
            <w:tcW w:w="1701" w:type="dxa"/>
            <w:tcBorders>
              <w:top w:val="nil"/>
              <w:left w:val="nil"/>
              <w:bottom w:val="single" w:sz="4" w:space="0" w:color="auto"/>
              <w:right w:val="single" w:sz="4" w:space="0" w:color="auto"/>
            </w:tcBorders>
            <w:shd w:val="clear" w:color="auto" w:fill="C6EFCE"/>
            <w:noWrap/>
          </w:tcPr>
          <w:p w14:paraId="2DE30B6D" w14:textId="77777777" w:rsidR="00350D0F" w:rsidRPr="009674F2" w:rsidRDefault="00350D0F" w:rsidP="00350D0F">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Ключов етап</w:t>
            </w:r>
          </w:p>
        </w:tc>
        <w:tc>
          <w:tcPr>
            <w:tcW w:w="3472" w:type="dxa"/>
            <w:tcBorders>
              <w:top w:val="nil"/>
              <w:left w:val="nil"/>
              <w:bottom w:val="single" w:sz="4" w:space="0" w:color="auto"/>
              <w:right w:val="single" w:sz="4" w:space="0" w:color="auto"/>
            </w:tcBorders>
            <w:shd w:val="clear" w:color="auto" w:fill="C6EFCE"/>
            <w:noWrap/>
          </w:tcPr>
          <w:p w14:paraId="7A3A152F" w14:textId="77777777" w:rsidR="00350D0F" w:rsidRPr="009674F2" w:rsidRDefault="00350D0F" w:rsidP="00350D0F">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Въвеждане на нови стандартни електронни формуляри за обществените поръчки</w:t>
            </w:r>
          </w:p>
        </w:tc>
      </w:tr>
      <w:tr w:rsidR="00350D0F" w:rsidRPr="005241FC" w14:paraId="41BC7480" w14:textId="77777777" w:rsidTr="7B697459">
        <w:trPr>
          <w:trHeight w:val="302"/>
          <w:jc w:val="center"/>
        </w:trPr>
        <w:tc>
          <w:tcPr>
            <w:tcW w:w="1207" w:type="dxa"/>
            <w:tcBorders>
              <w:top w:val="nil"/>
              <w:left w:val="single" w:sz="4" w:space="0" w:color="auto"/>
              <w:bottom w:val="single" w:sz="4" w:space="0" w:color="auto"/>
              <w:right w:val="single" w:sz="4" w:space="0" w:color="auto"/>
            </w:tcBorders>
            <w:shd w:val="clear" w:color="auto" w:fill="C6EFCE"/>
            <w:noWrap/>
          </w:tcPr>
          <w:p w14:paraId="6CAA4DBB" w14:textId="77777777" w:rsidR="00350D0F" w:rsidRPr="009674F2" w:rsidRDefault="00350D0F" w:rsidP="00350D0F">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247</w:t>
            </w:r>
          </w:p>
        </w:tc>
        <w:tc>
          <w:tcPr>
            <w:tcW w:w="3684" w:type="dxa"/>
            <w:tcBorders>
              <w:top w:val="nil"/>
              <w:left w:val="nil"/>
              <w:bottom w:val="single" w:sz="4" w:space="0" w:color="auto"/>
              <w:right w:val="single" w:sz="4" w:space="0" w:color="auto"/>
            </w:tcBorders>
            <w:shd w:val="clear" w:color="auto" w:fill="C6EFCE"/>
            <w:noWrap/>
          </w:tcPr>
          <w:p w14:paraId="5C74EF53" w14:textId="77777777" w:rsidR="00350D0F" w:rsidRPr="009674F2" w:rsidRDefault="00350D0F" w:rsidP="00350D0F">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C10R10 Обществени поръчки</w:t>
            </w:r>
          </w:p>
        </w:tc>
        <w:tc>
          <w:tcPr>
            <w:tcW w:w="1701" w:type="dxa"/>
            <w:tcBorders>
              <w:top w:val="nil"/>
              <w:left w:val="nil"/>
              <w:bottom w:val="single" w:sz="4" w:space="0" w:color="auto"/>
              <w:right w:val="single" w:sz="4" w:space="0" w:color="auto"/>
            </w:tcBorders>
            <w:shd w:val="clear" w:color="auto" w:fill="C6EFCE"/>
            <w:noWrap/>
          </w:tcPr>
          <w:p w14:paraId="0D0E2EAE" w14:textId="77777777" w:rsidR="00350D0F" w:rsidRPr="009674F2" w:rsidRDefault="00350D0F" w:rsidP="00350D0F">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Цел</w:t>
            </w:r>
          </w:p>
        </w:tc>
        <w:tc>
          <w:tcPr>
            <w:tcW w:w="3472" w:type="dxa"/>
            <w:tcBorders>
              <w:top w:val="nil"/>
              <w:left w:val="nil"/>
              <w:bottom w:val="single" w:sz="4" w:space="0" w:color="auto"/>
              <w:right w:val="single" w:sz="4" w:space="0" w:color="auto"/>
            </w:tcBorders>
            <w:shd w:val="clear" w:color="auto" w:fill="C6EFCE"/>
            <w:noWrap/>
          </w:tcPr>
          <w:p w14:paraId="74216F6C" w14:textId="77777777" w:rsidR="00350D0F" w:rsidRPr="009674F2" w:rsidRDefault="00350D0F" w:rsidP="00350D0F">
            <w:pPr>
              <w:spacing w:after="0" w:line="240" w:lineRule="auto"/>
              <w:rPr>
                <w:rFonts w:ascii="Times New Roman" w:eastAsia="Times New Roman" w:hAnsi="Times New Roman" w:cs="Times New Roman"/>
                <w:noProof/>
                <w:color w:val="006100"/>
              </w:rPr>
            </w:pPr>
            <w:r>
              <w:rPr>
                <w:rFonts w:ascii="Times New Roman" w:hAnsi="Times New Roman"/>
                <w:noProof/>
                <w:color w:val="006100"/>
              </w:rPr>
              <w:t>Ограничаване прилагането на процедури на договаряне без предварително обявление</w:t>
            </w:r>
          </w:p>
        </w:tc>
      </w:tr>
      <w:tr w:rsidR="00350D0F" w:rsidRPr="005241FC" w14:paraId="2D1F3CF7" w14:textId="77777777" w:rsidTr="7B697459">
        <w:trPr>
          <w:trHeight w:val="302"/>
          <w:jc w:val="center"/>
        </w:trPr>
        <w:tc>
          <w:tcPr>
            <w:tcW w:w="1207" w:type="dxa"/>
            <w:tcBorders>
              <w:top w:val="nil"/>
              <w:left w:val="single" w:sz="4" w:space="0" w:color="auto"/>
              <w:bottom w:val="single" w:sz="4" w:space="0" w:color="auto"/>
              <w:right w:val="single" w:sz="4" w:space="0" w:color="auto"/>
            </w:tcBorders>
            <w:shd w:val="clear" w:color="auto" w:fill="C6EFCE"/>
            <w:noWrap/>
          </w:tcPr>
          <w:p w14:paraId="75CE2C7C" w14:textId="77777777" w:rsidR="00350D0F" w:rsidRPr="009674F2" w:rsidRDefault="00350D0F" w:rsidP="00350D0F">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246</w:t>
            </w:r>
          </w:p>
        </w:tc>
        <w:tc>
          <w:tcPr>
            <w:tcW w:w="3684" w:type="dxa"/>
            <w:tcBorders>
              <w:top w:val="nil"/>
              <w:left w:val="nil"/>
              <w:bottom w:val="single" w:sz="4" w:space="0" w:color="auto"/>
              <w:right w:val="single" w:sz="4" w:space="0" w:color="auto"/>
            </w:tcBorders>
            <w:shd w:val="clear" w:color="auto" w:fill="C6EFCE"/>
            <w:noWrap/>
          </w:tcPr>
          <w:p w14:paraId="018D9706" w14:textId="77777777" w:rsidR="00350D0F" w:rsidRPr="009674F2" w:rsidRDefault="00350D0F" w:rsidP="00350D0F">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C10R10 Обществени поръчки</w:t>
            </w:r>
          </w:p>
        </w:tc>
        <w:tc>
          <w:tcPr>
            <w:tcW w:w="1701" w:type="dxa"/>
            <w:tcBorders>
              <w:top w:val="nil"/>
              <w:left w:val="nil"/>
              <w:bottom w:val="single" w:sz="4" w:space="0" w:color="auto"/>
              <w:right w:val="single" w:sz="4" w:space="0" w:color="auto"/>
            </w:tcBorders>
            <w:shd w:val="clear" w:color="auto" w:fill="C6EFCE"/>
            <w:noWrap/>
          </w:tcPr>
          <w:p w14:paraId="2FE76BF7" w14:textId="77777777" w:rsidR="00350D0F" w:rsidRPr="009674F2" w:rsidRDefault="00350D0F" w:rsidP="00350D0F">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Цел</w:t>
            </w:r>
          </w:p>
        </w:tc>
        <w:tc>
          <w:tcPr>
            <w:tcW w:w="3472" w:type="dxa"/>
            <w:tcBorders>
              <w:top w:val="nil"/>
              <w:left w:val="nil"/>
              <w:bottom w:val="single" w:sz="4" w:space="0" w:color="auto"/>
              <w:right w:val="single" w:sz="4" w:space="0" w:color="auto"/>
            </w:tcBorders>
            <w:shd w:val="clear" w:color="auto" w:fill="C6EFCE"/>
            <w:noWrap/>
          </w:tcPr>
          <w:p w14:paraId="5C25B1B4" w14:textId="77777777" w:rsidR="00350D0F" w:rsidRPr="009674F2" w:rsidRDefault="00350D0F" w:rsidP="00350D0F">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Намаляване на дела на обществените поръчки, възложени въз основа на един-единствен оферент</w:t>
            </w:r>
          </w:p>
        </w:tc>
      </w:tr>
      <w:tr w:rsidR="00350D0F" w:rsidRPr="005241FC" w14:paraId="5A73C5EE" w14:textId="77777777" w:rsidTr="7B697459">
        <w:trPr>
          <w:trHeight w:val="302"/>
          <w:jc w:val="center"/>
        </w:trPr>
        <w:tc>
          <w:tcPr>
            <w:tcW w:w="1207" w:type="dxa"/>
            <w:tcBorders>
              <w:top w:val="nil"/>
              <w:left w:val="single" w:sz="4" w:space="0" w:color="auto"/>
              <w:bottom w:val="single" w:sz="4" w:space="0" w:color="auto"/>
              <w:right w:val="single" w:sz="4" w:space="0" w:color="auto"/>
            </w:tcBorders>
            <w:shd w:val="clear" w:color="auto" w:fill="C6EFCE"/>
            <w:noWrap/>
          </w:tcPr>
          <w:p w14:paraId="2272A78C" w14:textId="77777777" w:rsidR="00350D0F" w:rsidRPr="009674F2" w:rsidRDefault="00350D0F" w:rsidP="00350D0F">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254</w:t>
            </w:r>
          </w:p>
        </w:tc>
        <w:tc>
          <w:tcPr>
            <w:tcW w:w="3684" w:type="dxa"/>
            <w:tcBorders>
              <w:top w:val="nil"/>
              <w:left w:val="nil"/>
              <w:bottom w:val="single" w:sz="4" w:space="0" w:color="auto"/>
              <w:right w:val="single" w:sz="4" w:space="0" w:color="auto"/>
            </w:tcBorders>
            <w:shd w:val="clear" w:color="auto" w:fill="C6EFCE"/>
            <w:noWrap/>
          </w:tcPr>
          <w:p w14:paraId="23927B34" w14:textId="77777777" w:rsidR="00350D0F" w:rsidRPr="009674F2" w:rsidRDefault="00350D0F" w:rsidP="00350D0F">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C10R11 Разрастване България</w:t>
            </w:r>
          </w:p>
        </w:tc>
        <w:tc>
          <w:tcPr>
            <w:tcW w:w="1701" w:type="dxa"/>
            <w:tcBorders>
              <w:top w:val="nil"/>
              <w:left w:val="nil"/>
              <w:bottom w:val="single" w:sz="4" w:space="0" w:color="auto"/>
              <w:right w:val="single" w:sz="4" w:space="0" w:color="auto"/>
            </w:tcBorders>
            <w:shd w:val="clear" w:color="auto" w:fill="C6EFCE"/>
            <w:noWrap/>
          </w:tcPr>
          <w:p w14:paraId="458D4F75" w14:textId="77777777" w:rsidR="00350D0F" w:rsidRPr="009674F2" w:rsidRDefault="00350D0F" w:rsidP="00350D0F">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Ключов етап</w:t>
            </w:r>
          </w:p>
        </w:tc>
        <w:tc>
          <w:tcPr>
            <w:tcW w:w="3472" w:type="dxa"/>
            <w:tcBorders>
              <w:top w:val="nil"/>
              <w:left w:val="nil"/>
              <w:bottom w:val="single" w:sz="4" w:space="0" w:color="auto"/>
              <w:right w:val="single" w:sz="4" w:space="0" w:color="auto"/>
            </w:tcBorders>
            <w:shd w:val="clear" w:color="auto" w:fill="C6EFCE"/>
            <w:noWrap/>
          </w:tcPr>
          <w:p w14:paraId="592E25FA" w14:textId="77777777" w:rsidR="00350D0F" w:rsidRPr="009674F2" w:rsidRDefault="00350D0F" w:rsidP="00350D0F">
            <w:pPr>
              <w:spacing w:after="0" w:line="240" w:lineRule="auto"/>
              <w:rPr>
                <w:rFonts w:ascii="Times New Roman" w:eastAsia="Times New Roman" w:hAnsi="Times New Roman" w:cs="Times New Roman"/>
                <w:noProof/>
                <w:color w:val="006100"/>
              </w:rPr>
            </w:pPr>
            <w:r>
              <w:rPr>
                <w:rFonts w:ascii="Times New Roman" w:hAnsi="Times New Roman"/>
                <w:noProof/>
                <w:color w:val="006100"/>
              </w:rPr>
              <w:t>Влизане в сила на изменения на Търговския закон за създаване на правна рамка за постигане на ускорена ликвидация на юридически лица</w:t>
            </w:r>
          </w:p>
        </w:tc>
      </w:tr>
      <w:tr w:rsidR="00350D0F" w:rsidRPr="005241FC" w14:paraId="45614021" w14:textId="77777777" w:rsidTr="7B697459">
        <w:trPr>
          <w:trHeight w:val="302"/>
          <w:jc w:val="center"/>
        </w:trPr>
        <w:tc>
          <w:tcPr>
            <w:tcW w:w="1207" w:type="dxa"/>
            <w:tcBorders>
              <w:top w:val="nil"/>
              <w:left w:val="single" w:sz="4" w:space="0" w:color="auto"/>
              <w:bottom w:val="single" w:sz="4" w:space="0" w:color="auto"/>
              <w:right w:val="single" w:sz="4" w:space="0" w:color="auto"/>
            </w:tcBorders>
            <w:shd w:val="clear" w:color="auto" w:fill="C6EFCE"/>
            <w:noWrap/>
          </w:tcPr>
          <w:p w14:paraId="267D1AB2" w14:textId="77777777" w:rsidR="00350D0F" w:rsidRPr="009674F2" w:rsidRDefault="00350D0F" w:rsidP="00350D0F">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255</w:t>
            </w:r>
          </w:p>
        </w:tc>
        <w:tc>
          <w:tcPr>
            <w:tcW w:w="3684" w:type="dxa"/>
            <w:tcBorders>
              <w:top w:val="nil"/>
              <w:left w:val="nil"/>
              <w:bottom w:val="single" w:sz="4" w:space="0" w:color="auto"/>
              <w:right w:val="single" w:sz="4" w:space="0" w:color="auto"/>
            </w:tcBorders>
            <w:shd w:val="clear" w:color="auto" w:fill="C6EFCE"/>
            <w:noWrap/>
          </w:tcPr>
          <w:p w14:paraId="2875F356" w14:textId="77777777" w:rsidR="00350D0F" w:rsidRPr="009674F2" w:rsidRDefault="00350D0F" w:rsidP="00350D0F">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C10R11 Разрастване България</w:t>
            </w:r>
          </w:p>
        </w:tc>
        <w:tc>
          <w:tcPr>
            <w:tcW w:w="1701" w:type="dxa"/>
            <w:tcBorders>
              <w:top w:val="nil"/>
              <w:left w:val="nil"/>
              <w:bottom w:val="single" w:sz="4" w:space="0" w:color="auto"/>
              <w:right w:val="single" w:sz="4" w:space="0" w:color="auto"/>
            </w:tcBorders>
            <w:shd w:val="clear" w:color="auto" w:fill="C6EFCE"/>
            <w:noWrap/>
          </w:tcPr>
          <w:p w14:paraId="5004E775" w14:textId="77777777" w:rsidR="00350D0F" w:rsidRPr="009674F2" w:rsidRDefault="00350D0F" w:rsidP="00350D0F">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Ключов етап</w:t>
            </w:r>
          </w:p>
        </w:tc>
        <w:tc>
          <w:tcPr>
            <w:tcW w:w="3472" w:type="dxa"/>
            <w:tcBorders>
              <w:top w:val="nil"/>
              <w:left w:val="nil"/>
              <w:bottom w:val="single" w:sz="4" w:space="0" w:color="auto"/>
              <w:right w:val="single" w:sz="4" w:space="0" w:color="auto"/>
            </w:tcBorders>
            <w:shd w:val="clear" w:color="auto" w:fill="C6EFCE"/>
            <w:noWrap/>
          </w:tcPr>
          <w:p w14:paraId="67305CB3" w14:textId="77777777" w:rsidR="00350D0F" w:rsidRPr="009674F2" w:rsidRDefault="00350D0F" w:rsidP="00350D0F">
            <w:pPr>
              <w:spacing w:after="0" w:line="240" w:lineRule="auto"/>
              <w:rPr>
                <w:rFonts w:ascii="Times New Roman" w:eastAsia="Times New Roman" w:hAnsi="Times New Roman" w:cs="Times New Roman"/>
                <w:noProof/>
                <w:color w:val="006100"/>
              </w:rPr>
            </w:pPr>
            <w:r>
              <w:rPr>
                <w:rFonts w:ascii="Times New Roman" w:hAnsi="Times New Roman"/>
                <w:noProof/>
                <w:color w:val="006100"/>
              </w:rPr>
              <w:t>Влизане в сила на изменения в Кодекса на труда за подобряване на регулаторните условия за дистанционна работа в България</w:t>
            </w:r>
          </w:p>
        </w:tc>
      </w:tr>
      <w:tr w:rsidR="00350D0F" w:rsidRPr="005241FC" w14:paraId="5CB7F580" w14:textId="77777777" w:rsidTr="7B697459">
        <w:trPr>
          <w:trHeight w:val="302"/>
          <w:jc w:val="center"/>
        </w:trPr>
        <w:tc>
          <w:tcPr>
            <w:tcW w:w="1207" w:type="dxa"/>
            <w:tcBorders>
              <w:top w:val="nil"/>
              <w:left w:val="single" w:sz="4" w:space="0" w:color="auto"/>
              <w:bottom w:val="single" w:sz="4" w:space="0" w:color="auto"/>
              <w:right w:val="single" w:sz="4" w:space="0" w:color="auto"/>
            </w:tcBorders>
            <w:shd w:val="clear" w:color="auto" w:fill="C6EFCE"/>
            <w:noWrap/>
          </w:tcPr>
          <w:p w14:paraId="3EE60A8E" w14:textId="77777777" w:rsidR="00350D0F" w:rsidRPr="009674F2" w:rsidRDefault="00350D0F" w:rsidP="00350D0F">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257</w:t>
            </w:r>
          </w:p>
        </w:tc>
        <w:tc>
          <w:tcPr>
            <w:tcW w:w="3684" w:type="dxa"/>
            <w:tcBorders>
              <w:top w:val="nil"/>
              <w:left w:val="nil"/>
              <w:bottom w:val="single" w:sz="4" w:space="0" w:color="auto"/>
              <w:right w:val="single" w:sz="4" w:space="0" w:color="auto"/>
            </w:tcBorders>
            <w:shd w:val="clear" w:color="auto" w:fill="C6EFCE"/>
            <w:noWrap/>
          </w:tcPr>
          <w:p w14:paraId="1A2FB7E3" w14:textId="77777777" w:rsidR="00350D0F" w:rsidRPr="009674F2" w:rsidRDefault="00350D0F" w:rsidP="00350D0F">
            <w:pPr>
              <w:spacing w:after="0" w:line="240" w:lineRule="auto"/>
              <w:jc w:val="both"/>
              <w:rPr>
                <w:rFonts w:ascii="Times New Roman" w:eastAsia="Times New Roman" w:hAnsi="Times New Roman" w:cs="Times New Roman"/>
                <w:noProof/>
                <w:color w:val="006100"/>
                <w:highlight w:val="yellow"/>
              </w:rPr>
            </w:pPr>
            <w:r>
              <w:rPr>
                <w:rFonts w:ascii="Times New Roman" w:hAnsi="Times New Roman"/>
                <w:noProof/>
                <w:color w:val="006100"/>
              </w:rPr>
              <w:t>C10R12 Съвет за икономически анализи</w:t>
            </w:r>
          </w:p>
        </w:tc>
        <w:tc>
          <w:tcPr>
            <w:tcW w:w="1701" w:type="dxa"/>
            <w:tcBorders>
              <w:top w:val="nil"/>
              <w:left w:val="nil"/>
              <w:bottom w:val="single" w:sz="4" w:space="0" w:color="auto"/>
              <w:right w:val="single" w:sz="4" w:space="0" w:color="auto"/>
            </w:tcBorders>
            <w:shd w:val="clear" w:color="auto" w:fill="C6EFCE"/>
            <w:noWrap/>
          </w:tcPr>
          <w:p w14:paraId="33AE5230" w14:textId="77777777" w:rsidR="00350D0F" w:rsidRPr="009674F2" w:rsidRDefault="00350D0F" w:rsidP="00350D0F">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Ключов етап</w:t>
            </w:r>
          </w:p>
        </w:tc>
        <w:tc>
          <w:tcPr>
            <w:tcW w:w="3472" w:type="dxa"/>
            <w:tcBorders>
              <w:top w:val="nil"/>
              <w:left w:val="nil"/>
              <w:bottom w:val="single" w:sz="4" w:space="0" w:color="auto"/>
              <w:right w:val="single" w:sz="4" w:space="0" w:color="auto"/>
            </w:tcBorders>
            <w:shd w:val="clear" w:color="auto" w:fill="C6EFCE"/>
            <w:noWrap/>
          </w:tcPr>
          <w:p w14:paraId="4193C34B" w14:textId="77777777" w:rsidR="00350D0F" w:rsidRPr="009674F2" w:rsidRDefault="00350D0F" w:rsidP="00350D0F">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Приемане на годишен доклад за състоянието на българската икономика</w:t>
            </w:r>
          </w:p>
        </w:tc>
      </w:tr>
      <w:tr w:rsidR="00350D0F" w:rsidRPr="005241FC" w14:paraId="2EFB671C" w14:textId="77777777" w:rsidTr="7B697459">
        <w:trPr>
          <w:trHeight w:val="302"/>
          <w:jc w:val="center"/>
        </w:trPr>
        <w:tc>
          <w:tcPr>
            <w:tcW w:w="1207" w:type="dxa"/>
            <w:tcBorders>
              <w:top w:val="nil"/>
              <w:left w:val="single" w:sz="4" w:space="0" w:color="auto"/>
              <w:bottom w:val="single" w:sz="4" w:space="0" w:color="auto"/>
              <w:right w:val="single" w:sz="4" w:space="0" w:color="auto"/>
            </w:tcBorders>
            <w:shd w:val="clear" w:color="auto" w:fill="C6EFCE"/>
            <w:noWrap/>
          </w:tcPr>
          <w:p w14:paraId="185226DD" w14:textId="77777777" w:rsidR="00350D0F" w:rsidRPr="009674F2" w:rsidRDefault="00350D0F" w:rsidP="00350D0F">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258</w:t>
            </w:r>
          </w:p>
        </w:tc>
        <w:tc>
          <w:tcPr>
            <w:tcW w:w="3684" w:type="dxa"/>
            <w:tcBorders>
              <w:top w:val="nil"/>
              <w:left w:val="nil"/>
              <w:bottom w:val="single" w:sz="4" w:space="0" w:color="auto"/>
              <w:right w:val="single" w:sz="4" w:space="0" w:color="auto"/>
            </w:tcBorders>
            <w:shd w:val="clear" w:color="auto" w:fill="C6EFCE"/>
            <w:noWrap/>
          </w:tcPr>
          <w:p w14:paraId="22A9AD53" w14:textId="77777777" w:rsidR="00350D0F" w:rsidRPr="009674F2" w:rsidRDefault="00350D0F" w:rsidP="00350D0F">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C10I1 Укрепване, доразвиване и надграждане на Единната информационна система на съдилищата</w:t>
            </w:r>
          </w:p>
        </w:tc>
        <w:tc>
          <w:tcPr>
            <w:tcW w:w="1701" w:type="dxa"/>
            <w:tcBorders>
              <w:top w:val="nil"/>
              <w:left w:val="nil"/>
              <w:bottom w:val="single" w:sz="4" w:space="0" w:color="auto"/>
              <w:right w:val="single" w:sz="4" w:space="0" w:color="auto"/>
            </w:tcBorders>
            <w:shd w:val="clear" w:color="auto" w:fill="C6EFCE"/>
            <w:noWrap/>
          </w:tcPr>
          <w:p w14:paraId="626B161A" w14:textId="77777777" w:rsidR="00350D0F" w:rsidRPr="009674F2" w:rsidRDefault="00350D0F" w:rsidP="00350D0F">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Ключов етап</w:t>
            </w:r>
          </w:p>
        </w:tc>
        <w:tc>
          <w:tcPr>
            <w:tcW w:w="3472" w:type="dxa"/>
            <w:tcBorders>
              <w:top w:val="nil"/>
              <w:left w:val="nil"/>
              <w:bottom w:val="single" w:sz="4" w:space="0" w:color="auto"/>
              <w:right w:val="single" w:sz="4" w:space="0" w:color="auto"/>
            </w:tcBorders>
            <w:shd w:val="clear" w:color="auto" w:fill="C6EFCE"/>
            <w:noWrap/>
          </w:tcPr>
          <w:p w14:paraId="413BD231" w14:textId="77777777" w:rsidR="00350D0F" w:rsidRPr="009674F2" w:rsidRDefault="00350D0F" w:rsidP="00350D0F">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Модернизиране на Единната информационна система на съдилищата</w:t>
            </w:r>
          </w:p>
        </w:tc>
      </w:tr>
      <w:tr w:rsidR="00350D0F" w:rsidRPr="005241FC" w14:paraId="2944A95C" w14:textId="77777777" w:rsidTr="7B697459">
        <w:trPr>
          <w:trHeight w:val="302"/>
          <w:jc w:val="center"/>
        </w:trPr>
        <w:tc>
          <w:tcPr>
            <w:tcW w:w="1207" w:type="dxa"/>
            <w:tcBorders>
              <w:top w:val="nil"/>
              <w:left w:val="single" w:sz="4" w:space="0" w:color="auto"/>
              <w:bottom w:val="single" w:sz="4" w:space="0" w:color="auto"/>
              <w:right w:val="single" w:sz="4" w:space="0" w:color="auto"/>
            </w:tcBorders>
            <w:shd w:val="clear" w:color="auto" w:fill="C6EFCE"/>
            <w:noWrap/>
          </w:tcPr>
          <w:p w14:paraId="7DAF77AF" w14:textId="77777777" w:rsidR="00350D0F" w:rsidRPr="009674F2" w:rsidRDefault="00350D0F" w:rsidP="00350D0F">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265</w:t>
            </w:r>
          </w:p>
        </w:tc>
        <w:tc>
          <w:tcPr>
            <w:tcW w:w="3684" w:type="dxa"/>
            <w:tcBorders>
              <w:top w:val="nil"/>
              <w:left w:val="nil"/>
              <w:bottom w:val="single" w:sz="4" w:space="0" w:color="auto"/>
              <w:right w:val="single" w:sz="4" w:space="0" w:color="auto"/>
            </w:tcBorders>
            <w:shd w:val="clear" w:color="auto" w:fill="C6EFCE"/>
            <w:noWrap/>
          </w:tcPr>
          <w:p w14:paraId="4F8F5E99" w14:textId="77777777" w:rsidR="00350D0F" w:rsidRPr="009674F2" w:rsidRDefault="00350D0F" w:rsidP="00350D0F">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C10I4 Подобряване на качеството и устойчивостта на политиките в сферата на сигурността</w:t>
            </w:r>
          </w:p>
        </w:tc>
        <w:tc>
          <w:tcPr>
            <w:tcW w:w="1701" w:type="dxa"/>
            <w:tcBorders>
              <w:top w:val="nil"/>
              <w:left w:val="nil"/>
              <w:bottom w:val="single" w:sz="4" w:space="0" w:color="auto"/>
              <w:right w:val="single" w:sz="4" w:space="0" w:color="auto"/>
            </w:tcBorders>
            <w:shd w:val="clear" w:color="auto" w:fill="C6EFCE"/>
            <w:noWrap/>
          </w:tcPr>
          <w:p w14:paraId="4A2CEE52" w14:textId="77777777" w:rsidR="00350D0F" w:rsidRPr="009674F2" w:rsidRDefault="00350D0F" w:rsidP="00350D0F">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Ключов етап</w:t>
            </w:r>
          </w:p>
        </w:tc>
        <w:tc>
          <w:tcPr>
            <w:tcW w:w="3472" w:type="dxa"/>
            <w:tcBorders>
              <w:top w:val="nil"/>
              <w:left w:val="nil"/>
              <w:bottom w:val="single" w:sz="4" w:space="0" w:color="auto"/>
              <w:right w:val="single" w:sz="4" w:space="0" w:color="auto"/>
            </w:tcBorders>
            <w:shd w:val="clear" w:color="auto" w:fill="C6EFCE"/>
            <w:noWrap/>
          </w:tcPr>
          <w:p w14:paraId="38BF985B" w14:textId="77777777" w:rsidR="00350D0F" w:rsidRPr="009674F2" w:rsidRDefault="00350D0F" w:rsidP="00350D0F">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Създадена и функционираща национална интелигентна система за сигурност</w:t>
            </w:r>
          </w:p>
        </w:tc>
      </w:tr>
      <w:tr w:rsidR="00350D0F" w:rsidRPr="005241FC" w14:paraId="3F34443A" w14:textId="77777777" w:rsidTr="7B697459">
        <w:trPr>
          <w:trHeight w:val="302"/>
          <w:jc w:val="center"/>
        </w:trPr>
        <w:tc>
          <w:tcPr>
            <w:tcW w:w="1207" w:type="dxa"/>
            <w:tcBorders>
              <w:top w:val="nil"/>
              <w:left w:val="single" w:sz="4" w:space="0" w:color="auto"/>
              <w:bottom w:val="single" w:sz="4" w:space="0" w:color="auto"/>
              <w:right w:val="single" w:sz="4" w:space="0" w:color="auto"/>
            </w:tcBorders>
            <w:shd w:val="clear" w:color="auto" w:fill="C6EFCE"/>
            <w:noWrap/>
          </w:tcPr>
          <w:p w14:paraId="3F85FAEC" w14:textId="53B64AA4" w:rsidR="00350D0F" w:rsidRPr="009674F2" w:rsidRDefault="00350D0F" w:rsidP="00350D0F">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288</w:t>
            </w:r>
          </w:p>
        </w:tc>
        <w:tc>
          <w:tcPr>
            <w:tcW w:w="3684" w:type="dxa"/>
            <w:tcBorders>
              <w:top w:val="nil"/>
              <w:left w:val="nil"/>
              <w:bottom w:val="single" w:sz="4" w:space="0" w:color="auto"/>
              <w:right w:val="single" w:sz="4" w:space="0" w:color="auto"/>
            </w:tcBorders>
            <w:shd w:val="clear" w:color="auto" w:fill="C6EFCE"/>
            <w:noWrap/>
          </w:tcPr>
          <w:p w14:paraId="11F7F81E" w14:textId="48074381" w:rsidR="00350D0F" w:rsidRPr="009674F2" w:rsidRDefault="00350D0F" w:rsidP="00350D0F">
            <w:pPr>
              <w:spacing w:after="0"/>
              <w:jc w:val="both"/>
              <w:rPr>
                <w:rFonts w:ascii="Times New Roman" w:hAnsi="Times New Roman" w:cs="Times New Roman"/>
                <w:noProof/>
                <w:color w:val="006100"/>
              </w:rPr>
            </w:pPr>
            <w:r>
              <w:rPr>
                <w:rFonts w:ascii="Times New Roman" w:hAnsi="Times New Roman"/>
                <w:noProof/>
                <w:color w:val="006100"/>
              </w:rPr>
              <w:t>C11R1 Реформа на схемата за минимален доход</w:t>
            </w:r>
          </w:p>
        </w:tc>
        <w:tc>
          <w:tcPr>
            <w:tcW w:w="1701" w:type="dxa"/>
            <w:tcBorders>
              <w:top w:val="nil"/>
              <w:left w:val="nil"/>
              <w:bottom w:val="single" w:sz="4" w:space="0" w:color="auto"/>
              <w:right w:val="single" w:sz="4" w:space="0" w:color="auto"/>
            </w:tcBorders>
            <w:shd w:val="clear" w:color="auto" w:fill="C6EFCE"/>
            <w:noWrap/>
          </w:tcPr>
          <w:p w14:paraId="70F65C34" w14:textId="6F676F5D" w:rsidR="00350D0F" w:rsidRPr="009674F2" w:rsidRDefault="00350D0F" w:rsidP="00350D0F">
            <w:pPr>
              <w:spacing w:after="0" w:line="240" w:lineRule="auto"/>
              <w:jc w:val="center"/>
              <w:rPr>
                <w:rFonts w:ascii="Times New Roman" w:hAnsi="Times New Roman" w:cs="Times New Roman"/>
                <w:noProof/>
                <w:color w:val="006100"/>
              </w:rPr>
            </w:pPr>
            <w:r>
              <w:rPr>
                <w:rFonts w:ascii="Times New Roman" w:hAnsi="Times New Roman"/>
                <w:noProof/>
                <w:color w:val="006100"/>
              </w:rPr>
              <w:t>Ключов етап</w:t>
            </w:r>
          </w:p>
        </w:tc>
        <w:tc>
          <w:tcPr>
            <w:tcW w:w="3472" w:type="dxa"/>
            <w:tcBorders>
              <w:top w:val="nil"/>
              <w:left w:val="nil"/>
              <w:bottom w:val="single" w:sz="4" w:space="0" w:color="auto"/>
              <w:right w:val="single" w:sz="4" w:space="0" w:color="auto"/>
            </w:tcBorders>
            <w:shd w:val="clear" w:color="auto" w:fill="C6EFCE"/>
            <w:noWrap/>
          </w:tcPr>
          <w:p w14:paraId="363C37C5" w14:textId="3B2A52F4" w:rsidR="00350D0F" w:rsidRPr="009674F2" w:rsidRDefault="00350D0F" w:rsidP="00350D0F">
            <w:pPr>
              <w:spacing w:after="0" w:line="240" w:lineRule="auto"/>
              <w:jc w:val="both"/>
              <w:rPr>
                <w:rFonts w:ascii="Times New Roman" w:hAnsi="Times New Roman" w:cs="Times New Roman"/>
                <w:noProof/>
                <w:color w:val="006100"/>
              </w:rPr>
            </w:pPr>
            <w:r>
              <w:rPr>
                <w:rFonts w:ascii="Times New Roman" w:hAnsi="Times New Roman"/>
                <w:noProof/>
                <w:color w:val="006100"/>
              </w:rPr>
              <w:t xml:space="preserve">Влизане в сила на Кодекса за социално подпомагане, на измененията на подзаконовата нормативна база и на Закона за насърчаване на заетостта </w:t>
            </w:r>
          </w:p>
        </w:tc>
      </w:tr>
      <w:tr w:rsidR="00350D0F" w:rsidRPr="005241FC" w14:paraId="77AAAAFA" w14:textId="77777777" w:rsidTr="7B697459">
        <w:trPr>
          <w:trHeight w:val="302"/>
          <w:jc w:val="center"/>
        </w:trPr>
        <w:tc>
          <w:tcPr>
            <w:tcW w:w="1207" w:type="dxa"/>
            <w:tcBorders>
              <w:top w:val="nil"/>
              <w:left w:val="single" w:sz="4" w:space="0" w:color="auto"/>
              <w:bottom w:val="single" w:sz="4" w:space="0" w:color="auto"/>
              <w:right w:val="single" w:sz="4" w:space="0" w:color="auto"/>
            </w:tcBorders>
            <w:shd w:val="clear" w:color="auto" w:fill="C6EFCE"/>
            <w:noWrap/>
          </w:tcPr>
          <w:p w14:paraId="532A3FBC" w14:textId="77777777" w:rsidR="00350D0F" w:rsidRPr="009674F2" w:rsidRDefault="00350D0F" w:rsidP="00350D0F">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291</w:t>
            </w:r>
          </w:p>
        </w:tc>
        <w:tc>
          <w:tcPr>
            <w:tcW w:w="3684" w:type="dxa"/>
            <w:tcBorders>
              <w:top w:val="nil"/>
              <w:left w:val="nil"/>
              <w:bottom w:val="single" w:sz="4" w:space="0" w:color="auto"/>
              <w:right w:val="single" w:sz="4" w:space="0" w:color="auto"/>
            </w:tcBorders>
            <w:shd w:val="clear" w:color="auto" w:fill="C6EFCE"/>
            <w:noWrap/>
          </w:tcPr>
          <w:p w14:paraId="16DBE0E6" w14:textId="77777777" w:rsidR="00350D0F" w:rsidRPr="009674F2" w:rsidRDefault="00350D0F" w:rsidP="00350D0F">
            <w:pPr>
              <w:spacing w:after="0"/>
              <w:jc w:val="both"/>
              <w:rPr>
                <w:rFonts w:ascii="Times New Roman" w:hAnsi="Times New Roman" w:cs="Times New Roman"/>
                <w:noProof/>
                <w:color w:val="006100"/>
              </w:rPr>
            </w:pPr>
            <w:r>
              <w:rPr>
                <w:rFonts w:ascii="Times New Roman" w:hAnsi="Times New Roman"/>
                <w:noProof/>
                <w:color w:val="006100"/>
              </w:rPr>
              <w:t>C11R2 Реформа на социалните услуги</w:t>
            </w:r>
          </w:p>
        </w:tc>
        <w:tc>
          <w:tcPr>
            <w:tcW w:w="1701" w:type="dxa"/>
            <w:tcBorders>
              <w:top w:val="nil"/>
              <w:left w:val="nil"/>
              <w:bottom w:val="single" w:sz="4" w:space="0" w:color="auto"/>
              <w:right w:val="single" w:sz="4" w:space="0" w:color="auto"/>
            </w:tcBorders>
            <w:shd w:val="clear" w:color="auto" w:fill="C6EFCE"/>
            <w:noWrap/>
          </w:tcPr>
          <w:p w14:paraId="0C4F839E" w14:textId="77777777" w:rsidR="00350D0F" w:rsidRPr="009674F2" w:rsidRDefault="00350D0F" w:rsidP="00350D0F">
            <w:pPr>
              <w:spacing w:after="0" w:line="240" w:lineRule="auto"/>
              <w:jc w:val="center"/>
              <w:rPr>
                <w:rFonts w:ascii="Times New Roman" w:hAnsi="Times New Roman" w:cs="Times New Roman"/>
                <w:noProof/>
                <w:color w:val="006100"/>
              </w:rPr>
            </w:pPr>
            <w:r>
              <w:rPr>
                <w:rFonts w:ascii="Times New Roman" w:hAnsi="Times New Roman"/>
                <w:noProof/>
                <w:color w:val="006100"/>
              </w:rPr>
              <w:t>Ключов етап</w:t>
            </w:r>
          </w:p>
        </w:tc>
        <w:tc>
          <w:tcPr>
            <w:tcW w:w="3472" w:type="dxa"/>
            <w:tcBorders>
              <w:top w:val="nil"/>
              <w:left w:val="nil"/>
              <w:bottom w:val="single" w:sz="4" w:space="0" w:color="auto"/>
              <w:right w:val="single" w:sz="4" w:space="0" w:color="auto"/>
            </w:tcBorders>
            <w:shd w:val="clear" w:color="auto" w:fill="C6EFCE"/>
            <w:noWrap/>
          </w:tcPr>
          <w:p w14:paraId="6178F061" w14:textId="77777777" w:rsidR="00350D0F" w:rsidRPr="009674F2" w:rsidRDefault="00350D0F" w:rsidP="00350D0F">
            <w:pPr>
              <w:spacing w:after="0" w:line="240" w:lineRule="auto"/>
              <w:jc w:val="both"/>
              <w:rPr>
                <w:rFonts w:ascii="Times New Roman" w:hAnsi="Times New Roman" w:cs="Times New Roman"/>
                <w:noProof/>
                <w:color w:val="006100"/>
              </w:rPr>
            </w:pPr>
            <w:r>
              <w:rPr>
                <w:rFonts w:ascii="Times New Roman" w:hAnsi="Times New Roman"/>
                <w:noProof/>
                <w:color w:val="006100"/>
              </w:rPr>
              <w:t>Национална карта на социалните услуги</w:t>
            </w:r>
          </w:p>
        </w:tc>
      </w:tr>
      <w:tr w:rsidR="00350D0F" w:rsidRPr="005241FC" w14:paraId="309A7DE1" w14:textId="77777777" w:rsidTr="7B697459">
        <w:trPr>
          <w:trHeight w:val="302"/>
          <w:jc w:val="center"/>
        </w:trPr>
        <w:tc>
          <w:tcPr>
            <w:tcW w:w="1207" w:type="dxa"/>
            <w:tcBorders>
              <w:top w:val="nil"/>
              <w:left w:val="single" w:sz="4" w:space="0" w:color="auto"/>
              <w:bottom w:val="single" w:sz="4" w:space="0" w:color="auto"/>
              <w:right w:val="single" w:sz="4" w:space="0" w:color="auto"/>
            </w:tcBorders>
            <w:shd w:val="clear" w:color="auto" w:fill="C6EFCE"/>
            <w:noWrap/>
          </w:tcPr>
          <w:p w14:paraId="696E2EAE" w14:textId="77777777" w:rsidR="00350D0F" w:rsidRPr="009674F2" w:rsidRDefault="00350D0F" w:rsidP="00350D0F">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305</w:t>
            </w:r>
          </w:p>
        </w:tc>
        <w:tc>
          <w:tcPr>
            <w:tcW w:w="3684" w:type="dxa"/>
            <w:tcBorders>
              <w:top w:val="nil"/>
              <w:left w:val="nil"/>
              <w:bottom w:val="single" w:sz="4" w:space="0" w:color="auto"/>
              <w:right w:val="single" w:sz="4" w:space="0" w:color="auto"/>
            </w:tcBorders>
            <w:shd w:val="clear" w:color="auto" w:fill="C6EFCE"/>
            <w:noWrap/>
          </w:tcPr>
          <w:p w14:paraId="4301BEC6" w14:textId="77777777" w:rsidR="00350D0F" w:rsidRPr="009674F2" w:rsidRDefault="00350D0F" w:rsidP="00350D0F">
            <w:pPr>
              <w:spacing w:after="0"/>
              <w:jc w:val="both"/>
              <w:rPr>
                <w:rFonts w:ascii="Times New Roman" w:hAnsi="Times New Roman" w:cs="Times New Roman"/>
                <w:noProof/>
                <w:color w:val="006100"/>
                <w:highlight w:val="yellow"/>
              </w:rPr>
            </w:pPr>
            <w:r>
              <w:rPr>
                <w:rFonts w:ascii="Times New Roman" w:hAnsi="Times New Roman"/>
                <w:noProof/>
                <w:color w:val="006100"/>
              </w:rPr>
              <w:t>C11I5 Модернизиране на Агенцията по заетостта</w:t>
            </w:r>
          </w:p>
        </w:tc>
        <w:tc>
          <w:tcPr>
            <w:tcW w:w="1701" w:type="dxa"/>
            <w:tcBorders>
              <w:top w:val="nil"/>
              <w:left w:val="nil"/>
              <w:bottom w:val="single" w:sz="4" w:space="0" w:color="auto"/>
              <w:right w:val="single" w:sz="4" w:space="0" w:color="auto"/>
            </w:tcBorders>
            <w:shd w:val="clear" w:color="auto" w:fill="C6EFCE"/>
            <w:noWrap/>
          </w:tcPr>
          <w:p w14:paraId="35008B8B" w14:textId="77777777" w:rsidR="00350D0F" w:rsidRPr="009674F2" w:rsidRDefault="00350D0F" w:rsidP="00350D0F">
            <w:pPr>
              <w:spacing w:after="0" w:line="240" w:lineRule="auto"/>
              <w:jc w:val="center"/>
              <w:rPr>
                <w:rFonts w:ascii="Times New Roman" w:hAnsi="Times New Roman" w:cs="Times New Roman"/>
                <w:noProof/>
                <w:color w:val="006100"/>
                <w:highlight w:val="yellow"/>
              </w:rPr>
            </w:pPr>
            <w:r>
              <w:rPr>
                <w:rFonts w:ascii="Times New Roman" w:hAnsi="Times New Roman"/>
                <w:noProof/>
                <w:color w:val="006100"/>
              </w:rPr>
              <w:t>Ключов етап</w:t>
            </w:r>
          </w:p>
        </w:tc>
        <w:tc>
          <w:tcPr>
            <w:tcW w:w="3472" w:type="dxa"/>
            <w:tcBorders>
              <w:top w:val="nil"/>
              <w:left w:val="nil"/>
              <w:bottom w:val="single" w:sz="4" w:space="0" w:color="auto"/>
              <w:right w:val="single" w:sz="4" w:space="0" w:color="auto"/>
            </w:tcBorders>
            <w:shd w:val="clear" w:color="auto" w:fill="C6EFCE"/>
            <w:noWrap/>
          </w:tcPr>
          <w:p w14:paraId="70F636A0" w14:textId="77777777" w:rsidR="00350D0F" w:rsidRPr="009674F2" w:rsidRDefault="00350D0F" w:rsidP="00350D0F">
            <w:pPr>
              <w:spacing w:after="0" w:line="240" w:lineRule="auto"/>
              <w:jc w:val="both"/>
              <w:rPr>
                <w:rFonts w:ascii="Times New Roman" w:hAnsi="Times New Roman" w:cs="Times New Roman"/>
                <w:noProof/>
                <w:color w:val="006100"/>
                <w:highlight w:val="yellow"/>
              </w:rPr>
            </w:pPr>
            <w:r>
              <w:rPr>
                <w:rFonts w:ascii="Times New Roman" w:hAnsi="Times New Roman"/>
                <w:noProof/>
                <w:color w:val="006100"/>
              </w:rPr>
              <w:t>Сключване на договори за разработване на ИТ среда и електронни услуги на Агенцията по заетостта</w:t>
            </w:r>
          </w:p>
        </w:tc>
      </w:tr>
      <w:tr w:rsidR="00350D0F" w:rsidRPr="005241FC" w14:paraId="79B01788" w14:textId="77777777" w:rsidTr="7B697459">
        <w:trPr>
          <w:trHeight w:val="302"/>
          <w:jc w:val="center"/>
        </w:trPr>
        <w:tc>
          <w:tcPr>
            <w:tcW w:w="1207" w:type="dxa"/>
            <w:tcBorders>
              <w:top w:val="nil"/>
              <w:left w:val="single" w:sz="4" w:space="0" w:color="auto"/>
              <w:bottom w:val="single" w:sz="4" w:space="0" w:color="auto"/>
              <w:right w:val="single" w:sz="4" w:space="0" w:color="auto"/>
            </w:tcBorders>
            <w:shd w:val="clear" w:color="auto" w:fill="C6EFCE"/>
            <w:noWrap/>
          </w:tcPr>
          <w:p w14:paraId="31DBEDFE" w14:textId="77777777" w:rsidR="00350D0F" w:rsidRPr="009674F2" w:rsidRDefault="00350D0F" w:rsidP="00350D0F">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339</w:t>
            </w:r>
          </w:p>
        </w:tc>
        <w:tc>
          <w:tcPr>
            <w:tcW w:w="3684" w:type="dxa"/>
            <w:tcBorders>
              <w:top w:val="nil"/>
              <w:left w:val="nil"/>
              <w:bottom w:val="single" w:sz="4" w:space="0" w:color="auto"/>
              <w:right w:val="single" w:sz="4" w:space="0" w:color="auto"/>
            </w:tcBorders>
            <w:shd w:val="clear" w:color="auto" w:fill="C6EFCE"/>
            <w:noWrap/>
          </w:tcPr>
          <w:p w14:paraId="5D45E72A" w14:textId="77777777" w:rsidR="00350D0F" w:rsidRPr="009674F2" w:rsidRDefault="00350D0F" w:rsidP="00350D0F">
            <w:pPr>
              <w:spacing w:after="0"/>
              <w:jc w:val="both"/>
              <w:rPr>
                <w:rFonts w:ascii="Times New Roman" w:hAnsi="Times New Roman" w:cs="Times New Roman"/>
                <w:noProof/>
                <w:color w:val="006100"/>
              </w:rPr>
            </w:pPr>
            <w:r>
              <w:rPr>
                <w:rFonts w:ascii="Times New Roman" w:hAnsi="Times New Roman"/>
                <w:noProof/>
                <w:color w:val="006100"/>
              </w:rPr>
              <w:t>C12I5 Национална цифрова платформа за медицинска диагностика</w:t>
            </w:r>
          </w:p>
        </w:tc>
        <w:tc>
          <w:tcPr>
            <w:tcW w:w="1701" w:type="dxa"/>
            <w:tcBorders>
              <w:top w:val="nil"/>
              <w:left w:val="nil"/>
              <w:bottom w:val="single" w:sz="4" w:space="0" w:color="auto"/>
              <w:right w:val="single" w:sz="4" w:space="0" w:color="auto"/>
            </w:tcBorders>
            <w:shd w:val="clear" w:color="auto" w:fill="C6EFCE"/>
            <w:noWrap/>
          </w:tcPr>
          <w:p w14:paraId="5DC21172" w14:textId="77777777" w:rsidR="00350D0F" w:rsidRPr="009674F2" w:rsidRDefault="00350D0F" w:rsidP="00350D0F">
            <w:pPr>
              <w:spacing w:after="0" w:line="240" w:lineRule="auto"/>
              <w:jc w:val="center"/>
              <w:rPr>
                <w:rFonts w:ascii="Times New Roman" w:hAnsi="Times New Roman" w:cs="Times New Roman"/>
                <w:noProof/>
                <w:color w:val="006100"/>
              </w:rPr>
            </w:pPr>
            <w:r>
              <w:rPr>
                <w:rFonts w:ascii="Times New Roman" w:hAnsi="Times New Roman"/>
                <w:noProof/>
                <w:color w:val="006100"/>
              </w:rPr>
              <w:t>Ключов етап</w:t>
            </w:r>
          </w:p>
        </w:tc>
        <w:tc>
          <w:tcPr>
            <w:tcW w:w="3472" w:type="dxa"/>
            <w:tcBorders>
              <w:top w:val="nil"/>
              <w:left w:val="nil"/>
              <w:bottom w:val="single" w:sz="4" w:space="0" w:color="auto"/>
              <w:right w:val="single" w:sz="4" w:space="0" w:color="auto"/>
            </w:tcBorders>
            <w:shd w:val="clear" w:color="auto" w:fill="C6EFCE"/>
            <w:noWrap/>
          </w:tcPr>
          <w:p w14:paraId="79241E6C" w14:textId="77777777" w:rsidR="00350D0F" w:rsidRPr="009674F2" w:rsidRDefault="00350D0F" w:rsidP="00350D0F">
            <w:pPr>
              <w:spacing w:after="0" w:line="240" w:lineRule="auto"/>
              <w:jc w:val="both"/>
              <w:rPr>
                <w:rFonts w:ascii="Times New Roman" w:hAnsi="Times New Roman" w:cs="Times New Roman"/>
                <w:noProof/>
                <w:color w:val="006100"/>
              </w:rPr>
            </w:pPr>
            <w:r>
              <w:rPr>
                <w:rFonts w:ascii="Times New Roman" w:hAnsi="Times New Roman"/>
                <w:noProof/>
                <w:color w:val="006100"/>
              </w:rPr>
              <w:t>Сключване на договори за разработването на Националната цифрова платформа за медицинска диагностика</w:t>
            </w:r>
          </w:p>
        </w:tc>
      </w:tr>
      <w:tr w:rsidR="00350D0F" w:rsidRPr="005241FC" w14:paraId="3AA0F0AF" w14:textId="77777777" w:rsidTr="7B697459">
        <w:trPr>
          <w:trHeight w:val="302"/>
          <w:jc w:val="center"/>
        </w:trPr>
        <w:tc>
          <w:tcPr>
            <w:tcW w:w="1207" w:type="dxa"/>
            <w:tcBorders>
              <w:top w:val="nil"/>
              <w:left w:val="single" w:sz="4" w:space="0" w:color="auto"/>
              <w:bottom w:val="single" w:sz="4" w:space="0" w:color="auto"/>
              <w:right w:val="single" w:sz="4" w:space="0" w:color="auto"/>
            </w:tcBorders>
            <w:shd w:val="clear" w:color="auto" w:fill="C6EFCE"/>
            <w:noWrap/>
          </w:tcPr>
          <w:p w14:paraId="7383B7CF" w14:textId="77777777" w:rsidR="00350D0F" w:rsidRPr="009674F2" w:rsidRDefault="00350D0F" w:rsidP="00350D0F">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343</w:t>
            </w:r>
          </w:p>
        </w:tc>
        <w:tc>
          <w:tcPr>
            <w:tcW w:w="3684" w:type="dxa"/>
            <w:tcBorders>
              <w:top w:val="nil"/>
              <w:left w:val="nil"/>
              <w:bottom w:val="single" w:sz="4" w:space="0" w:color="auto"/>
              <w:right w:val="single" w:sz="4" w:space="0" w:color="auto"/>
            </w:tcBorders>
            <w:shd w:val="clear" w:color="auto" w:fill="C6EFCE"/>
            <w:noWrap/>
          </w:tcPr>
          <w:p w14:paraId="1F2F86B3" w14:textId="77777777" w:rsidR="00350D0F" w:rsidRPr="009674F2" w:rsidRDefault="00350D0F" w:rsidP="00350D0F">
            <w:pPr>
              <w:spacing w:after="0"/>
              <w:jc w:val="both"/>
              <w:rPr>
                <w:rFonts w:ascii="Times New Roman" w:hAnsi="Times New Roman" w:cs="Times New Roman"/>
                <w:noProof/>
                <w:color w:val="006100"/>
              </w:rPr>
            </w:pPr>
            <w:r>
              <w:rPr>
                <w:rFonts w:ascii="Times New Roman" w:hAnsi="Times New Roman"/>
                <w:noProof/>
                <w:color w:val="006100"/>
              </w:rPr>
              <w:t xml:space="preserve">C12I7 Развитие на амбулаторните грижи </w:t>
            </w:r>
          </w:p>
        </w:tc>
        <w:tc>
          <w:tcPr>
            <w:tcW w:w="1701" w:type="dxa"/>
            <w:tcBorders>
              <w:top w:val="nil"/>
              <w:left w:val="nil"/>
              <w:bottom w:val="single" w:sz="4" w:space="0" w:color="auto"/>
              <w:right w:val="single" w:sz="4" w:space="0" w:color="auto"/>
            </w:tcBorders>
            <w:shd w:val="clear" w:color="auto" w:fill="C6EFCE"/>
            <w:noWrap/>
          </w:tcPr>
          <w:p w14:paraId="7D4F364C" w14:textId="77777777" w:rsidR="00350D0F" w:rsidRPr="009674F2" w:rsidRDefault="00350D0F" w:rsidP="00350D0F">
            <w:pPr>
              <w:spacing w:after="0" w:line="240" w:lineRule="auto"/>
              <w:jc w:val="center"/>
              <w:rPr>
                <w:rFonts w:ascii="Times New Roman" w:hAnsi="Times New Roman" w:cs="Times New Roman"/>
                <w:noProof/>
                <w:color w:val="006100"/>
              </w:rPr>
            </w:pPr>
            <w:r>
              <w:rPr>
                <w:rFonts w:ascii="Times New Roman" w:hAnsi="Times New Roman"/>
                <w:noProof/>
                <w:color w:val="006100"/>
              </w:rPr>
              <w:t>Ключов етап</w:t>
            </w:r>
          </w:p>
        </w:tc>
        <w:tc>
          <w:tcPr>
            <w:tcW w:w="3472" w:type="dxa"/>
            <w:tcBorders>
              <w:top w:val="nil"/>
              <w:left w:val="nil"/>
              <w:bottom w:val="single" w:sz="4" w:space="0" w:color="auto"/>
              <w:right w:val="single" w:sz="4" w:space="0" w:color="auto"/>
            </w:tcBorders>
            <w:shd w:val="clear" w:color="auto" w:fill="C6EFCE"/>
            <w:noWrap/>
          </w:tcPr>
          <w:p w14:paraId="62E3076E" w14:textId="77777777" w:rsidR="00350D0F" w:rsidRPr="009674F2" w:rsidRDefault="00350D0F" w:rsidP="00350D0F">
            <w:pPr>
              <w:spacing w:after="0" w:line="240" w:lineRule="auto"/>
              <w:rPr>
                <w:rFonts w:ascii="Times New Roman" w:hAnsi="Times New Roman" w:cs="Times New Roman"/>
                <w:noProof/>
                <w:color w:val="006100"/>
              </w:rPr>
            </w:pPr>
            <w:r>
              <w:rPr>
                <w:rFonts w:ascii="Times New Roman" w:hAnsi="Times New Roman"/>
                <w:noProof/>
                <w:color w:val="006100"/>
              </w:rPr>
              <w:t>Сключване на договори за строителство, ремонтни работи и осигуряване на медицинско оборудване за амбулатории и за Националния интердисциплинарен център за скрининг;</w:t>
            </w:r>
          </w:p>
        </w:tc>
      </w:tr>
      <w:tr w:rsidR="00350D0F" w:rsidRPr="00F41C75" w14:paraId="166806F5" w14:textId="77777777" w:rsidTr="7B697459">
        <w:trPr>
          <w:trHeight w:val="302"/>
          <w:jc w:val="center"/>
        </w:trPr>
        <w:tc>
          <w:tcPr>
            <w:tcW w:w="1207" w:type="dxa"/>
            <w:tcBorders>
              <w:top w:val="single" w:sz="4" w:space="0" w:color="auto"/>
              <w:left w:val="single" w:sz="4" w:space="0" w:color="auto"/>
              <w:bottom w:val="single" w:sz="4" w:space="0" w:color="auto"/>
              <w:right w:val="single" w:sz="4" w:space="0" w:color="auto"/>
            </w:tcBorders>
            <w:shd w:val="clear" w:color="auto" w:fill="C6EFCE"/>
            <w:noWrap/>
          </w:tcPr>
          <w:p w14:paraId="4B3E4EBA" w14:textId="77777777" w:rsidR="00350D0F" w:rsidRPr="008A0F8A" w:rsidRDefault="00350D0F" w:rsidP="00350D0F">
            <w:pPr>
              <w:spacing w:after="0" w:line="240" w:lineRule="auto"/>
              <w:jc w:val="center"/>
              <w:rPr>
                <w:rFonts w:ascii="Times New Roman" w:eastAsia="Times New Roman" w:hAnsi="Times New Roman" w:cs="Times New Roman"/>
                <w:noProof/>
                <w:color w:val="006100"/>
                <w:lang w:val="ru-RU" w:eastAsia="en-GB"/>
              </w:rPr>
            </w:pPr>
          </w:p>
        </w:tc>
        <w:tc>
          <w:tcPr>
            <w:tcW w:w="3684" w:type="dxa"/>
            <w:tcBorders>
              <w:top w:val="single" w:sz="4" w:space="0" w:color="auto"/>
              <w:left w:val="nil"/>
              <w:bottom w:val="single" w:sz="4" w:space="0" w:color="auto"/>
              <w:right w:val="single" w:sz="4" w:space="0" w:color="auto"/>
            </w:tcBorders>
            <w:shd w:val="clear" w:color="auto" w:fill="C6EFCE"/>
            <w:noWrap/>
            <w:vAlign w:val="bottom"/>
          </w:tcPr>
          <w:p w14:paraId="305F17A7" w14:textId="77777777" w:rsidR="00350D0F" w:rsidRPr="008A0F8A" w:rsidRDefault="00350D0F" w:rsidP="00350D0F">
            <w:pPr>
              <w:spacing w:after="0" w:line="240" w:lineRule="auto"/>
              <w:jc w:val="both"/>
              <w:rPr>
                <w:rFonts w:ascii="Times New Roman" w:eastAsia="Times New Roman" w:hAnsi="Times New Roman" w:cs="Times New Roman"/>
                <w:noProof/>
                <w:color w:val="006100"/>
                <w:lang w:val="ru-RU" w:eastAsia="en-GB"/>
              </w:rPr>
            </w:pPr>
          </w:p>
        </w:tc>
        <w:tc>
          <w:tcPr>
            <w:tcW w:w="1701" w:type="dxa"/>
            <w:tcBorders>
              <w:top w:val="single" w:sz="4" w:space="0" w:color="auto"/>
              <w:left w:val="nil"/>
              <w:bottom w:val="single" w:sz="4" w:space="0" w:color="auto"/>
              <w:right w:val="single" w:sz="4" w:space="0" w:color="auto"/>
            </w:tcBorders>
            <w:shd w:val="clear" w:color="auto" w:fill="C6EFCE"/>
            <w:noWrap/>
            <w:vAlign w:val="bottom"/>
          </w:tcPr>
          <w:p w14:paraId="4B1B3297" w14:textId="77777777" w:rsidR="00350D0F" w:rsidRPr="009674F2" w:rsidRDefault="00350D0F" w:rsidP="00350D0F">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Размер на вноската</w:t>
            </w:r>
          </w:p>
        </w:tc>
        <w:tc>
          <w:tcPr>
            <w:tcW w:w="3472" w:type="dxa"/>
            <w:tcBorders>
              <w:top w:val="single" w:sz="4" w:space="0" w:color="auto"/>
              <w:left w:val="nil"/>
              <w:bottom w:val="single" w:sz="4" w:space="0" w:color="auto"/>
              <w:right w:val="single" w:sz="4" w:space="0" w:color="auto"/>
            </w:tcBorders>
            <w:shd w:val="clear" w:color="auto" w:fill="C6EFCE"/>
            <w:noWrap/>
            <w:vAlign w:val="bottom"/>
          </w:tcPr>
          <w:p w14:paraId="6D70AB49" w14:textId="321A5BD3" w:rsidR="00350D0F" w:rsidRPr="00B34264" w:rsidRDefault="06F1A666" w:rsidP="00350D0F">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 xml:space="preserve">521 644 766 EUR </w:t>
            </w:r>
          </w:p>
        </w:tc>
      </w:tr>
    </w:tbl>
    <w:p w14:paraId="2FDFAD29" w14:textId="77777777" w:rsidR="00D21D80" w:rsidRPr="00F41C75" w:rsidRDefault="00D21D80" w:rsidP="00D21D80">
      <w:pPr>
        <w:spacing w:before="120" w:after="120" w:line="240" w:lineRule="auto"/>
        <w:ind w:left="850"/>
        <w:jc w:val="both"/>
        <w:rPr>
          <w:rFonts w:ascii="Times New Roman" w:eastAsia="Calibri" w:hAnsi="Times New Roman" w:cs="Times New Roman"/>
          <w:noProof/>
          <w:lang w:val="en-GB"/>
        </w:rPr>
      </w:pPr>
    </w:p>
    <w:p w14:paraId="3302D4AA" w14:textId="77777777" w:rsidR="00D21D80" w:rsidRPr="00F41C75" w:rsidRDefault="00D21D80" w:rsidP="00D21D80">
      <w:pPr>
        <w:numPr>
          <w:ilvl w:val="1"/>
          <w:numId w:val="1"/>
        </w:numPr>
        <w:spacing w:before="120" w:after="120" w:line="240" w:lineRule="auto"/>
        <w:jc w:val="both"/>
        <w:rPr>
          <w:rFonts w:ascii="Times New Roman" w:eastAsia="Calibri" w:hAnsi="Times New Roman" w:cs="Times New Roman"/>
          <w:noProof/>
        </w:rPr>
      </w:pPr>
      <w:r>
        <w:rPr>
          <w:rFonts w:ascii="Times New Roman" w:hAnsi="Times New Roman"/>
          <w:noProof/>
        </w:rPr>
        <w:t xml:space="preserve">Пета вноска (безвъзмездна подкрепа): </w:t>
      </w:r>
    </w:p>
    <w:tbl>
      <w:tblPr>
        <w:tblW w:w="10202" w:type="dxa"/>
        <w:jc w:val="center"/>
        <w:tblLook w:val="04A0" w:firstRow="1" w:lastRow="0" w:firstColumn="1" w:lastColumn="0" w:noHBand="0" w:noVBand="1"/>
      </w:tblPr>
      <w:tblGrid>
        <w:gridCol w:w="1274"/>
        <w:gridCol w:w="3686"/>
        <w:gridCol w:w="1701"/>
        <w:gridCol w:w="3541"/>
      </w:tblGrid>
      <w:tr w:rsidR="00D21D80" w:rsidRPr="00F41C75" w14:paraId="72D5E6C1" w14:textId="77777777" w:rsidTr="008E333E">
        <w:trPr>
          <w:trHeight w:val="906"/>
          <w:tblHeader/>
          <w:jc w:val="center"/>
        </w:trPr>
        <w:tc>
          <w:tcPr>
            <w:tcW w:w="127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EA53E46" w14:textId="77777777" w:rsidR="00D21D80" w:rsidRPr="00F41C75" w:rsidRDefault="00D21D80" w:rsidP="00C955DB">
            <w:pPr>
              <w:spacing w:after="0" w:line="240" w:lineRule="auto"/>
              <w:jc w:val="center"/>
              <w:rPr>
                <w:rFonts w:ascii="Times New Roman" w:eastAsia="Times New Roman" w:hAnsi="Times New Roman" w:cs="Times New Roman"/>
                <w:b/>
                <w:noProof/>
              </w:rPr>
            </w:pPr>
            <w:r>
              <w:rPr>
                <w:rFonts w:ascii="Times New Roman" w:hAnsi="Times New Roman"/>
                <w:b/>
                <w:noProof/>
              </w:rPr>
              <w:t>Пореден номер</w:t>
            </w:r>
          </w:p>
        </w:tc>
        <w:tc>
          <w:tcPr>
            <w:tcW w:w="368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452C5F7" w14:textId="77777777" w:rsidR="00D21D80" w:rsidRPr="00F41C75" w:rsidRDefault="00D21D80" w:rsidP="00C955DB">
            <w:pPr>
              <w:spacing w:after="0" w:line="240" w:lineRule="auto"/>
              <w:jc w:val="center"/>
              <w:rPr>
                <w:rFonts w:ascii="Times New Roman" w:eastAsia="Times New Roman" w:hAnsi="Times New Roman" w:cs="Times New Roman"/>
                <w:b/>
                <w:noProof/>
              </w:rPr>
            </w:pPr>
            <w:r>
              <w:rPr>
                <w:rFonts w:ascii="Times New Roman" w:hAnsi="Times New Roman"/>
                <w:b/>
                <w:noProof/>
              </w:rPr>
              <w:t>Свързана мярка (реформа или инвестиция)</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68179F6" w14:textId="77777777" w:rsidR="00D21D80" w:rsidRPr="00F41C75" w:rsidRDefault="00D21D80" w:rsidP="00C955DB">
            <w:pPr>
              <w:spacing w:after="0" w:line="240" w:lineRule="auto"/>
              <w:jc w:val="center"/>
              <w:rPr>
                <w:rFonts w:ascii="Times New Roman" w:eastAsia="Times New Roman" w:hAnsi="Times New Roman" w:cs="Times New Roman"/>
                <w:b/>
                <w:noProof/>
              </w:rPr>
            </w:pPr>
            <w:r>
              <w:rPr>
                <w:rFonts w:ascii="Times New Roman" w:hAnsi="Times New Roman"/>
                <w:b/>
                <w:noProof/>
              </w:rPr>
              <w:t>Ключов етап / Цел</w:t>
            </w:r>
          </w:p>
        </w:tc>
        <w:tc>
          <w:tcPr>
            <w:tcW w:w="354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0309521" w14:textId="77777777" w:rsidR="00D21D80" w:rsidRPr="00F41C75" w:rsidRDefault="00D21D80" w:rsidP="00C955DB">
            <w:pPr>
              <w:spacing w:after="0" w:line="240" w:lineRule="auto"/>
              <w:jc w:val="center"/>
              <w:rPr>
                <w:rFonts w:ascii="Times New Roman" w:eastAsia="Times New Roman" w:hAnsi="Times New Roman" w:cs="Times New Roman"/>
                <w:b/>
                <w:noProof/>
              </w:rPr>
            </w:pPr>
            <w:r>
              <w:rPr>
                <w:rFonts w:ascii="Times New Roman" w:hAnsi="Times New Roman"/>
                <w:b/>
                <w:noProof/>
              </w:rPr>
              <w:t>Наименование</w:t>
            </w:r>
          </w:p>
        </w:tc>
      </w:tr>
      <w:tr w:rsidR="00D21D80" w:rsidRPr="00F41C75" w14:paraId="2E5D0A0D" w14:textId="77777777" w:rsidTr="008E333E">
        <w:trPr>
          <w:trHeight w:val="450"/>
          <w:jc w:val="center"/>
        </w:trPr>
        <w:tc>
          <w:tcPr>
            <w:tcW w:w="1274" w:type="dxa"/>
            <w:vMerge/>
            <w:tcBorders>
              <w:top w:val="single" w:sz="4" w:space="0" w:color="auto"/>
              <w:left w:val="single" w:sz="4" w:space="0" w:color="auto"/>
              <w:bottom w:val="single" w:sz="4" w:space="0" w:color="auto"/>
              <w:right w:val="single" w:sz="4" w:space="0" w:color="auto"/>
            </w:tcBorders>
            <w:vAlign w:val="center"/>
            <w:hideMark/>
          </w:tcPr>
          <w:p w14:paraId="13027D2A" w14:textId="77777777" w:rsidR="00D21D80" w:rsidRPr="00F41C75" w:rsidRDefault="00D21D80" w:rsidP="00C955DB">
            <w:pPr>
              <w:spacing w:after="0" w:line="240" w:lineRule="auto"/>
              <w:jc w:val="center"/>
              <w:rPr>
                <w:rFonts w:ascii="Times New Roman" w:eastAsia="Times New Roman" w:hAnsi="Times New Roman" w:cs="Times New Roman"/>
                <w:b/>
                <w:bCs/>
                <w:noProof/>
                <w:lang w:val="en-GB" w:eastAsia="en-GB"/>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61888242" w14:textId="77777777" w:rsidR="00D21D80" w:rsidRPr="00F41C75" w:rsidRDefault="00D21D80" w:rsidP="00C955DB">
            <w:pPr>
              <w:spacing w:after="0" w:line="240" w:lineRule="auto"/>
              <w:jc w:val="both"/>
              <w:rPr>
                <w:rFonts w:ascii="Times New Roman" w:eastAsia="Times New Roman" w:hAnsi="Times New Roman" w:cs="Times New Roman"/>
                <w:b/>
                <w:bCs/>
                <w:noProof/>
                <w:lang w:val="en-GB" w:eastAsia="en-G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CF9FB30" w14:textId="77777777" w:rsidR="00D21D80" w:rsidRPr="00F41C75" w:rsidRDefault="00D21D80" w:rsidP="00C955DB">
            <w:pPr>
              <w:spacing w:after="0" w:line="240" w:lineRule="auto"/>
              <w:jc w:val="center"/>
              <w:rPr>
                <w:rFonts w:ascii="Times New Roman" w:eastAsia="Times New Roman" w:hAnsi="Times New Roman" w:cs="Times New Roman"/>
                <w:b/>
                <w:bCs/>
                <w:noProof/>
                <w:lang w:val="en-GB" w:eastAsia="en-GB"/>
              </w:rPr>
            </w:pPr>
          </w:p>
        </w:tc>
        <w:tc>
          <w:tcPr>
            <w:tcW w:w="3541" w:type="dxa"/>
            <w:vMerge/>
            <w:tcBorders>
              <w:top w:val="single" w:sz="4" w:space="0" w:color="auto"/>
              <w:left w:val="single" w:sz="4" w:space="0" w:color="auto"/>
              <w:bottom w:val="single" w:sz="4" w:space="0" w:color="auto"/>
              <w:right w:val="single" w:sz="4" w:space="0" w:color="auto"/>
            </w:tcBorders>
            <w:vAlign w:val="center"/>
            <w:hideMark/>
          </w:tcPr>
          <w:p w14:paraId="2D2638C8" w14:textId="77777777" w:rsidR="00D21D80" w:rsidRPr="00F41C75" w:rsidRDefault="00D21D80" w:rsidP="00C955DB">
            <w:pPr>
              <w:spacing w:after="0" w:line="240" w:lineRule="auto"/>
              <w:jc w:val="both"/>
              <w:rPr>
                <w:rFonts w:ascii="Times New Roman" w:eastAsia="Times New Roman" w:hAnsi="Times New Roman" w:cs="Times New Roman"/>
                <w:b/>
                <w:bCs/>
                <w:noProof/>
                <w:lang w:val="en-GB" w:eastAsia="en-GB"/>
              </w:rPr>
            </w:pPr>
          </w:p>
        </w:tc>
      </w:tr>
      <w:tr w:rsidR="00D21D80" w:rsidRPr="005241FC" w14:paraId="612C663D" w14:textId="77777777" w:rsidTr="008E333E">
        <w:trPr>
          <w:trHeight w:val="302"/>
          <w:jc w:val="center"/>
        </w:trPr>
        <w:tc>
          <w:tcPr>
            <w:tcW w:w="1274" w:type="dxa"/>
            <w:tcBorders>
              <w:top w:val="single" w:sz="4" w:space="0" w:color="auto"/>
              <w:left w:val="single" w:sz="4" w:space="0" w:color="auto"/>
              <w:bottom w:val="single" w:sz="4" w:space="0" w:color="auto"/>
              <w:right w:val="single" w:sz="4" w:space="0" w:color="auto"/>
            </w:tcBorders>
            <w:shd w:val="clear" w:color="auto" w:fill="C6EFCE"/>
            <w:noWrap/>
          </w:tcPr>
          <w:p w14:paraId="425773CF"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w:t>
            </w:r>
          </w:p>
        </w:tc>
        <w:tc>
          <w:tcPr>
            <w:tcW w:w="3686" w:type="dxa"/>
            <w:tcBorders>
              <w:top w:val="single" w:sz="4" w:space="0" w:color="auto"/>
              <w:left w:val="nil"/>
              <w:bottom w:val="single" w:sz="4" w:space="0" w:color="auto"/>
              <w:right w:val="single" w:sz="4" w:space="0" w:color="auto"/>
            </w:tcBorders>
            <w:shd w:val="clear" w:color="auto" w:fill="C6EFCE"/>
            <w:noWrap/>
          </w:tcPr>
          <w:p w14:paraId="300292EF" w14:textId="77777777" w:rsidR="00D21D80" w:rsidRPr="009674F2" w:rsidRDefault="00D21D80" w:rsidP="00C955DB">
            <w:pPr>
              <w:spacing w:after="0"/>
              <w:jc w:val="both"/>
              <w:rPr>
                <w:rFonts w:ascii="Times New Roman" w:eastAsia="Times New Roman" w:hAnsi="Times New Roman" w:cs="Times New Roman"/>
                <w:noProof/>
                <w:color w:val="006100"/>
              </w:rPr>
            </w:pPr>
            <w:r>
              <w:rPr>
                <w:rFonts w:ascii="Times New Roman" w:hAnsi="Times New Roman"/>
                <w:noProof/>
                <w:color w:val="006100"/>
              </w:rPr>
              <w:t>C1I3 Предлагане на обучения за придобиване на умения в областта на цифровите технологии и създаване на обучителна платформа за възрастни</w:t>
            </w:r>
          </w:p>
        </w:tc>
        <w:tc>
          <w:tcPr>
            <w:tcW w:w="1701" w:type="dxa"/>
            <w:tcBorders>
              <w:top w:val="single" w:sz="4" w:space="0" w:color="auto"/>
              <w:left w:val="nil"/>
              <w:bottom w:val="single" w:sz="4" w:space="0" w:color="auto"/>
              <w:right w:val="single" w:sz="4" w:space="0" w:color="auto"/>
            </w:tcBorders>
            <w:shd w:val="clear" w:color="auto" w:fill="C6EFCE"/>
            <w:noWrap/>
          </w:tcPr>
          <w:p w14:paraId="6DCBA048"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Цел</w:t>
            </w:r>
          </w:p>
        </w:tc>
        <w:tc>
          <w:tcPr>
            <w:tcW w:w="3541" w:type="dxa"/>
            <w:tcBorders>
              <w:top w:val="single" w:sz="4" w:space="0" w:color="auto"/>
              <w:left w:val="nil"/>
              <w:bottom w:val="single" w:sz="4" w:space="0" w:color="auto"/>
              <w:right w:val="single" w:sz="4" w:space="0" w:color="auto"/>
            </w:tcBorders>
            <w:shd w:val="clear" w:color="auto" w:fill="C6EFCE"/>
            <w:noWrap/>
          </w:tcPr>
          <w:p w14:paraId="37D0D29B" w14:textId="77777777" w:rsidR="00D21D80" w:rsidRPr="009674F2" w:rsidRDefault="00D21D80" w:rsidP="00C955DB">
            <w:pPr>
              <w:spacing w:after="0" w:line="240" w:lineRule="auto"/>
              <w:rPr>
                <w:rFonts w:ascii="Times New Roman" w:eastAsia="Times New Roman" w:hAnsi="Times New Roman" w:cs="Times New Roman"/>
                <w:noProof/>
                <w:color w:val="006100"/>
              </w:rPr>
            </w:pPr>
            <w:r>
              <w:rPr>
                <w:rFonts w:ascii="Times New Roman" w:hAnsi="Times New Roman"/>
                <w:noProof/>
                <w:color w:val="006100"/>
              </w:rPr>
              <w:t>Брой на хората със свидетелство за придобити в резултат на курс умения в областта на цифровите технологии</w:t>
            </w:r>
          </w:p>
        </w:tc>
      </w:tr>
      <w:tr w:rsidR="00ED27EC" w:rsidRPr="005241FC" w14:paraId="353D7086" w14:textId="77777777" w:rsidTr="14D66C95">
        <w:trPr>
          <w:trHeight w:val="302"/>
          <w:jc w:val="center"/>
        </w:trPr>
        <w:tc>
          <w:tcPr>
            <w:tcW w:w="1274" w:type="dxa"/>
            <w:tcBorders>
              <w:top w:val="nil"/>
              <w:left w:val="single" w:sz="4" w:space="0" w:color="auto"/>
              <w:bottom w:val="single" w:sz="4" w:space="0" w:color="auto"/>
              <w:right w:val="single" w:sz="4" w:space="0" w:color="auto"/>
            </w:tcBorders>
            <w:shd w:val="clear" w:color="auto" w:fill="C6EFCE"/>
            <w:noWrap/>
          </w:tcPr>
          <w:p w14:paraId="57727AD8" w14:textId="77777777" w:rsidR="00ED27EC" w:rsidRPr="009674F2" w:rsidRDefault="00ED27EC" w:rsidP="00ED27EC">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304</w:t>
            </w:r>
          </w:p>
        </w:tc>
        <w:tc>
          <w:tcPr>
            <w:tcW w:w="3686" w:type="dxa"/>
            <w:tcBorders>
              <w:top w:val="nil"/>
              <w:left w:val="nil"/>
              <w:bottom w:val="single" w:sz="4" w:space="0" w:color="auto"/>
              <w:right w:val="single" w:sz="4" w:space="0" w:color="auto"/>
            </w:tcBorders>
            <w:shd w:val="clear" w:color="auto" w:fill="C6EFCE"/>
            <w:noWrap/>
          </w:tcPr>
          <w:p w14:paraId="5DDF8294" w14:textId="77777777" w:rsidR="00ED27EC" w:rsidRPr="009674F2" w:rsidRDefault="00ED27EC" w:rsidP="00ED27EC">
            <w:pPr>
              <w:spacing w:after="0" w:line="240" w:lineRule="auto"/>
              <w:jc w:val="both"/>
              <w:rPr>
                <w:rFonts w:ascii="Times New Roman" w:hAnsi="Times New Roman" w:cs="Times New Roman"/>
                <w:noProof/>
                <w:color w:val="006100"/>
              </w:rPr>
            </w:pPr>
            <w:r>
              <w:rPr>
                <w:rFonts w:ascii="Times New Roman" w:hAnsi="Times New Roman"/>
                <w:noProof/>
                <w:color w:val="006100"/>
              </w:rPr>
              <w:t>C11I4 Модернизиране на Агенцията за социално подпомагане</w:t>
            </w:r>
          </w:p>
        </w:tc>
        <w:tc>
          <w:tcPr>
            <w:tcW w:w="1701" w:type="dxa"/>
            <w:tcBorders>
              <w:top w:val="nil"/>
              <w:left w:val="nil"/>
              <w:bottom w:val="single" w:sz="4" w:space="0" w:color="auto"/>
              <w:right w:val="single" w:sz="4" w:space="0" w:color="auto"/>
            </w:tcBorders>
            <w:shd w:val="clear" w:color="auto" w:fill="C6EFCE"/>
            <w:noWrap/>
          </w:tcPr>
          <w:p w14:paraId="62A15BAE" w14:textId="77777777" w:rsidR="00ED27EC" w:rsidRPr="009674F2" w:rsidRDefault="00ED27EC" w:rsidP="00ED27EC">
            <w:pPr>
              <w:spacing w:after="0" w:line="240" w:lineRule="auto"/>
              <w:jc w:val="center"/>
              <w:rPr>
                <w:rFonts w:ascii="Times New Roman" w:hAnsi="Times New Roman" w:cs="Times New Roman"/>
                <w:noProof/>
                <w:color w:val="006100"/>
              </w:rPr>
            </w:pPr>
            <w:r>
              <w:rPr>
                <w:rFonts w:ascii="Times New Roman" w:hAnsi="Times New Roman"/>
                <w:noProof/>
                <w:color w:val="006100"/>
              </w:rPr>
              <w:t>Цел</w:t>
            </w:r>
          </w:p>
        </w:tc>
        <w:tc>
          <w:tcPr>
            <w:tcW w:w="3541" w:type="dxa"/>
            <w:tcBorders>
              <w:top w:val="nil"/>
              <w:left w:val="nil"/>
              <w:bottom w:val="single" w:sz="4" w:space="0" w:color="auto"/>
              <w:right w:val="single" w:sz="4" w:space="0" w:color="auto"/>
            </w:tcBorders>
            <w:shd w:val="clear" w:color="auto" w:fill="C6EFCE"/>
            <w:noWrap/>
          </w:tcPr>
          <w:p w14:paraId="6346FBF9" w14:textId="77777777" w:rsidR="00ED27EC" w:rsidRPr="009674F2" w:rsidRDefault="00ED27EC" w:rsidP="00ED27EC">
            <w:pPr>
              <w:spacing w:after="0" w:line="240" w:lineRule="auto"/>
              <w:rPr>
                <w:rFonts w:ascii="Times New Roman" w:hAnsi="Times New Roman" w:cs="Times New Roman"/>
                <w:noProof/>
                <w:color w:val="006100"/>
              </w:rPr>
            </w:pPr>
            <w:r>
              <w:rPr>
                <w:rFonts w:ascii="Times New Roman" w:hAnsi="Times New Roman"/>
                <w:noProof/>
                <w:color w:val="006100"/>
              </w:rPr>
              <w:t>Брой на ремонтираните местни представителства на Агенцията за социално подпомагане</w:t>
            </w:r>
          </w:p>
        </w:tc>
      </w:tr>
      <w:tr w:rsidR="00ED27EC" w:rsidRPr="005241FC" w14:paraId="5E38756F" w14:textId="77777777" w:rsidTr="14D66C95">
        <w:trPr>
          <w:trHeight w:val="302"/>
          <w:jc w:val="center"/>
        </w:trPr>
        <w:tc>
          <w:tcPr>
            <w:tcW w:w="1274" w:type="dxa"/>
            <w:tcBorders>
              <w:top w:val="nil"/>
              <w:left w:val="single" w:sz="4" w:space="0" w:color="auto"/>
              <w:bottom w:val="single" w:sz="4" w:space="0" w:color="auto"/>
              <w:right w:val="single" w:sz="4" w:space="0" w:color="auto"/>
            </w:tcBorders>
            <w:shd w:val="clear" w:color="auto" w:fill="C6EFCE"/>
            <w:noWrap/>
          </w:tcPr>
          <w:p w14:paraId="1112A232" w14:textId="77777777" w:rsidR="00ED27EC" w:rsidRPr="009674F2" w:rsidRDefault="00ED27EC" w:rsidP="00ED27EC">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87</w:t>
            </w:r>
          </w:p>
        </w:tc>
        <w:tc>
          <w:tcPr>
            <w:tcW w:w="3686" w:type="dxa"/>
            <w:tcBorders>
              <w:top w:val="nil"/>
              <w:left w:val="nil"/>
              <w:bottom w:val="single" w:sz="4" w:space="0" w:color="auto"/>
              <w:right w:val="single" w:sz="4" w:space="0" w:color="auto"/>
            </w:tcBorders>
            <w:shd w:val="clear" w:color="auto" w:fill="C6EFCE"/>
            <w:noWrap/>
          </w:tcPr>
          <w:p w14:paraId="12E4FFA8" w14:textId="77777777" w:rsidR="00ED27EC" w:rsidRPr="009674F2" w:rsidRDefault="00ED27EC" w:rsidP="00ED27EC">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C4I4 Цифрова трансформация на електропреносната мрежа</w:t>
            </w:r>
          </w:p>
        </w:tc>
        <w:tc>
          <w:tcPr>
            <w:tcW w:w="1701" w:type="dxa"/>
            <w:tcBorders>
              <w:top w:val="nil"/>
              <w:left w:val="nil"/>
              <w:bottom w:val="single" w:sz="4" w:space="0" w:color="auto"/>
              <w:right w:val="single" w:sz="4" w:space="0" w:color="auto"/>
            </w:tcBorders>
            <w:shd w:val="clear" w:color="auto" w:fill="C6EFCE"/>
            <w:noWrap/>
          </w:tcPr>
          <w:p w14:paraId="763078F0" w14:textId="77777777" w:rsidR="00ED27EC" w:rsidRPr="009674F2" w:rsidRDefault="00ED27EC" w:rsidP="00ED27EC">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Цел</w:t>
            </w:r>
          </w:p>
        </w:tc>
        <w:tc>
          <w:tcPr>
            <w:tcW w:w="3541" w:type="dxa"/>
            <w:tcBorders>
              <w:top w:val="nil"/>
              <w:left w:val="nil"/>
              <w:bottom w:val="single" w:sz="4" w:space="0" w:color="auto"/>
              <w:right w:val="single" w:sz="4" w:space="0" w:color="auto"/>
            </w:tcBorders>
            <w:shd w:val="clear" w:color="auto" w:fill="C6EFCE"/>
            <w:noWrap/>
          </w:tcPr>
          <w:p w14:paraId="3C9C9622" w14:textId="77777777" w:rsidR="00ED27EC" w:rsidRPr="009674F2" w:rsidRDefault="00ED27EC" w:rsidP="00ED27EC">
            <w:pPr>
              <w:spacing w:after="0" w:line="240" w:lineRule="auto"/>
              <w:rPr>
                <w:rFonts w:ascii="Times New Roman" w:eastAsia="Times New Roman" w:hAnsi="Times New Roman" w:cs="Times New Roman"/>
                <w:noProof/>
                <w:color w:val="006100"/>
              </w:rPr>
            </w:pPr>
            <w:r>
              <w:rPr>
                <w:rFonts w:ascii="Times New Roman" w:hAnsi="Times New Roman"/>
                <w:noProof/>
                <w:color w:val="006100"/>
              </w:rPr>
              <w:t>Увеличение на нетния трансграничен преносен капацитет с 600 MW</w:t>
            </w:r>
          </w:p>
        </w:tc>
      </w:tr>
      <w:tr w:rsidR="00ED27EC" w:rsidRPr="005241FC" w14:paraId="084419E6" w14:textId="77777777" w:rsidTr="14D66C95">
        <w:trPr>
          <w:trHeight w:val="302"/>
          <w:jc w:val="center"/>
        </w:trPr>
        <w:tc>
          <w:tcPr>
            <w:tcW w:w="1274" w:type="dxa"/>
            <w:tcBorders>
              <w:top w:val="nil"/>
              <w:left w:val="single" w:sz="4" w:space="0" w:color="auto"/>
              <w:bottom w:val="single" w:sz="4" w:space="0" w:color="auto"/>
              <w:right w:val="single" w:sz="4" w:space="0" w:color="auto"/>
            </w:tcBorders>
            <w:shd w:val="clear" w:color="auto" w:fill="C6EFCE"/>
            <w:noWrap/>
          </w:tcPr>
          <w:p w14:paraId="36FE106C" w14:textId="77777777" w:rsidR="00ED27EC" w:rsidRPr="009674F2" w:rsidRDefault="00ED27EC" w:rsidP="00ED27EC">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118</w:t>
            </w:r>
          </w:p>
        </w:tc>
        <w:tc>
          <w:tcPr>
            <w:tcW w:w="3686" w:type="dxa"/>
            <w:tcBorders>
              <w:top w:val="nil"/>
              <w:left w:val="nil"/>
              <w:bottom w:val="single" w:sz="4" w:space="0" w:color="auto"/>
              <w:right w:val="single" w:sz="4" w:space="0" w:color="auto"/>
            </w:tcBorders>
            <w:shd w:val="clear" w:color="auto" w:fill="C6EFCE"/>
            <w:noWrap/>
          </w:tcPr>
          <w:p w14:paraId="4BC8C4B1" w14:textId="77777777" w:rsidR="00ED27EC" w:rsidRPr="009674F2" w:rsidRDefault="00ED27EC" w:rsidP="00ED27EC">
            <w:pPr>
              <w:spacing w:after="0" w:line="240" w:lineRule="auto"/>
              <w:jc w:val="both"/>
              <w:rPr>
                <w:rFonts w:ascii="Times New Roman" w:hAnsi="Times New Roman" w:cs="Times New Roman"/>
                <w:noProof/>
                <w:color w:val="006100"/>
              </w:rPr>
            </w:pPr>
            <w:r>
              <w:rPr>
                <w:rFonts w:ascii="Times New Roman" w:hAnsi="Times New Roman"/>
                <w:noProof/>
                <w:color w:val="006100"/>
              </w:rPr>
              <w:t>C4R10 Декарбонизация на енергийния сектор</w:t>
            </w:r>
          </w:p>
        </w:tc>
        <w:tc>
          <w:tcPr>
            <w:tcW w:w="1701" w:type="dxa"/>
            <w:tcBorders>
              <w:top w:val="nil"/>
              <w:left w:val="nil"/>
              <w:bottom w:val="single" w:sz="4" w:space="0" w:color="auto"/>
              <w:right w:val="single" w:sz="4" w:space="0" w:color="auto"/>
            </w:tcBorders>
            <w:shd w:val="clear" w:color="auto" w:fill="C6EFCE"/>
            <w:noWrap/>
          </w:tcPr>
          <w:p w14:paraId="702EA2C0" w14:textId="77777777" w:rsidR="00ED27EC" w:rsidRPr="009674F2" w:rsidRDefault="00ED27EC" w:rsidP="00ED27EC">
            <w:pPr>
              <w:spacing w:after="0" w:line="240" w:lineRule="auto"/>
              <w:jc w:val="center"/>
              <w:rPr>
                <w:rFonts w:ascii="Times New Roman" w:hAnsi="Times New Roman" w:cs="Times New Roman"/>
                <w:noProof/>
                <w:color w:val="006100"/>
              </w:rPr>
            </w:pPr>
            <w:r>
              <w:rPr>
                <w:rFonts w:ascii="Times New Roman" w:hAnsi="Times New Roman"/>
                <w:noProof/>
                <w:color w:val="006100"/>
              </w:rPr>
              <w:t>Цел</w:t>
            </w:r>
          </w:p>
        </w:tc>
        <w:tc>
          <w:tcPr>
            <w:tcW w:w="3541" w:type="dxa"/>
            <w:tcBorders>
              <w:top w:val="nil"/>
              <w:left w:val="nil"/>
              <w:bottom w:val="single" w:sz="4" w:space="0" w:color="auto"/>
              <w:right w:val="single" w:sz="4" w:space="0" w:color="auto"/>
            </w:tcBorders>
            <w:shd w:val="clear" w:color="auto" w:fill="C6EFCE"/>
            <w:noWrap/>
          </w:tcPr>
          <w:p w14:paraId="48268188" w14:textId="77777777" w:rsidR="00ED27EC" w:rsidRPr="009674F2" w:rsidRDefault="00ED27EC" w:rsidP="00ED27EC">
            <w:pPr>
              <w:spacing w:after="0" w:line="240" w:lineRule="auto"/>
              <w:rPr>
                <w:rFonts w:ascii="Times New Roman" w:hAnsi="Times New Roman" w:cs="Times New Roman"/>
                <w:noProof/>
                <w:color w:val="006100"/>
              </w:rPr>
            </w:pPr>
            <w:r>
              <w:rPr>
                <w:rFonts w:ascii="Times New Roman" w:hAnsi="Times New Roman"/>
                <w:noProof/>
                <w:color w:val="006100"/>
              </w:rPr>
              <w:t>Намаляване на емисиите на въглероден диоксид от енергийния сектор (IІ)</w:t>
            </w:r>
          </w:p>
        </w:tc>
      </w:tr>
      <w:tr w:rsidR="00ED27EC" w:rsidRPr="005241FC" w14:paraId="38D06B59" w14:textId="77777777" w:rsidTr="14D66C95">
        <w:trPr>
          <w:trHeight w:val="302"/>
          <w:jc w:val="center"/>
        </w:trPr>
        <w:tc>
          <w:tcPr>
            <w:tcW w:w="1274" w:type="dxa"/>
            <w:tcBorders>
              <w:top w:val="nil"/>
              <w:left w:val="single" w:sz="4" w:space="0" w:color="auto"/>
              <w:bottom w:val="single" w:sz="4" w:space="0" w:color="auto"/>
              <w:right w:val="single" w:sz="4" w:space="0" w:color="auto"/>
            </w:tcBorders>
            <w:shd w:val="clear" w:color="auto" w:fill="C6EFCE"/>
            <w:noWrap/>
          </w:tcPr>
          <w:p w14:paraId="37A237B7" w14:textId="77777777" w:rsidR="00ED27EC" w:rsidRPr="009674F2" w:rsidRDefault="00ED27EC" w:rsidP="00ED27EC">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93</w:t>
            </w:r>
          </w:p>
        </w:tc>
        <w:tc>
          <w:tcPr>
            <w:tcW w:w="3686" w:type="dxa"/>
            <w:tcBorders>
              <w:top w:val="nil"/>
              <w:left w:val="nil"/>
              <w:bottom w:val="single" w:sz="4" w:space="0" w:color="auto"/>
              <w:right w:val="single" w:sz="4" w:space="0" w:color="auto"/>
            </w:tcBorders>
            <w:shd w:val="clear" w:color="auto" w:fill="C6EFCE"/>
            <w:noWrap/>
          </w:tcPr>
          <w:p w14:paraId="654032EE" w14:textId="77777777" w:rsidR="00ED27EC" w:rsidRPr="009674F2" w:rsidRDefault="00ED27EC" w:rsidP="00ED27EC">
            <w:pPr>
              <w:spacing w:after="0" w:line="240" w:lineRule="auto"/>
              <w:jc w:val="both"/>
              <w:rPr>
                <w:rFonts w:ascii="Times New Roman" w:hAnsi="Times New Roman" w:cs="Times New Roman"/>
                <w:noProof/>
                <w:color w:val="006100"/>
              </w:rPr>
            </w:pPr>
            <w:r>
              <w:rPr>
                <w:rFonts w:ascii="Times New Roman" w:hAnsi="Times New Roman"/>
                <w:noProof/>
                <w:color w:val="006100"/>
              </w:rPr>
              <w:t>C4R11 Подобряване на корпоративното управление на държавните предприятия в енергийния сектор</w:t>
            </w:r>
          </w:p>
        </w:tc>
        <w:tc>
          <w:tcPr>
            <w:tcW w:w="1701" w:type="dxa"/>
            <w:tcBorders>
              <w:top w:val="nil"/>
              <w:left w:val="nil"/>
              <w:bottom w:val="single" w:sz="4" w:space="0" w:color="auto"/>
              <w:right w:val="single" w:sz="4" w:space="0" w:color="auto"/>
            </w:tcBorders>
            <w:shd w:val="clear" w:color="auto" w:fill="C6EFCE"/>
            <w:noWrap/>
          </w:tcPr>
          <w:p w14:paraId="6AEED14A" w14:textId="77777777" w:rsidR="00ED27EC" w:rsidRPr="009674F2" w:rsidRDefault="00ED27EC" w:rsidP="00ED27EC">
            <w:pPr>
              <w:spacing w:after="0" w:line="240" w:lineRule="auto"/>
              <w:jc w:val="center"/>
              <w:rPr>
                <w:rFonts w:ascii="Times New Roman" w:hAnsi="Times New Roman" w:cs="Times New Roman"/>
                <w:noProof/>
                <w:color w:val="006100"/>
              </w:rPr>
            </w:pPr>
            <w:r>
              <w:rPr>
                <w:rFonts w:ascii="Times New Roman" w:hAnsi="Times New Roman"/>
                <w:noProof/>
                <w:color w:val="006100"/>
              </w:rPr>
              <w:t>Ключов етап</w:t>
            </w:r>
          </w:p>
        </w:tc>
        <w:tc>
          <w:tcPr>
            <w:tcW w:w="3541" w:type="dxa"/>
            <w:tcBorders>
              <w:top w:val="nil"/>
              <w:left w:val="nil"/>
              <w:bottom w:val="single" w:sz="4" w:space="0" w:color="auto"/>
              <w:right w:val="single" w:sz="4" w:space="0" w:color="auto"/>
            </w:tcBorders>
            <w:shd w:val="clear" w:color="auto" w:fill="C6EFCE"/>
            <w:noWrap/>
          </w:tcPr>
          <w:p w14:paraId="66DFF53F" w14:textId="77777777" w:rsidR="00ED27EC" w:rsidRPr="009674F2" w:rsidRDefault="00ED27EC" w:rsidP="00ED27EC">
            <w:pPr>
              <w:spacing w:after="0"/>
              <w:rPr>
                <w:rFonts w:ascii="Times New Roman" w:hAnsi="Times New Roman" w:cs="Times New Roman"/>
                <w:noProof/>
                <w:color w:val="006100"/>
              </w:rPr>
            </w:pPr>
            <w:r>
              <w:rPr>
                <w:rFonts w:ascii="Times New Roman" w:hAnsi="Times New Roman"/>
                <w:noProof/>
                <w:color w:val="006100"/>
              </w:rPr>
              <w:t>Разделяне на собствеността и контрола в рамките на държавата на операторите на преносни мрежи „Булгартрансгаз“ ЕАД и ЕСО ЕАД</w:t>
            </w:r>
          </w:p>
        </w:tc>
      </w:tr>
      <w:tr w:rsidR="00ED27EC" w:rsidRPr="005241FC" w14:paraId="69884E97" w14:textId="77777777" w:rsidTr="14D66C95">
        <w:trPr>
          <w:trHeight w:val="302"/>
          <w:jc w:val="center"/>
        </w:trPr>
        <w:tc>
          <w:tcPr>
            <w:tcW w:w="1274" w:type="dxa"/>
            <w:tcBorders>
              <w:top w:val="nil"/>
              <w:left w:val="single" w:sz="4" w:space="0" w:color="auto"/>
              <w:bottom w:val="single" w:sz="4" w:space="0" w:color="auto"/>
              <w:right w:val="single" w:sz="4" w:space="0" w:color="auto"/>
            </w:tcBorders>
            <w:shd w:val="clear" w:color="auto" w:fill="C6EFCE"/>
            <w:noWrap/>
          </w:tcPr>
          <w:p w14:paraId="2EB2F9AB" w14:textId="77777777" w:rsidR="00ED27EC" w:rsidRPr="009674F2" w:rsidRDefault="00ED27EC" w:rsidP="00ED27EC">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101</w:t>
            </w:r>
          </w:p>
        </w:tc>
        <w:tc>
          <w:tcPr>
            <w:tcW w:w="3686" w:type="dxa"/>
            <w:tcBorders>
              <w:top w:val="nil"/>
              <w:left w:val="nil"/>
              <w:bottom w:val="single" w:sz="4" w:space="0" w:color="auto"/>
              <w:right w:val="single" w:sz="4" w:space="0" w:color="auto"/>
            </w:tcBorders>
            <w:shd w:val="clear" w:color="auto" w:fill="C6EFCE"/>
            <w:noWrap/>
          </w:tcPr>
          <w:p w14:paraId="2320E1C6" w14:textId="77777777" w:rsidR="00ED27EC" w:rsidRPr="009674F2" w:rsidRDefault="00ED27EC" w:rsidP="00ED27EC">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C4I6 Подкрепа за нови мощности за производство на електроенергия от възобновяеми източници и съхранение на електроенергия</w:t>
            </w:r>
          </w:p>
        </w:tc>
        <w:tc>
          <w:tcPr>
            <w:tcW w:w="1701" w:type="dxa"/>
            <w:tcBorders>
              <w:top w:val="nil"/>
              <w:left w:val="nil"/>
              <w:bottom w:val="single" w:sz="4" w:space="0" w:color="auto"/>
              <w:right w:val="single" w:sz="4" w:space="0" w:color="auto"/>
            </w:tcBorders>
            <w:shd w:val="clear" w:color="auto" w:fill="C6EFCE"/>
            <w:noWrap/>
          </w:tcPr>
          <w:p w14:paraId="3F823BCD" w14:textId="77777777" w:rsidR="00ED27EC" w:rsidRPr="009674F2" w:rsidRDefault="00ED27EC" w:rsidP="00ED27EC">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Ключов етап</w:t>
            </w:r>
          </w:p>
        </w:tc>
        <w:tc>
          <w:tcPr>
            <w:tcW w:w="3541" w:type="dxa"/>
            <w:tcBorders>
              <w:top w:val="nil"/>
              <w:left w:val="nil"/>
              <w:bottom w:val="single" w:sz="4" w:space="0" w:color="auto"/>
              <w:right w:val="single" w:sz="4" w:space="0" w:color="auto"/>
            </w:tcBorders>
            <w:shd w:val="clear" w:color="auto" w:fill="C6EFCE"/>
            <w:noWrap/>
          </w:tcPr>
          <w:p w14:paraId="023CFD45" w14:textId="77777777" w:rsidR="00ED27EC" w:rsidRPr="009674F2" w:rsidRDefault="00ED27EC" w:rsidP="00ED27EC">
            <w:pPr>
              <w:spacing w:after="0"/>
              <w:rPr>
                <w:rFonts w:ascii="Times New Roman" w:hAnsi="Times New Roman" w:cs="Times New Roman"/>
                <w:noProof/>
                <w:color w:val="006100"/>
              </w:rPr>
            </w:pPr>
            <w:r>
              <w:rPr>
                <w:rFonts w:ascii="Times New Roman" w:hAnsi="Times New Roman"/>
                <w:noProof/>
                <w:color w:val="006100"/>
              </w:rPr>
              <w:t>Обявяване на търг за изграждане на капацитет от 285 MW за производство на електроенергия от възобновяеми източници (вятърна и слънчева енергия)</w:t>
            </w:r>
          </w:p>
          <w:p w14:paraId="78CCF2B7" w14:textId="77777777" w:rsidR="00ED27EC" w:rsidRPr="009674F2" w:rsidRDefault="00ED27EC" w:rsidP="00ED27EC">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 разположени съвместно със системи за акумулиране на енергия</w:t>
            </w:r>
          </w:p>
        </w:tc>
      </w:tr>
      <w:tr w:rsidR="00ED27EC" w:rsidRPr="005241FC" w14:paraId="706A1862" w14:textId="77777777" w:rsidTr="00E7285C">
        <w:trPr>
          <w:trHeight w:val="840"/>
          <w:jc w:val="center"/>
        </w:trPr>
        <w:tc>
          <w:tcPr>
            <w:tcW w:w="1274" w:type="dxa"/>
            <w:tcBorders>
              <w:top w:val="nil"/>
              <w:left w:val="single" w:sz="4" w:space="0" w:color="auto"/>
              <w:bottom w:val="single" w:sz="4" w:space="0" w:color="auto"/>
              <w:right w:val="single" w:sz="4" w:space="0" w:color="auto"/>
            </w:tcBorders>
            <w:shd w:val="clear" w:color="auto" w:fill="C6EFCE"/>
            <w:noWrap/>
          </w:tcPr>
          <w:p w14:paraId="65D6E5F7" w14:textId="3730ED0B" w:rsidR="00ED27EC" w:rsidRPr="009674F2" w:rsidRDefault="00ED27EC" w:rsidP="00ED27EC">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110</w:t>
            </w:r>
          </w:p>
        </w:tc>
        <w:tc>
          <w:tcPr>
            <w:tcW w:w="3686" w:type="dxa"/>
            <w:tcBorders>
              <w:top w:val="nil"/>
              <w:left w:val="nil"/>
              <w:bottom w:val="single" w:sz="4" w:space="0" w:color="auto"/>
              <w:right w:val="single" w:sz="4" w:space="0" w:color="auto"/>
            </w:tcBorders>
            <w:shd w:val="clear" w:color="auto" w:fill="C6EFCE"/>
            <w:noWrap/>
          </w:tcPr>
          <w:p w14:paraId="00412846" w14:textId="44A6E609" w:rsidR="00ED27EC" w:rsidRPr="009674F2" w:rsidRDefault="00ED27EC" w:rsidP="00ED27EC">
            <w:pPr>
              <w:spacing w:after="0" w:line="240" w:lineRule="auto"/>
              <w:jc w:val="both"/>
              <w:rPr>
                <w:rFonts w:ascii="Times New Roman" w:hAnsi="Times New Roman" w:cs="Times New Roman"/>
                <w:noProof/>
                <w:color w:val="006100"/>
              </w:rPr>
            </w:pPr>
            <w:r>
              <w:rPr>
                <w:rFonts w:ascii="Times New Roman" w:hAnsi="Times New Roman"/>
                <w:noProof/>
                <w:color w:val="006100"/>
              </w:rPr>
              <w:t>C4I5 Пилотни проекти за производството на зелен водород</w:t>
            </w:r>
          </w:p>
        </w:tc>
        <w:tc>
          <w:tcPr>
            <w:tcW w:w="1701" w:type="dxa"/>
            <w:tcBorders>
              <w:top w:val="nil"/>
              <w:left w:val="nil"/>
              <w:bottom w:val="single" w:sz="4" w:space="0" w:color="auto"/>
              <w:right w:val="single" w:sz="4" w:space="0" w:color="auto"/>
            </w:tcBorders>
            <w:shd w:val="clear" w:color="auto" w:fill="C6EFCE"/>
            <w:noWrap/>
          </w:tcPr>
          <w:p w14:paraId="5EB2BC5A" w14:textId="5D5F1A78" w:rsidR="00ED27EC" w:rsidRPr="009674F2" w:rsidRDefault="00ED27EC" w:rsidP="00ED27EC">
            <w:pPr>
              <w:spacing w:after="0" w:line="240" w:lineRule="auto"/>
              <w:jc w:val="center"/>
              <w:rPr>
                <w:rFonts w:ascii="Times New Roman" w:hAnsi="Times New Roman" w:cs="Times New Roman"/>
                <w:noProof/>
                <w:color w:val="006100"/>
              </w:rPr>
            </w:pPr>
            <w:r>
              <w:rPr>
                <w:rFonts w:ascii="Times New Roman" w:hAnsi="Times New Roman"/>
                <w:noProof/>
                <w:color w:val="006100"/>
              </w:rPr>
              <w:t>Ключов етап</w:t>
            </w:r>
          </w:p>
        </w:tc>
        <w:tc>
          <w:tcPr>
            <w:tcW w:w="3541" w:type="dxa"/>
            <w:tcBorders>
              <w:top w:val="nil"/>
              <w:left w:val="nil"/>
              <w:bottom w:val="single" w:sz="4" w:space="0" w:color="auto"/>
              <w:right w:val="single" w:sz="4" w:space="0" w:color="auto"/>
            </w:tcBorders>
            <w:shd w:val="clear" w:color="auto" w:fill="C6EFCE"/>
            <w:noWrap/>
          </w:tcPr>
          <w:p w14:paraId="09F0A802" w14:textId="27395E71" w:rsidR="00ED27EC" w:rsidRPr="009674F2" w:rsidRDefault="00ED27EC" w:rsidP="00ED27EC">
            <w:pPr>
              <w:spacing w:after="0"/>
              <w:rPr>
                <w:rFonts w:ascii="Times New Roman" w:hAnsi="Times New Roman" w:cs="Times New Roman"/>
                <w:noProof/>
                <w:color w:val="006100"/>
              </w:rPr>
            </w:pPr>
            <w:r>
              <w:rPr>
                <w:rFonts w:ascii="Times New Roman" w:hAnsi="Times New Roman"/>
                <w:noProof/>
                <w:color w:val="006100"/>
              </w:rPr>
              <w:t>Подписване на договор(и) за изграждане на електролизьори</w:t>
            </w:r>
          </w:p>
        </w:tc>
      </w:tr>
      <w:tr w:rsidR="00ED27EC" w:rsidRPr="005241FC" w14:paraId="2FC76409" w14:textId="77777777" w:rsidTr="14D66C95">
        <w:trPr>
          <w:trHeight w:val="302"/>
          <w:jc w:val="center"/>
        </w:trPr>
        <w:tc>
          <w:tcPr>
            <w:tcW w:w="1274" w:type="dxa"/>
            <w:tcBorders>
              <w:top w:val="nil"/>
              <w:left w:val="single" w:sz="4" w:space="0" w:color="auto"/>
              <w:bottom w:val="single" w:sz="4" w:space="0" w:color="auto"/>
              <w:right w:val="single" w:sz="4" w:space="0" w:color="auto"/>
            </w:tcBorders>
            <w:shd w:val="clear" w:color="auto" w:fill="C6EFCE"/>
            <w:noWrap/>
          </w:tcPr>
          <w:p w14:paraId="11A444D3" w14:textId="77777777" w:rsidR="00ED27EC" w:rsidRPr="009674F2" w:rsidRDefault="00ED27EC" w:rsidP="00ED27EC">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70</w:t>
            </w:r>
          </w:p>
        </w:tc>
        <w:tc>
          <w:tcPr>
            <w:tcW w:w="3686" w:type="dxa"/>
            <w:tcBorders>
              <w:top w:val="nil"/>
              <w:left w:val="nil"/>
              <w:bottom w:val="single" w:sz="4" w:space="0" w:color="auto"/>
              <w:right w:val="single" w:sz="4" w:space="0" w:color="auto"/>
            </w:tcBorders>
            <w:shd w:val="clear" w:color="auto" w:fill="C6EFCE"/>
            <w:noWrap/>
          </w:tcPr>
          <w:p w14:paraId="65F116C3" w14:textId="77777777" w:rsidR="00ED27EC" w:rsidRPr="009674F2" w:rsidRDefault="00ED27EC" w:rsidP="00ED27EC">
            <w:pPr>
              <w:spacing w:after="0" w:line="240" w:lineRule="auto"/>
              <w:jc w:val="both"/>
              <w:rPr>
                <w:rFonts w:ascii="Times New Roman" w:hAnsi="Times New Roman" w:cs="Times New Roman"/>
                <w:noProof/>
                <w:color w:val="006100"/>
              </w:rPr>
            </w:pPr>
            <w:r>
              <w:rPr>
                <w:rFonts w:ascii="Times New Roman" w:hAnsi="Times New Roman"/>
                <w:noProof/>
                <w:color w:val="006100"/>
              </w:rPr>
              <w:t>C4I1 Подкрепа за обновяване на сградния фонд </w:t>
            </w:r>
          </w:p>
          <w:p w14:paraId="6D0314F3" w14:textId="77777777" w:rsidR="00ED27EC" w:rsidRPr="008A0F8A" w:rsidRDefault="00ED27EC" w:rsidP="00ED27EC">
            <w:pPr>
              <w:spacing w:after="0" w:line="240" w:lineRule="auto"/>
              <w:jc w:val="both"/>
              <w:rPr>
                <w:rFonts w:ascii="Times New Roman" w:hAnsi="Times New Roman" w:cs="Times New Roman"/>
                <w:noProof/>
                <w:color w:val="006100"/>
                <w:u w:val="single"/>
                <w:lang w:val="ru-RU"/>
              </w:rPr>
            </w:pPr>
          </w:p>
          <w:p w14:paraId="2A478D83" w14:textId="77777777" w:rsidR="00ED27EC" w:rsidRPr="009674F2" w:rsidRDefault="00ED27EC" w:rsidP="00ED27EC">
            <w:pPr>
              <w:spacing w:after="0" w:line="240" w:lineRule="auto"/>
              <w:jc w:val="both"/>
              <w:rPr>
                <w:rFonts w:ascii="Times New Roman" w:hAnsi="Times New Roman" w:cs="Times New Roman"/>
                <w:noProof/>
                <w:color w:val="006100"/>
              </w:rPr>
            </w:pPr>
            <w:r>
              <w:rPr>
                <w:rFonts w:ascii="Times New Roman" w:hAnsi="Times New Roman"/>
                <w:noProof/>
                <w:color w:val="006100"/>
              </w:rPr>
              <w:t>Подмярка 1: Обновяване на жилищни сгради</w:t>
            </w:r>
          </w:p>
          <w:p w14:paraId="160CAF56" w14:textId="77777777" w:rsidR="00ED27EC" w:rsidRPr="009674F2" w:rsidRDefault="00ED27EC" w:rsidP="00ED27EC">
            <w:pPr>
              <w:spacing w:after="0" w:line="240" w:lineRule="auto"/>
              <w:jc w:val="both"/>
              <w:rPr>
                <w:rFonts w:ascii="Times New Roman" w:hAnsi="Times New Roman" w:cs="Times New Roman"/>
                <w:noProof/>
                <w:color w:val="006100"/>
                <w:lang w:val="en-GB"/>
              </w:rPr>
            </w:pPr>
          </w:p>
        </w:tc>
        <w:tc>
          <w:tcPr>
            <w:tcW w:w="1701" w:type="dxa"/>
            <w:tcBorders>
              <w:top w:val="nil"/>
              <w:left w:val="nil"/>
              <w:bottom w:val="single" w:sz="4" w:space="0" w:color="auto"/>
              <w:right w:val="single" w:sz="4" w:space="0" w:color="auto"/>
            </w:tcBorders>
            <w:shd w:val="clear" w:color="auto" w:fill="C6EFCE"/>
            <w:noWrap/>
          </w:tcPr>
          <w:p w14:paraId="7FAF3A6C" w14:textId="77777777" w:rsidR="00ED27EC" w:rsidRPr="009674F2" w:rsidRDefault="00ED27EC" w:rsidP="00ED27EC">
            <w:pPr>
              <w:spacing w:after="0" w:line="240" w:lineRule="auto"/>
              <w:jc w:val="center"/>
              <w:rPr>
                <w:rFonts w:ascii="Times New Roman" w:hAnsi="Times New Roman" w:cs="Times New Roman"/>
                <w:noProof/>
                <w:color w:val="006100"/>
              </w:rPr>
            </w:pPr>
            <w:r>
              <w:rPr>
                <w:rFonts w:ascii="Times New Roman" w:hAnsi="Times New Roman"/>
                <w:noProof/>
                <w:color w:val="006100"/>
              </w:rPr>
              <w:t>Ключов етап</w:t>
            </w:r>
          </w:p>
        </w:tc>
        <w:tc>
          <w:tcPr>
            <w:tcW w:w="3541" w:type="dxa"/>
            <w:tcBorders>
              <w:top w:val="nil"/>
              <w:left w:val="nil"/>
              <w:bottom w:val="single" w:sz="4" w:space="0" w:color="auto"/>
              <w:right w:val="single" w:sz="4" w:space="0" w:color="auto"/>
            </w:tcBorders>
            <w:shd w:val="clear" w:color="auto" w:fill="C6EFCE"/>
            <w:noWrap/>
          </w:tcPr>
          <w:p w14:paraId="00614CAE" w14:textId="77777777" w:rsidR="00ED27EC" w:rsidRPr="009674F2" w:rsidRDefault="00ED27EC" w:rsidP="00ED27EC">
            <w:pPr>
              <w:spacing w:after="0"/>
              <w:rPr>
                <w:rFonts w:ascii="Times New Roman" w:hAnsi="Times New Roman" w:cs="Times New Roman"/>
                <w:noProof/>
                <w:color w:val="006100"/>
              </w:rPr>
            </w:pPr>
            <w:r>
              <w:rPr>
                <w:rFonts w:ascii="Times New Roman" w:hAnsi="Times New Roman"/>
                <w:noProof/>
                <w:color w:val="006100"/>
              </w:rPr>
              <w:t xml:space="preserve">Подписване на договори за енергийно-ефективно обновяване на многофамилни жилищни сгради </w:t>
            </w:r>
          </w:p>
        </w:tc>
      </w:tr>
      <w:tr w:rsidR="00ED27EC" w:rsidRPr="005241FC" w14:paraId="59786D30" w14:textId="77777777" w:rsidTr="14D66C95">
        <w:trPr>
          <w:trHeight w:val="302"/>
          <w:jc w:val="center"/>
        </w:trPr>
        <w:tc>
          <w:tcPr>
            <w:tcW w:w="1274" w:type="dxa"/>
            <w:tcBorders>
              <w:top w:val="nil"/>
              <w:left w:val="single" w:sz="4" w:space="0" w:color="auto"/>
              <w:bottom w:val="single" w:sz="4" w:space="0" w:color="auto"/>
              <w:right w:val="single" w:sz="4" w:space="0" w:color="auto"/>
            </w:tcBorders>
            <w:shd w:val="clear" w:color="auto" w:fill="C6EFCE"/>
            <w:noWrap/>
          </w:tcPr>
          <w:p w14:paraId="0F558949" w14:textId="77777777" w:rsidR="00ED27EC" w:rsidRPr="009674F2" w:rsidRDefault="00ED27EC" w:rsidP="00ED27EC">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77</w:t>
            </w:r>
          </w:p>
        </w:tc>
        <w:tc>
          <w:tcPr>
            <w:tcW w:w="3686" w:type="dxa"/>
            <w:tcBorders>
              <w:top w:val="nil"/>
              <w:left w:val="nil"/>
              <w:bottom w:val="single" w:sz="4" w:space="0" w:color="auto"/>
              <w:right w:val="single" w:sz="4" w:space="0" w:color="auto"/>
            </w:tcBorders>
            <w:shd w:val="clear" w:color="auto" w:fill="C6EFCE"/>
            <w:noWrap/>
          </w:tcPr>
          <w:p w14:paraId="5F80797A" w14:textId="77777777" w:rsidR="00ED27EC" w:rsidRPr="009674F2" w:rsidRDefault="00ED27EC" w:rsidP="00ED27EC">
            <w:pPr>
              <w:spacing w:after="0" w:line="240" w:lineRule="auto"/>
              <w:jc w:val="both"/>
              <w:rPr>
                <w:rFonts w:ascii="Times New Roman" w:eastAsia="Times New Roman" w:hAnsi="Times New Roman" w:cs="Times New Roman"/>
                <w:noProof/>
                <w:color w:val="006100"/>
                <w:highlight w:val="yellow"/>
              </w:rPr>
            </w:pPr>
            <w:r>
              <w:rPr>
                <w:rFonts w:ascii="Times New Roman" w:hAnsi="Times New Roman"/>
                <w:noProof/>
                <w:color w:val="006100"/>
              </w:rPr>
              <w:t xml:space="preserve">C4I2 Подкрепа за енергия от възобновяеми източници за домакинствата </w:t>
            </w:r>
          </w:p>
        </w:tc>
        <w:tc>
          <w:tcPr>
            <w:tcW w:w="1701" w:type="dxa"/>
            <w:tcBorders>
              <w:top w:val="nil"/>
              <w:left w:val="nil"/>
              <w:bottom w:val="single" w:sz="4" w:space="0" w:color="auto"/>
              <w:right w:val="single" w:sz="4" w:space="0" w:color="auto"/>
            </w:tcBorders>
            <w:shd w:val="clear" w:color="auto" w:fill="C6EFCE"/>
            <w:noWrap/>
          </w:tcPr>
          <w:p w14:paraId="5EC133DB" w14:textId="77777777" w:rsidR="00ED27EC" w:rsidRPr="009674F2" w:rsidRDefault="00ED27EC" w:rsidP="00ED27EC">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Ключов етап</w:t>
            </w:r>
          </w:p>
        </w:tc>
        <w:tc>
          <w:tcPr>
            <w:tcW w:w="3541" w:type="dxa"/>
            <w:tcBorders>
              <w:top w:val="nil"/>
              <w:left w:val="nil"/>
              <w:bottom w:val="single" w:sz="4" w:space="0" w:color="auto"/>
              <w:right w:val="single" w:sz="4" w:space="0" w:color="auto"/>
            </w:tcBorders>
            <w:shd w:val="clear" w:color="auto" w:fill="C6EFCE"/>
            <w:noWrap/>
          </w:tcPr>
          <w:p w14:paraId="34EF4009" w14:textId="77777777" w:rsidR="00ED27EC" w:rsidRPr="009674F2" w:rsidRDefault="00ED27EC" w:rsidP="00ED27EC">
            <w:pPr>
              <w:spacing w:after="0" w:line="240" w:lineRule="auto"/>
              <w:rPr>
                <w:rFonts w:ascii="Times New Roman" w:eastAsia="Times New Roman" w:hAnsi="Times New Roman" w:cs="Times New Roman"/>
                <w:noProof/>
                <w:color w:val="006100"/>
              </w:rPr>
            </w:pPr>
            <w:r>
              <w:rPr>
                <w:rFonts w:ascii="Times New Roman" w:hAnsi="Times New Roman"/>
                <w:noProof/>
                <w:color w:val="006100"/>
              </w:rPr>
              <w:t>Подписване на договори за инсталиране на възобновяеми енергийни източници (ВЕИ)</w:t>
            </w:r>
          </w:p>
        </w:tc>
      </w:tr>
      <w:tr w:rsidR="00340000" w:rsidRPr="005241FC" w14:paraId="4B0401A8" w14:textId="77777777" w:rsidTr="00E7285C">
        <w:trPr>
          <w:trHeight w:val="302"/>
          <w:jc w:val="center"/>
        </w:trPr>
        <w:tc>
          <w:tcPr>
            <w:tcW w:w="1274" w:type="dxa"/>
            <w:tcBorders>
              <w:top w:val="nil"/>
              <w:left w:val="single" w:sz="4" w:space="0" w:color="auto"/>
              <w:bottom w:val="single" w:sz="4" w:space="0" w:color="auto"/>
              <w:right w:val="single" w:sz="4" w:space="0" w:color="auto"/>
            </w:tcBorders>
            <w:shd w:val="clear" w:color="auto" w:fill="C6EFCE"/>
            <w:noWrap/>
          </w:tcPr>
          <w:p w14:paraId="448BCC3C" w14:textId="77D0EC06" w:rsidR="00340000" w:rsidRPr="009674F2" w:rsidRDefault="00340000" w:rsidP="00340000">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133</w:t>
            </w:r>
          </w:p>
        </w:tc>
        <w:tc>
          <w:tcPr>
            <w:tcW w:w="3686" w:type="dxa"/>
            <w:tcBorders>
              <w:top w:val="nil"/>
              <w:left w:val="nil"/>
              <w:bottom w:val="single" w:sz="4" w:space="0" w:color="auto"/>
              <w:right w:val="single" w:sz="4" w:space="0" w:color="auto"/>
            </w:tcBorders>
            <w:shd w:val="clear" w:color="auto" w:fill="C6EFCE"/>
            <w:noWrap/>
            <w:vAlign w:val="bottom"/>
          </w:tcPr>
          <w:p w14:paraId="422703D2" w14:textId="24FB8ED4" w:rsidR="00340000" w:rsidRPr="009674F2" w:rsidRDefault="00340000" w:rsidP="00340000">
            <w:pPr>
              <w:spacing w:after="0" w:line="240" w:lineRule="auto"/>
              <w:jc w:val="both"/>
              <w:rPr>
                <w:rFonts w:ascii="Times New Roman" w:hAnsi="Times New Roman" w:cs="Times New Roman"/>
                <w:noProof/>
                <w:color w:val="006100"/>
              </w:rPr>
            </w:pPr>
            <w:r>
              <w:rPr>
                <w:rFonts w:ascii="Times New Roman" w:hAnsi="Times New Roman"/>
                <w:noProof/>
                <w:color w:val="006100"/>
              </w:rPr>
              <w:t>C6I1 Фонд за насърчаване на технологичния и екологичен преход на селското стопанство</w:t>
            </w:r>
          </w:p>
        </w:tc>
        <w:tc>
          <w:tcPr>
            <w:tcW w:w="1701" w:type="dxa"/>
            <w:tcBorders>
              <w:top w:val="nil"/>
              <w:left w:val="nil"/>
              <w:bottom w:val="single" w:sz="4" w:space="0" w:color="auto"/>
              <w:right w:val="single" w:sz="4" w:space="0" w:color="auto"/>
            </w:tcBorders>
            <w:shd w:val="clear" w:color="auto" w:fill="C6EFCE"/>
            <w:noWrap/>
            <w:vAlign w:val="bottom"/>
          </w:tcPr>
          <w:p w14:paraId="6DCA69F3" w14:textId="61A31D2D" w:rsidR="00340000" w:rsidRPr="009674F2" w:rsidRDefault="00340000" w:rsidP="00340000">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Ключов етап</w:t>
            </w:r>
          </w:p>
        </w:tc>
        <w:tc>
          <w:tcPr>
            <w:tcW w:w="3541" w:type="dxa"/>
            <w:tcBorders>
              <w:top w:val="nil"/>
              <w:left w:val="nil"/>
              <w:bottom w:val="single" w:sz="4" w:space="0" w:color="auto"/>
              <w:right w:val="single" w:sz="4" w:space="0" w:color="auto"/>
            </w:tcBorders>
            <w:shd w:val="clear" w:color="auto" w:fill="C6EFCE"/>
            <w:noWrap/>
            <w:vAlign w:val="bottom"/>
          </w:tcPr>
          <w:p w14:paraId="094F873E" w14:textId="49A33019" w:rsidR="00340000" w:rsidRPr="009674F2" w:rsidRDefault="00340000" w:rsidP="00340000">
            <w:pPr>
              <w:spacing w:after="0" w:line="240" w:lineRule="auto"/>
              <w:rPr>
                <w:rFonts w:ascii="Times New Roman" w:eastAsia="Times New Roman" w:hAnsi="Times New Roman" w:cs="Times New Roman"/>
                <w:noProof/>
                <w:color w:val="006100"/>
              </w:rPr>
            </w:pPr>
            <w:r>
              <w:rPr>
                <w:rFonts w:ascii="Times New Roman" w:hAnsi="Times New Roman"/>
                <w:noProof/>
                <w:color w:val="006100"/>
              </w:rPr>
              <w:t>Сключване на споразумения за отпускане на безвъзмездни средства за подпомагане по линия на фонда с цел насърчаване на технологичния и екологичен преход на селското стопанство</w:t>
            </w:r>
          </w:p>
        </w:tc>
      </w:tr>
      <w:tr w:rsidR="00340000" w:rsidRPr="005241FC" w14:paraId="046D441A" w14:textId="77777777" w:rsidTr="14D66C95">
        <w:trPr>
          <w:trHeight w:val="302"/>
          <w:jc w:val="center"/>
        </w:trPr>
        <w:tc>
          <w:tcPr>
            <w:tcW w:w="1274" w:type="dxa"/>
            <w:tcBorders>
              <w:top w:val="nil"/>
              <w:left w:val="single" w:sz="4" w:space="0" w:color="auto"/>
              <w:bottom w:val="single" w:sz="4" w:space="0" w:color="auto"/>
              <w:right w:val="single" w:sz="4" w:space="0" w:color="auto"/>
            </w:tcBorders>
            <w:shd w:val="clear" w:color="auto" w:fill="C6EFCE"/>
            <w:noWrap/>
          </w:tcPr>
          <w:p w14:paraId="7C01B50F" w14:textId="77777777" w:rsidR="00340000" w:rsidRPr="009674F2" w:rsidRDefault="00340000" w:rsidP="00340000">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142</w:t>
            </w:r>
          </w:p>
        </w:tc>
        <w:tc>
          <w:tcPr>
            <w:tcW w:w="3686" w:type="dxa"/>
            <w:tcBorders>
              <w:top w:val="nil"/>
              <w:left w:val="nil"/>
              <w:bottom w:val="single" w:sz="4" w:space="0" w:color="auto"/>
              <w:right w:val="single" w:sz="4" w:space="0" w:color="auto"/>
            </w:tcBorders>
            <w:shd w:val="clear" w:color="auto" w:fill="C6EFCE"/>
            <w:noWrap/>
          </w:tcPr>
          <w:p w14:paraId="688BEC7E" w14:textId="77777777" w:rsidR="00340000" w:rsidRPr="009674F2" w:rsidRDefault="00340000" w:rsidP="00340000">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C7I1 Широкомащабно внедряване на цифрова инфраструктура</w:t>
            </w:r>
          </w:p>
        </w:tc>
        <w:tc>
          <w:tcPr>
            <w:tcW w:w="1701" w:type="dxa"/>
            <w:tcBorders>
              <w:top w:val="nil"/>
              <w:left w:val="nil"/>
              <w:bottom w:val="single" w:sz="4" w:space="0" w:color="auto"/>
              <w:right w:val="single" w:sz="4" w:space="0" w:color="auto"/>
            </w:tcBorders>
            <w:shd w:val="clear" w:color="auto" w:fill="C6EFCE"/>
            <w:noWrap/>
          </w:tcPr>
          <w:p w14:paraId="5AFC9B47" w14:textId="77777777" w:rsidR="00340000" w:rsidRPr="009674F2" w:rsidRDefault="00340000" w:rsidP="00340000">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Цел</w:t>
            </w:r>
          </w:p>
        </w:tc>
        <w:tc>
          <w:tcPr>
            <w:tcW w:w="3541" w:type="dxa"/>
            <w:tcBorders>
              <w:top w:val="nil"/>
              <w:left w:val="nil"/>
              <w:bottom w:val="single" w:sz="4" w:space="0" w:color="auto"/>
              <w:right w:val="single" w:sz="4" w:space="0" w:color="auto"/>
            </w:tcBorders>
            <w:shd w:val="clear" w:color="auto" w:fill="C6EFCE"/>
            <w:noWrap/>
          </w:tcPr>
          <w:p w14:paraId="27DDD626" w14:textId="77777777" w:rsidR="00340000" w:rsidRPr="009674F2" w:rsidRDefault="00340000" w:rsidP="00340000">
            <w:pPr>
              <w:spacing w:after="0" w:line="240" w:lineRule="auto"/>
              <w:rPr>
                <w:rFonts w:ascii="Times New Roman" w:eastAsia="Times New Roman" w:hAnsi="Times New Roman" w:cs="Times New Roman"/>
                <w:noProof/>
                <w:color w:val="006100"/>
              </w:rPr>
            </w:pPr>
            <w:r>
              <w:rPr>
                <w:rFonts w:ascii="Times New Roman" w:hAnsi="Times New Roman"/>
                <w:noProof/>
                <w:color w:val="006100"/>
              </w:rPr>
              <w:t>Точки за достъп с 10Gbps до държавната мрежа за доставчиците на услуги от общ интерес</w:t>
            </w:r>
          </w:p>
        </w:tc>
      </w:tr>
      <w:tr w:rsidR="00340000" w:rsidRPr="005241FC" w14:paraId="2C7B6193" w14:textId="77777777" w:rsidTr="14D66C95">
        <w:trPr>
          <w:trHeight w:val="302"/>
          <w:jc w:val="center"/>
        </w:trPr>
        <w:tc>
          <w:tcPr>
            <w:tcW w:w="1274" w:type="dxa"/>
            <w:tcBorders>
              <w:top w:val="nil"/>
              <w:left w:val="single" w:sz="4" w:space="0" w:color="auto"/>
              <w:bottom w:val="single" w:sz="4" w:space="0" w:color="auto"/>
              <w:right w:val="single" w:sz="4" w:space="0" w:color="auto"/>
            </w:tcBorders>
            <w:shd w:val="clear" w:color="auto" w:fill="C6EFCE"/>
            <w:noWrap/>
          </w:tcPr>
          <w:p w14:paraId="6EDA5A2E" w14:textId="77777777" w:rsidR="00340000" w:rsidRPr="009674F2" w:rsidRDefault="00340000" w:rsidP="00340000">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143</w:t>
            </w:r>
          </w:p>
        </w:tc>
        <w:tc>
          <w:tcPr>
            <w:tcW w:w="3686" w:type="dxa"/>
            <w:tcBorders>
              <w:top w:val="nil"/>
              <w:left w:val="nil"/>
              <w:bottom w:val="single" w:sz="4" w:space="0" w:color="auto"/>
              <w:right w:val="single" w:sz="4" w:space="0" w:color="auto"/>
            </w:tcBorders>
            <w:shd w:val="clear" w:color="auto" w:fill="C6EFCE"/>
            <w:noWrap/>
          </w:tcPr>
          <w:p w14:paraId="49C29484" w14:textId="77777777" w:rsidR="00340000" w:rsidRPr="009674F2" w:rsidRDefault="00340000" w:rsidP="00340000">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C7I1 Широкомащабно внедряване на цифрова инфраструктура</w:t>
            </w:r>
          </w:p>
        </w:tc>
        <w:tc>
          <w:tcPr>
            <w:tcW w:w="1701" w:type="dxa"/>
            <w:tcBorders>
              <w:top w:val="nil"/>
              <w:left w:val="nil"/>
              <w:bottom w:val="single" w:sz="4" w:space="0" w:color="auto"/>
              <w:right w:val="single" w:sz="4" w:space="0" w:color="auto"/>
            </w:tcBorders>
            <w:shd w:val="clear" w:color="auto" w:fill="C6EFCE"/>
            <w:noWrap/>
          </w:tcPr>
          <w:p w14:paraId="48C864E5" w14:textId="77777777" w:rsidR="00340000" w:rsidRPr="009674F2" w:rsidRDefault="00340000" w:rsidP="00340000">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Цел</w:t>
            </w:r>
          </w:p>
        </w:tc>
        <w:tc>
          <w:tcPr>
            <w:tcW w:w="3541" w:type="dxa"/>
            <w:tcBorders>
              <w:top w:val="nil"/>
              <w:left w:val="nil"/>
              <w:bottom w:val="single" w:sz="4" w:space="0" w:color="auto"/>
              <w:right w:val="single" w:sz="4" w:space="0" w:color="auto"/>
            </w:tcBorders>
            <w:shd w:val="clear" w:color="auto" w:fill="C6EFCE"/>
            <w:noWrap/>
          </w:tcPr>
          <w:p w14:paraId="4AD36FF8" w14:textId="77777777" w:rsidR="00340000" w:rsidRPr="009674F2" w:rsidRDefault="00340000" w:rsidP="00340000">
            <w:pPr>
              <w:spacing w:after="0" w:line="240" w:lineRule="auto"/>
              <w:rPr>
                <w:rFonts w:ascii="Times New Roman" w:eastAsia="Times New Roman" w:hAnsi="Times New Roman" w:cs="Times New Roman"/>
                <w:noProof/>
                <w:color w:val="006100"/>
              </w:rPr>
            </w:pPr>
            <w:r>
              <w:rPr>
                <w:rFonts w:ascii="Times New Roman" w:hAnsi="Times New Roman"/>
                <w:noProof/>
                <w:color w:val="006100"/>
              </w:rPr>
              <w:t>Точки за достъп с 200Gbps в университети и научни институти, свързани с мрежата GEANT</w:t>
            </w:r>
          </w:p>
        </w:tc>
      </w:tr>
      <w:tr w:rsidR="00340000" w:rsidRPr="005241FC" w14:paraId="0D8E10FC" w14:textId="77777777" w:rsidTr="14D66C95">
        <w:trPr>
          <w:trHeight w:val="302"/>
          <w:jc w:val="center"/>
        </w:trPr>
        <w:tc>
          <w:tcPr>
            <w:tcW w:w="1274" w:type="dxa"/>
            <w:tcBorders>
              <w:top w:val="nil"/>
              <w:left w:val="single" w:sz="4" w:space="0" w:color="auto"/>
              <w:bottom w:val="single" w:sz="4" w:space="0" w:color="auto"/>
              <w:right w:val="single" w:sz="4" w:space="0" w:color="auto"/>
            </w:tcBorders>
            <w:shd w:val="clear" w:color="auto" w:fill="C6EFCE"/>
            <w:noWrap/>
          </w:tcPr>
          <w:p w14:paraId="145B0E23" w14:textId="77777777" w:rsidR="00340000" w:rsidRPr="009674F2" w:rsidRDefault="00340000" w:rsidP="00340000">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149</w:t>
            </w:r>
          </w:p>
        </w:tc>
        <w:tc>
          <w:tcPr>
            <w:tcW w:w="3686" w:type="dxa"/>
            <w:tcBorders>
              <w:top w:val="nil"/>
              <w:left w:val="nil"/>
              <w:bottom w:val="single" w:sz="4" w:space="0" w:color="auto"/>
              <w:right w:val="single" w:sz="4" w:space="0" w:color="auto"/>
            </w:tcBorders>
            <w:shd w:val="clear" w:color="auto" w:fill="C6EFCE"/>
            <w:noWrap/>
          </w:tcPr>
          <w:p w14:paraId="0439FE01" w14:textId="77777777" w:rsidR="00340000" w:rsidRPr="009674F2" w:rsidRDefault="00340000" w:rsidP="00340000">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C7I2 Изграждане, развитие и оптимизиране на цифровата система TETRA и радиорелейната мрежа</w:t>
            </w:r>
          </w:p>
        </w:tc>
        <w:tc>
          <w:tcPr>
            <w:tcW w:w="1701" w:type="dxa"/>
            <w:tcBorders>
              <w:top w:val="nil"/>
              <w:left w:val="nil"/>
              <w:bottom w:val="single" w:sz="4" w:space="0" w:color="auto"/>
              <w:right w:val="single" w:sz="4" w:space="0" w:color="auto"/>
            </w:tcBorders>
            <w:shd w:val="clear" w:color="auto" w:fill="C6EFCE"/>
            <w:noWrap/>
          </w:tcPr>
          <w:p w14:paraId="3FD22310" w14:textId="77777777" w:rsidR="00340000" w:rsidRPr="009674F2" w:rsidRDefault="00340000" w:rsidP="00340000">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Цел</w:t>
            </w:r>
          </w:p>
        </w:tc>
        <w:tc>
          <w:tcPr>
            <w:tcW w:w="3541" w:type="dxa"/>
            <w:tcBorders>
              <w:top w:val="nil"/>
              <w:left w:val="nil"/>
              <w:bottom w:val="single" w:sz="4" w:space="0" w:color="auto"/>
              <w:right w:val="single" w:sz="4" w:space="0" w:color="auto"/>
            </w:tcBorders>
            <w:shd w:val="clear" w:color="auto" w:fill="C6EFCE"/>
            <w:noWrap/>
          </w:tcPr>
          <w:p w14:paraId="7B97E737" w14:textId="77777777" w:rsidR="00340000" w:rsidRPr="009674F2" w:rsidRDefault="00340000" w:rsidP="00340000">
            <w:pPr>
              <w:spacing w:after="0" w:line="240" w:lineRule="auto"/>
              <w:rPr>
                <w:rFonts w:ascii="Times New Roman" w:eastAsia="Times New Roman" w:hAnsi="Times New Roman" w:cs="Times New Roman"/>
                <w:noProof/>
                <w:color w:val="006100"/>
              </w:rPr>
            </w:pPr>
            <w:r>
              <w:rPr>
                <w:rFonts w:ascii="Times New Roman" w:hAnsi="Times New Roman"/>
                <w:noProof/>
                <w:color w:val="006100"/>
              </w:rPr>
              <w:t>Доставени устройства и оборудване за крайния потребител</w:t>
            </w:r>
          </w:p>
        </w:tc>
      </w:tr>
      <w:tr w:rsidR="00340000" w:rsidRPr="005241FC" w14:paraId="4BCA1311" w14:textId="77777777" w:rsidTr="14D66C95">
        <w:trPr>
          <w:trHeight w:val="302"/>
          <w:jc w:val="center"/>
        </w:trPr>
        <w:tc>
          <w:tcPr>
            <w:tcW w:w="1274" w:type="dxa"/>
            <w:tcBorders>
              <w:top w:val="nil"/>
              <w:left w:val="single" w:sz="4" w:space="0" w:color="auto"/>
              <w:bottom w:val="single" w:sz="4" w:space="0" w:color="auto"/>
              <w:right w:val="single" w:sz="4" w:space="0" w:color="auto"/>
            </w:tcBorders>
            <w:shd w:val="clear" w:color="auto" w:fill="C6EFCE"/>
            <w:noWrap/>
            <w:hideMark/>
          </w:tcPr>
          <w:p w14:paraId="7CAE35D5" w14:textId="77777777" w:rsidR="00340000" w:rsidRPr="009674F2" w:rsidRDefault="00340000" w:rsidP="00340000">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182</w:t>
            </w:r>
          </w:p>
        </w:tc>
        <w:tc>
          <w:tcPr>
            <w:tcW w:w="3686" w:type="dxa"/>
            <w:tcBorders>
              <w:top w:val="nil"/>
              <w:left w:val="nil"/>
              <w:bottom w:val="single" w:sz="4" w:space="0" w:color="auto"/>
              <w:right w:val="single" w:sz="4" w:space="0" w:color="auto"/>
            </w:tcBorders>
            <w:shd w:val="clear" w:color="auto" w:fill="C6EFCE"/>
            <w:noWrap/>
            <w:hideMark/>
          </w:tcPr>
          <w:p w14:paraId="4254314D" w14:textId="77777777" w:rsidR="00340000" w:rsidRPr="009674F2" w:rsidRDefault="00340000" w:rsidP="00340000">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C8R5 Електрическа мобилност</w:t>
            </w:r>
          </w:p>
        </w:tc>
        <w:tc>
          <w:tcPr>
            <w:tcW w:w="1701" w:type="dxa"/>
            <w:tcBorders>
              <w:top w:val="nil"/>
              <w:left w:val="nil"/>
              <w:bottom w:val="single" w:sz="4" w:space="0" w:color="auto"/>
              <w:right w:val="single" w:sz="4" w:space="0" w:color="auto"/>
            </w:tcBorders>
            <w:shd w:val="clear" w:color="auto" w:fill="C6EFCE"/>
            <w:noWrap/>
            <w:hideMark/>
          </w:tcPr>
          <w:p w14:paraId="32F439CE" w14:textId="77777777" w:rsidR="00340000" w:rsidRPr="009674F2" w:rsidRDefault="00340000" w:rsidP="00340000">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Цел</w:t>
            </w:r>
          </w:p>
        </w:tc>
        <w:tc>
          <w:tcPr>
            <w:tcW w:w="3541" w:type="dxa"/>
            <w:tcBorders>
              <w:top w:val="nil"/>
              <w:left w:val="nil"/>
              <w:bottom w:val="single" w:sz="4" w:space="0" w:color="auto"/>
              <w:right w:val="single" w:sz="4" w:space="0" w:color="auto"/>
            </w:tcBorders>
            <w:shd w:val="clear" w:color="auto" w:fill="C6EFCE"/>
            <w:noWrap/>
            <w:hideMark/>
          </w:tcPr>
          <w:p w14:paraId="5E5A5DB7" w14:textId="77777777" w:rsidR="00340000" w:rsidRPr="009674F2" w:rsidRDefault="00340000" w:rsidP="00340000">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Регистрирани превозни средства с нулеви и ниски емисии</w:t>
            </w:r>
          </w:p>
        </w:tc>
      </w:tr>
      <w:tr w:rsidR="00340000" w:rsidRPr="00F41C75" w14:paraId="4A616D3E" w14:textId="77777777" w:rsidTr="14D66C95">
        <w:trPr>
          <w:trHeight w:val="302"/>
          <w:jc w:val="center"/>
        </w:trPr>
        <w:tc>
          <w:tcPr>
            <w:tcW w:w="1274" w:type="dxa"/>
            <w:tcBorders>
              <w:top w:val="nil"/>
              <w:left w:val="single" w:sz="4" w:space="0" w:color="auto"/>
              <w:bottom w:val="single" w:sz="4" w:space="0" w:color="auto"/>
              <w:right w:val="single" w:sz="4" w:space="0" w:color="auto"/>
            </w:tcBorders>
            <w:shd w:val="clear" w:color="auto" w:fill="C6EFCE"/>
            <w:noWrap/>
          </w:tcPr>
          <w:p w14:paraId="224A47FF" w14:textId="77777777" w:rsidR="00340000" w:rsidRPr="009674F2" w:rsidRDefault="00340000" w:rsidP="00340000">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203</w:t>
            </w:r>
          </w:p>
        </w:tc>
        <w:tc>
          <w:tcPr>
            <w:tcW w:w="3686" w:type="dxa"/>
            <w:tcBorders>
              <w:top w:val="nil"/>
              <w:left w:val="nil"/>
              <w:bottom w:val="single" w:sz="4" w:space="0" w:color="auto"/>
              <w:right w:val="single" w:sz="4" w:space="0" w:color="auto"/>
            </w:tcBorders>
            <w:shd w:val="clear" w:color="auto" w:fill="C6EFCE"/>
            <w:noWrap/>
          </w:tcPr>
          <w:p w14:paraId="16B8CCCB" w14:textId="77777777" w:rsidR="00340000" w:rsidRPr="009674F2" w:rsidRDefault="00340000" w:rsidP="00340000">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C8I7 Пилотна схема за устойчива градска мобилност</w:t>
            </w:r>
          </w:p>
        </w:tc>
        <w:tc>
          <w:tcPr>
            <w:tcW w:w="1701" w:type="dxa"/>
            <w:tcBorders>
              <w:top w:val="nil"/>
              <w:left w:val="nil"/>
              <w:bottom w:val="single" w:sz="4" w:space="0" w:color="auto"/>
              <w:right w:val="single" w:sz="4" w:space="0" w:color="auto"/>
            </w:tcBorders>
            <w:shd w:val="clear" w:color="auto" w:fill="C6EFCE"/>
            <w:noWrap/>
          </w:tcPr>
          <w:p w14:paraId="4A954257" w14:textId="77777777" w:rsidR="00340000" w:rsidRPr="009674F2" w:rsidRDefault="00340000" w:rsidP="00340000">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Цел</w:t>
            </w:r>
          </w:p>
        </w:tc>
        <w:tc>
          <w:tcPr>
            <w:tcW w:w="3541" w:type="dxa"/>
            <w:tcBorders>
              <w:top w:val="nil"/>
              <w:left w:val="nil"/>
              <w:bottom w:val="single" w:sz="4" w:space="0" w:color="auto"/>
              <w:right w:val="single" w:sz="4" w:space="0" w:color="auto"/>
            </w:tcBorders>
            <w:shd w:val="clear" w:color="auto" w:fill="C6EFCE"/>
            <w:noWrap/>
          </w:tcPr>
          <w:p w14:paraId="5B1EDF17" w14:textId="77777777" w:rsidR="00340000" w:rsidRPr="009674F2" w:rsidRDefault="00340000" w:rsidP="00340000">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Нови превозни средства с нулеви емисии </w:t>
            </w:r>
          </w:p>
        </w:tc>
      </w:tr>
      <w:tr w:rsidR="00340000" w:rsidRPr="005241FC" w14:paraId="1DC5CBC7" w14:textId="77777777" w:rsidTr="14D66C95">
        <w:trPr>
          <w:trHeight w:val="302"/>
          <w:jc w:val="center"/>
        </w:trPr>
        <w:tc>
          <w:tcPr>
            <w:tcW w:w="1274" w:type="dxa"/>
            <w:tcBorders>
              <w:top w:val="nil"/>
              <w:left w:val="single" w:sz="4" w:space="0" w:color="auto"/>
              <w:bottom w:val="single" w:sz="4" w:space="0" w:color="auto"/>
              <w:right w:val="single" w:sz="4" w:space="0" w:color="auto"/>
            </w:tcBorders>
            <w:shd w:val="clear" w:color="auto" w:fill="C6EFCE"/>
            <w:noWrap/>
            <w:hideMark/>
          </w:tcPr>
          <w:p w14:paraId="16A8AEFB" w14:textId="77777777" w:rsidR="00340000" w:rsidRPr="009674F2" w:rsidRDefault="00340000" w:rsidP="00340000">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206</w:t>
            </w:r>
          </w:p>
        </w:tc>
        <w:tc>
          <w:tcPr>
            <w:tcW w:w="3686" w:type="dxa"/>
            <w:tcBorders>
              <w:top w:val="nil"/>
              <w:left w:val="nil"/>
              <w:bottom w:val="single" w:sz="4" w:space="0" w:color="auto"/>
              <w:right w:val="single" w:sz="4" w:space="0" w:color="auto"/>
            </w:tcBorders>
            <w:shd w:val="clear" w:color="auto" w:fill="C6EFCE"/>
            <w:noWrap/>
            <w:hideMark/>
          </w:tcPr>
          <w:p w14:paraId="604D8349" w14:textId="77777777" w:rsidR="00340000" w:rsidRPr="009674F2" w:rsidRDefault="00340000" w:rsidP="00340000">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C8I7 Пилотна схема за устойчива градска мобилност</w:t>
            </w:r>
          </w:p>
        </w:tc>
        <w:tc>
          <w:tcPr>
            <w:tcW w:w="1701" w:type="dxa"/>
            <w:tcBorders>
              <w:top w:val="nil"/>
              <w:left w:val="nil"/>
              <w:bottom w:val="single" w:sz="4" w:space="0" w:color="auto"/>
              <w:right w:val="single" w:sz="4" w:space="0" w:color="auto"/>
            </w:tcBorders>
            <w:shd w:val="clear" w:color="auto" w:fill="C6EFCE"/>
            <w:noWrap/>
            <w:hideMark/>
          </w:tcPr>
          <w:p w14:paraId="18B278E4" w14:textId="77777777" w:rsidR="00340000" w:rsidRPr="009674F2" w:rsidRDefault="00340000" w:rsidP="00340000">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Ключов етап</w:t>
            </w:r>
          </w:p>
        </w:tc>
        <w:tc>
          <w:tcPr>
            <w:tcW w:w="3541" w:type="dxa"/>
            <w:tcBorders>
              <w:top w:val="nil"/>
              <w:left w:val="nil"/>
              <w:bottom w:val="single" w:sz="4" w:space="0" w:color="auto"/>
              <w:right w:val="single" w:sz="4" w:space="0" w:color="auto"/>
            </w:tcBorders>
            <w:shd w:val="clear" w:color="auto" w:fill="C6EFCE"/>
            <w:noWrap/>
            <w:hideMark/>
          </w:tcPr>
          <w:p w14:paraId="11D46F7D" w14:textId="77777777" w:rsidR="00340000" w:rsidRPr="009674F2" w:rsidRDefault="00340000" w:rsidP="00340000">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Инфраструктура за безопасна градска мобилност, насочена към уязвимите участници в пътното движение — пешеходци и велосипедисти</w:t>
            </w:r>
          </w:p>
        </w:tc>
      </w:tr>
      <w:tr w:rsidR="00340000" w:rsidRPr="005241FC" w14:paraId="67D7A7CE" w14:textId="77777777" w:rsidTr="14D66C95">
        <w:trPr>
          <w:trHeight w:val="302"/>
          <w:jc w:val="center"/>
        </w:trPr>
        <w:tc>
          <w:tcPr>
            <w:tcW w:w="1274" w:type="dxa"/>
            <w:tcBorders>
              <w:top w:val="nil"/>
              <w:left w:val="single" w:sz="4" w:space="0" w:color="auto"/>
              <w:bottom w:val="single" w:sz="4" w:space="0" w:color="auto"/>
              <w:right w:val="single" w:sz="4" w:space="0" w:color="auto"/>
            </w:tcBorders>
            <w:shd w:val="clear" w:color="auto" w:fill="C6EFCE"/>
            <w:noWrap/>
          </w:tcPr>
          <w:p w14:paraId="48276211" w14:textId="77777777" w:rsidR="00340000" w:rsidRPr="009674F2" w:rsidRDefault="00340000" w:rsidP="00340000">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176</w:t>
            </w:r>
          </w:p>
        </w:tc>
        <w:tc>
          <w:tcPr>
            <w:tcW w:w="3686" w:type="dxa"/>
            <w:tcBorders>
              <w:top w:val="nil"/>
              <w:left w:val="nil"/>
              <w:bottom w:val="single" w:sz="4" w:space="0" w:color="auto"/>
              <w:right w:val="single" w:sz="4" w:space="0" w:color="auto"/>
            </w:tcBorders>
            <w:shd w:val="clear" w:color="auto" w:fill="C6EFCE"/>
            <w:noWrap/>
          </w:tcPr>
          <w:p w14:paraId="29E9F8AC" w14:textId="77777777" w:rsidR="00340000" w:rsidRPr="009674F2" w:rsidRDefault="00340000" w:rsidP="00340000">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C8R4 Интегриран обществен транспорт</w:t>
            </w:r>
          </w:p>
        </w:tc>
        <w:tc>
          <w:tcPr>
            <w:tcW w:w="1701" w:type="dxa"/>
            <w:tcBorders>
              <w:top w:val="nil"/>
              <w:left w:val="nil"/>
              <w:bottom w:val="single" w:sz="4" w:space="0" w:color="auto"/>
              <w:right w:val="single" w:sz="4" w:space="0" w:color="auto"/>
            </w:tcBorders>
            <w:shd w:val="clear" w:color="auto" w:fill="C6EFCE"/>
            <w:noWrap/>
          </w:tcPr>
          <w:p w14:paraId="0FF5B7CD" w14:textId="77777777" w:rsidR="00340000" w:rsidRPr="009674F2" w:rsidRDefault="00340000" w:rsidP="00340000">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Ключов етап</w:t>
            </w:r>
          </w:p>
        </w:tc>
        <w:tc>
          <w:tcPr>
            <w:tcW w:w="3541" w:type="dxa"/>
            <w:tcBorders>
              <w:top w:val="nil"/>
              <w:left w:val="nil"/>
              <w:bottom w:val="single" w:sz="4" w:space="0" w:color="auto"/>
              <w:right w:val="single" w:sz="4" w:space="0" w:color="auto"/>
            </w:tcBorders>
            <w:shd w:val="clear" w:color="auto" w:fill="C6EFCE"/>
            <w:noWrap/>
          </w:tcPr>
          <w:p w14:paraId="6098FABA" w14:textId="77777777" w:rsidR="00340000" w:rsidRPr="009674F2" w:rsidRDefault="00340000" w:rsidP="00340000">
            <w:pPr>
              <w:spacing w:after="0" w:line="240" w:lineRule="auto"/>
              <w:rPr>
                <w:rFonts w:ascii="Times New Roman" w:eastAsia="Times New Roman" w:hAnsi="Times New Roman" w:cs="Times New Roman"/>
                <w:noProof/>
                <w:color w:val="006100"/>
              </w:rPr>
            </w:pPr>
            <w:r>
              <w:rPr>
                <w:rFonts w:ascii="Times New Roman" w:hAnsi="Times New Roman"/>
                <w:noProof/>
                <w:color w:val="006100"/>
              </w:rPr>
              <w:t>Нова нормативна уредба за обществения транспорт</w:t>
            </w:r>
          </w:p>
        </w:tc>
      </w:tr>
      <w:tr w:rsidR="00340000" w:rsidRPr="005241FC" w14:paraId="640C2EE7" w14:textId="77777777" w:rsidTr="14D66C95">
        <w:trPr>
          <w:trHeight w:val="302"/>
          <w:jc w:val="center"/>
        </w:trPr>
        <w:tc>
          <w:tcPr>
            <w:tcW w:w="1274" w:type="dxa"/>
            <w:tcBorders>
              <w:top w:val="nil"/>
              <w:left w:val="single" w:sz="4" w:space="0" w:color="auto"/>
              <w:bottom w:val="single" w:sz="4" w:space="0" w:color="auto"/>
              <w:right w:val="single" w:sz="4" w:space="0" w:color="auto"/>
            </w:tcBorders>
            <w:shd w:val="clear" w:color="auto" w:fill="C6EFCE"/>
            <w:noWrap/>
            <w:hideMark/>
          </w:tcPr>
          <w:p w14:paraId="574D7BCD" w14:textId="77777777" w:rsidR="00340000" w:rsidRPr="009674F2" w:rsidRDefault="00340000" w:rsidP="00340000">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224</w:t>
            </w:r>
          </w:p>
        </w:tc>
        <w:tc>
          <w:tcPr>
            <w:tcW w:w="3686" w:type="dxa"/>
            <w:tcBorders>
              <w:top w:val="nil"/>
              <w:left w:val="nil"/>
              <w:bottom w:val="single" w:sz="4" w:space="0" w:color="auto"/>
              <w:right w:val="single" w:sz="4" w:space="0" w:color="auto"/>
            </w:tcBorders>
            <w:shd w:val="clear" w:color="auto" w:fill="C6EFCE"/>
            <w:noWrap/>
            <w:hideMark/>
          </w:tcPr>
          <w:p w14:paraId="52934BE0" w14:textId="77777777" w:rsidR="00340000" w:rsidRPr="009674F2" w:rsidRDefault="00340000" w:rsidP="00340000">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C10R2 Противодействие на корупцията</w:t>
            </w:r>
          </w:p>
        </w:tc>
        <w:tc>
          <w:tcPr>
            <w:tcW w:w="1701" w:type="dxa"/>
            <w:tcBorders>
              <w:top w:val="nil"/>
              <w:left w:val="nil"/>
              <w:bottom w:val="single" w:sz="4" w:space="0" w:color="auto"/>
              <w:right w:val="single" w:sz="4" w:space="0" w:color="auto"/>
            </w:tcBorders>
            <w:shd w:val="clear" w:color="auto" w:fill="C6EFCE"/>
            <w:noWrap/>
            <w:hideMark/>
          </w:tcPr>
          <w:p w14:paraId="77D2B97F" w14:textId="77777777" w:rsidR="00340000" w:rsidRPr="009674F2" w:rsidRDefault="00340000" w:rsidP="00340000">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Ключов етап</w:t>
            </w:r>
          </w:p>
        </w:tc>
        <w:tc>
          <w:tcPr>
            <w:tcW w:w="3541" w:type="dxa"/>
            <w:tcBorders>
              <w:top w:val="nil"/>
              <w:left w:val="nil"/>
              <w:bottom w:val="single" w:sz="4" w:space="0" w:color="auto"/>
              <w:right w:val="single" w:sz="4" w:space="0" w:color="auto"/>
            </w:tcBorders>
            <w:shd w:val="clear" w:color="auto" w:fill="C6EFCE"/>
            <w:noWrap/>
            <w:hideMark/>
          </w:tcPr>
          <w:p w14:paraId="6A233745" w14:textId="77777777" w:rsidR="00340000" w:rsidRPr="009674F2" w:rsidRDefault="00340000" w:rsidP="00340000">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Въвеждане на инструменти за противодействие на корупцията и за повишаване на почтеността в дейността на държавните предприятия </w:t>
            </w:r>
          </w:p>
        </w:tc>
      </w:tr>
      <w:tr w:rsidR="00340000" w:rsidRPr="005241FC" w14:paraId="5F3EFCA1" w14:textId="77777777" w:rsidTr="14D66C95">
        <w:trPr>
          <w:trHeight w:val="302"/>
          <w:jc w:val="center"/>
        </w:trPr>
        <w:tc>
          <w:tcPr>
            <w:tcW w:w="1274" w:type="dxa"/>
            <w:tcBorders>
              <w:top w:val="nil"/>
              <w:left w:val="single" w:sz="4" w:space="0" w:color="auto"/>
              <w:bottom w:val="single" w:sz="4" w:space="0" w:color="auto"/>
              <w:right w:val="single" w:sz="4" w:space="0" w:color="auto"/>
            </w:tcBorders>
            <w:shd w:val="clear" w:color="auto" w:fill="C6EFCE"/>
            <w:noWrap/>
          </w:tcPr>
          <w:p w14:paraId="688422B7" w14:textId="496CB6CA" w:rsidR="00340000" w:rsidRPr="009674F2" w:rsidRDefault="00340000" w:rsidP="00340000">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233</w:t>
            </w:r>
          </w:p>
        </w:tc>
        <w:tc>
          <w:tcPr>
            <w:tcW w:w="3686" w:type="dxa"/>
            <w:tcBorders>
              <w:top w:val="nil"/>
              <w:left w:val="nil"/>
              <w:bottom w:val="single" w:sz="4" w:space="0" w:color="auto"/>
              <w:right w:val="single" w:sz="4" w:space="0" w:color="auto"/>
            </w:tcBorders>
            <w:shd w:val="clear" w:color="auto" w:fill="C6EFCE"/>
            <w:noWrap/>
          </w:tcPr>
          <w:p w14:paraId="3034ABEF" w14:textId="6AAD38E0" w:rsidR="00340000" w:rsidRPr="00E7285C" w:rsidRDefault="00340000" w:rsidP="00340000">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C10R6 Регистрова реформа за разгръщане потенциала на електронното управление за подобряване на бизнес средата</w:t>
            </w:r>
          </w:p>
        </w:tc>
        <w:tc>
          <w:tcPr>
            <w:tcW w:w="1701" w:type="dxa"/>
            <w:tcBorders>
              <w:top w:val="nil"/>
              <w:left w:val="nil"/>
              <w:bottom w:val="single" w:sz="4" w:space="0" w:color="auto"/>
              <w:right w:val="single" w:sz="4" w:space="0" w:color="auto"/>
            </w:tcBorders>
            <w:shd w:val="clear" w:color="auto" w:fill="C6EFCE"/>
            <w:noWrap/>
          </w:tcPr>
          <w:p w14:paraId="6FB4C76A" w14:textId="126BCCE2" w:rsidR="00340000" w:rsidRPr="009674F2" w:rsidRDefault="00340000" w:rsidP="00340000">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Ключов етап</w:t>
            </w:r>
          </w:p>
        </w:tc>
        <w:tc>
          <w:tcPr>
            <w:tcW w:w="3541" w:type="dxa"/>
            <w:tcBorders>
              <w:top w:val="nil"/>
              <w:left w:val="nil"/>
              <w:bottom w:val="single" w:sz="4" w:space="0" w:color="auto"/>
              <w:right w:val="single" w:sz="4" w:space="0" w:color="auto"/>
            </w:tcBorders>
            <w:shd w:val="clear" w:color="auto" w:fill="C6EFCE"/>
            <w:noWrap/>
          </w:tcPr>
          <w:p w14:paraId="05531450" w14:textId="4C9FB5F8" w:rsidR="00340000" w:rsidRPr="009674F2" w:rsidRDefault="00340000" w:rsidP="00340000">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Влизане в сила на измененията в Закона за електронното управление и Закона за гражданската регистрация </w:t>
            </w:r>
          </w:p>
        </w:tc>
      </w:tr>
      <w:tr w:rsidR="00340000" w:rsidRPr="005241FC" w14:paraId="23B5BF33" w14:textId="77777777" w:rsidTr="14D66C95">
        <w:trPr>
          <w:trHeight w:val="302"/>
          <w:jc w:val="center"/>
        </w:trPr>
        <w:tc>
          <w:tcPr>
            <w:tcW w:w="1274" w:type="dxa"/>
            <w:tcBorders>
              <w:top w:val="nil"/>
              <w:left w:val="single" w:sz="4" w:space="0" w:color="auto"/>
              <w:bottom w:val="single" w:sz="4" w:space="0" w:color="auto"/>
              <w:right w:val="single" w:sz="4" w:space="0" w:color="auto"/>
            </w:tcBorders>
            <w:shd w:val="clear" w:color="auto" w:fill="C6EFCE"/>
            <w:noWrap/>
          </w:tcPr>
          <w:p w14:paraId="2B1CF5C2" w14:textId="77777777" w:rsidR="00340000" w:rsidRPr="009674F2" w:rsidRDefault="00340000" w:rsidP="00340000">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274</w:t>
            </w:r>
          </w:p>
        </w:tc>
        <w:tc>
          <w:tcPr>
            <w:tcW w:w="3686" w:type="dxa"/>
            <w:tcBorders>
              <w:top w:val="nil"/>
              <w:left w:val="nil"/>
              <w:bottom w:val="single" w:sz="4" w:space="0" w:color="auto"/>
              <w:right w:val="single" w:sz="4" w:space="0" w:color="auto"/>
            </w:tcBorders>
            <w:shd w:val="clear" w:color="auto" w:fill="C6EFCE"/>
            <w:noWrap/>
          </w:tcPr>
          <w:p w14:paraId="110CCD2D" w14:textId="77777777" w:rsidR="00340000" w:rsidRPr="009674F2" w:rsidRDefault="00340000" w:rsidP="00340000">
            <w:pPr>
              <w:spacing w:after="0" w:line="240" w:lineRule="auto"/>
              <w:jc w:val="both"/>
              <w:rPr>
                <w:rFonts w:ascii="Times New Roman" w:eastAsia="Times New Roman" w:hAnsi="Times New Roman" w:cs="Times New Roman"/>
                <w:noProof/>
                <w:color w:val="006100"/>
                <w:highlight w:val="yellow"/>
              </w:rPr>
            </w:pPr>
            <w:r>
              <w:rPr>
                <w:rFonts w:ascii="Times New Roman" w:hAnsi="Times New Roman"/>
                <w:noProof/>
                <w:color w:val="006100"/>
              </w:rPr>
              <w:t>C10I8 Пространствен мониторинг, контрол и управление чрез модернизиране на Центъра за аерокосмическо наблюдение (ЦАН)</w:t>
            </w:r>
          </w:p>
        </w:tc>
        <w:tc>
          <w:tcPr>
            <w:tcW w:w="1701" w:type="dxa"/>
            <w:tcBorders>
              <w:top w:val="nil"/>
              <w:left w:val="nil"/>
              <w:bottom w:val="single" w:sz="4" w:space="0" w:color="auto"/>
              <w:right w:val="single" w:sz="4" w:space="0" w:color="auto"/>
            </w:tcBorders>
            <w:shd w:val="clear" w:color="auto" w:fill="C6EFCE"/>
            <w:noWrap/>
          </w:tcPr>
          <w:p w14:paraId="3327E594" w14:textId="77777777" w:rsidR="00340000" w:rsidRPr="009674F2" w:rsidRDefault="00340000" w:rsidP="00340000">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Ключов етап</w:t>
            </w:r>
          </w:p>
        </w:tc>
        <w:tc>
          <w:tcPr>
            <w:tcW w:w="3541" w:type="dxa"/>
            <w:tcBorders>
              <w:top w:val="nil"/>
              <w:left w:val="nil"/>
              <w:bottom w:val="single" w:sz="4" w:space="0" w:color="auto"/>
              <w:right w:val="single" w:sz="4" w:space="0" w:color="auto"/>
            </w:tcBorders>
            <w:shd w:val="clear" w:color="auto" w:fill="C6EFCE"/>
            <w:noWrap/>
          </w:tcPr>
          <w:p w14:paraId="1C9F3B61" w14:textId="77777777" w:rsidR="00340000" w:rsidRPr="009674F2" w:rsidRDefault="00340000" w:rsidP="00340000">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Изграждане и разширяване на капацитета на центровете за данни към Министерството на вътрешните работи</w:t>
            </w:r>
          </w:p>
        </w:tc>
      </w:tr>
      <w:tr w:rsidR="00340000" w:rsidRPr="005241FC" w14:paraId="0BE4452D" w14:textId="77777777" w:rsidTr="14D66C95">
        <w:trPr>
          <w:trHeight w:val="302"/>
          <w:jc w:val="center"/>
        </w:trPr>
        <w:tc>
          <w:tcPr>
            <w:tcW w:w="1274" w:type="dxa"/>
            <w:tcBorders>
              <w:top w:val="nil"/>
              <w:left w:val="single" w:sz="4" w:space="0" w:color="auto"/>
              <w:bottom w:val="single" w:sz="4" w:space="0" w:color="auto"/>
              <w:right w:val="single" w:sz="4" w:space="0" w:color="auto"/>
            </w:tcBorders>
            <w:shd w:val="clear" w:color="auto" w:fill="C6EFCE"/>
            <w:noWrap/>
          </w:tcPr>
          <w:p w14:paraId="0E74BB88" w14:textId="77777777" w:rsidR="00340000" w:rsidRPr="009674F2" w:rsidRDefault="00340000" w:rsidP="00340000">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275</w:t>
            </w:r>
          </w:p>
        </w:tc>
        <w:tc>
          <w:tcPr>
            <w:tcW w:w="3686" w:type="dxa"/>
            <w:tcBorders>
              <w:top w:val="nil"/>
              <w:left w:val="nil"/>
              <w:bottom w:val="single" w:sz="4" w:space="0" w:color="auto"/>
              <w:right w:val="single" w:sz="4" w:space="0" w:color="auto"/>
            </w:tcBorders>
            <w:shd w:val="clear" w:color="auto" w:fill="C6EFCE"/>
            <w:noWrap/>
          </w:tcPr>
          <w:p w14:paraId="2F4B0622" w14:textId="77777777" w:rsidR="00340000" w:rsidRPr="009674F2" w:rsidRDefault="00340000" w:rsidP="00340000">
            <w:pPr>
              <w:spacing w:after="0" w:line="240" w:lineRule="auto"/>
              <w:jc w:val="both"/>
              <w:rPr>
                <w:rFonts w:ascii="Times New Roman" w:eastAsia="Times New Roman" w:hAnsi="Times New Roman" w:cs="Times New Roman"/>
                <w:noProof/>
                <w:color w:val="006100"/>
                <w:highlight w:val="yellow"/>
              </w:rPr>
            </w:pPr>
            <w:r>
              <w:rPr>
                <w:rFonts w:ascii="Times New Roman" w:hAnsi="Times New Roman"/>
                <w:noProof/>
                <w:color w:val="006100"/>
              </w:rPr>
              <w:t>C10I8 Пространствен мониторинг, контрол и управление чрез модернизиране на Центъра за аерокосмическо наблюдение (ЦАН)</w:t>
            </w:r>
          </w:p>
        </w:tc>
        <w:tc>
          <w:tcPr>
            <w:tcW w:w="1701" w:type="dxa"/>
            <w:tcBorders>
              <w:top w:val="nil"/>
              <w:left w:val="nil"/>
              <w:bottom w:val="single" w:sz="4" w:space="0" w:color="auto"/>
              <w:right w:val="single" w:sz="4" w:space="0" w:color="auto"/>
            </w:tcBorders>
            <w:shd w:val="clear" w:color="auto" w:fill="C6EFCE"/>
            <w:noWrap/>
          </w:tcPr>
          <w:p w14:paraId="6C3702E4" w14:textId="77777777" w:rsidR="00340000" w:rsidRPr="009674F2" w:rsidRDefault="00340000" w:rsidP="00340000">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Ключов етап</w:t>
            </w:r>
          </w:p>
        </w:tc>
        <w:tc>
          <w:tcPr>
            <w:tcW w:w="3541" w:type="dxa"/>
            <w:tcBorders>
              <w:top w:val="nil"/>
              <w:left w:val="nil"/>
              <w:bottom w:val="single" w:sz="4" w:space="0" w:color="auto"/>
              <w:right w:val="single" w:sz="4" w:space="0" w:color="auto"/>
            </w:tcBorders>
            <w:shd w:val="clear" w:color="auto" w:fill="C6EFCE"/>
            <w:noWrap/>
          </w:tcPr>
          <w:p w14:paraId="1576DC0B" w14:textId="77777777" w:rsidR="00340000" w:rsidRPr="009674F2" w:rsidRDefault="00340000" w:rsidP="00340000">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Модернизиране на Центъра за мониторинг на авиокосмосмически данни към Министерството на вътрешните работи</w:t>
            </w:r>
          </w:p>
        </w:tc>
      </w:tr>
      <w:tr w:rsidR="21E45F7F" w:rsidRPr="005241FC" w14:paraId="57EDC79C" w14:textId="77777777" w:rsidTr="14D66C95">
        <w:trPr>
          <w:trHeight w:val="302"/>
          <w:jc w:val="center"/>
        </w:trPr>
        <w:tc>
          <w:tcPr>
            <w:tcW w:w="1274" w:type="dxa"/>
            <w:tcBorders>
              <w:top w:val="nil"/>
              <w:left w:val="single" w:sz="4" w:space="0" w:color="auto"/>
              <w:bottom w:val="single" w:sz="4" w:space="0" w:color="auto"/>
              <w:right w:val="single" w:sz="4" w:space="0" w:color="auto"/>
            </w:tcBorders>
            <w:shd w:val="clear" w:color="auto" w:fill="C6EFCE"/>
            <w:noWrap/>
          </w:tcPr>
          <w:p w14:paraId="0F4D13F9" w14:textId="77777777" w:rsidR="21E45F7F" w:rsidRDefault="21E45F7F" w:rsidP="21E45F7F">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276</w:t>
            </w:r>
          </w:p>
        </w:tc>
        <w:tc>
          <w:tcPr>
            <w:tcW w:w="3686" w:type="dxa"/>
            <w:tcBorders>
              <w:top w:val="nil"/>
              <w:left w:val="nil"/>
              <w:bottom w:val="single" w:sz="4" w:space="0" w:color="auto"/>
              <w:right w:val="single" w:sz="4" w:space="0" w:color="auto"/>
            </w:tcBorders>
            <w:shd w:val="clear" w:color="auto" w:fill="C6EFCE"/>
            <w:noWrap/>
          </w:tcPr>
          <w:p w14:paraId="6DB54027" w14:textId="77777777" w:rsidR="21E45F7F" w:rsidRDefault="21E45F7F" w:rsidP="21E45F7F">
            <w:pPr>
              <w:spacing w:after="0"/>
              <w:jc w:val="both"/>
              <w:rPr>
                <w:rFonts w:ascii="Times New Roman" w:hAnsi="Times New Roman" w:cs="Times New Roman"/>
                <w:noProof/>
                <w:color w:val="006100"/>
              </w:rPr>
            </w:pPr>
            <w:r>
              <w:rPr>
                <w:rFonts w:ascii="Times New Roman" w:hAnsi="Times New Roman"/>
                <w:noProof/>
                <w:color w:val="006100"/>
              </w:rPr>
              <w:t>C10I9 Дигитализиране на информационни масиви в администрацията, съдържащи регистрови данни</w:t>
            </w:r>
          </w:p>
        </w:tc>
        <w:tc>
          <w:tcPr>
            <w:tcW w:w="1701" w:type="dxa"/>
            <w:tcBorders>
              <w:top w:val="nil"/>
              <w:left w:val="nil"/>
              <w:bottom w:val="single" w:sz="4" w:space="0" w:color="auto"/>
              <w:right w:val="single" w:sz="4" w:space="0" w:color="auto"/>
            </w:tcBorders>
            <w:shd w:val="clear" w:color="auto" w:fill="C6EFCE"/>
            <w:noWrap/>
          </w:tcPr>
          <w:p w14:paraId="7796E25D" w14:textId="77777777" w:rsidR="21E45F7F" w:rsidRDefault="21E45F7F" w:rsidP="21E45F7F">
            <w:pPr>
              <w:spacing w:after="0" w:line="240" w:lineRule="auto"/>
              <w:jc w:val="center"/>
              <w:rPr>
                <w:rFonts w:ascii="Times New Roman" w:hAnsi="Times New Roman" w:cs="Times New Roman"/>
                <w:noProof/>
                <w:color w:val="006100"/>
              </w:rPr>
            </w:pPr>
            <w:r>
              <w:rPr>
                <w:rFonts w:ascii="Times New Roman" w:hAnsi="Times New Roman"/>
                <w:noProof/>
                <w:color w:val="006100"/>
              </w:rPr>
              <w:t>Цел</w:t>
            </w:r>
          </w:p>
        </w:tc>
        <w:tc>
          <w:tcPr>
            <w:tcW w:w="3541" w:type="dxa"/>
            <w:tcBorders>
              <w:top w:val="nil"/>
              <w:left w:val="nil"/>
              <w:bottom w:val="single" w:sz="4" w:space="0" w:color="auto"/>
              <w:right w:val="single" w:sz="4" w:space="0" w:color="auto"/>
            </w:tcBorders>
            <w:shd w:val="clear" w:color="auto" w:fill="C6EFCE"/>
            <w:noWrap/>
          </w:tcPr>
          <w:p w14:paraId="6BCECFD3" w14:textId="77777777" w:rsidR="21E45F7F" w:rsidRDefault="21E45F7F" w:rsidP="21E45F7F">
            <w:pPr>
              <w:spacing w:after="0" w:line="240" w:lineRule="auto"/>
              <w:jc w:val="both"/>
              <w:rPr>
                <w:rFonts w:ascii="Times New Roman" w:hAnsi="Times New Roman" w:cs="Times New Roman"/>
                <w:noProof/>
                <w:color w:val="006100"/>
              </w:rPr>
            </w:pPr>
            <w:r>
              <w:rPr>
                <w:rFonts w:ascii="Times New Roman" w:hAnsi="Times New Roman"/>
                <w:noProof/>
                <w:color w:val="006100"/>
              </w:rPr>
              <w:t>Цифровизиране на данните от регистрите и регистрите за гражданско състояние</w:t>
            </w:r>
          </w:p>
        </w:tc>
      </w:tr>
      <w:tr w:rsidR="00340000" w:rsidRPr="005241FC" w14:paraId="525A1666" w14:textId="77777777" w:rsidTr="14D66C95">
        <w:trPr>
          <w:trHeight w:val="302"/>
          <w:jc w:val="center"/>
        </w:trPr>
        <w:tc>
          <w:tcPr>
            <w:tcW w:w="1274" w:type="dxa"/>
            <w:tcBorders>
              <w:top w:val="nil"/>
              <w:left w:val="single" w:sz="4" w:space="0" w:color="auto"/>
              <w:bottom w:val="single" w:sz="4" w:space="0" w:color="auto"/>
              <w:right w:val="single" w:sz="4" w:space="0" w:color="auto"/>
            </w:tcBorders>
            <w:shd w:val="clear" w:color="auto" w:fill="C6EFCE"/>
            <w:noWrap/>
          </w:tcPr>
          <w:p w14:paraId="4F3E8525" w14:textId="77777777" w:rsidR="00340000" w:rsidRPr="009674F2" w:rsidRDefault="00340000" w:rsidP="00340000">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298</w:t>
            </w:r>
          </w:p>
        </w:tc>
        <w:tc>
          <w:tcPr>
            <w:tcW w:w="3686" w:type="dxa"/>
            <w:tcBorders>
              <w:top w:val="nil"/>
              <w:left w:val="nil"/>
              <w:bottom w:val="single" w:sz="4" w:space="0" w:color="auto"/>
              <w:right w:val="single" w:sz="4" w:space="0" w:color="auto"/>
            </w:tcBorders>
            <w:shd w:val="clear" w:color="auto" w:fill="C6EFCE"/>
            <w:noWrap/>
          </w:tcPr>
          <w:p w14:paraId="2C86C651" w14:textId="77777777" w:rsidR="00340000" w:rsidRPr="009674F2" w:rsidRDefault="00340000" w:rsidP="00340000">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C11I2 Предоставяне на помощни средства на лица с трайни увреждания</w:t>
            </w:r>
          </w:p>
        </w:tc>
        <w:tc>
          <w:tcPr>
            <w:tcW w:w="1701" w:type="dxa"/>
            <w:tcBorders>
              <w:top w:val="nil"/>
              <w:left w:val="nil"/>
              <w:bottom w:val="single" w:sz="4" w:space="0" w:color="auto"/>
              <w:right w:val="single" w:sz="4" w:space="0" w:color="auto"/>
            </w:tcBorders>
            <w:shd w:val="clear" w:color="auto" w:fill="C6EFCE"/>
            <w:noWrap/>
          </w:tcPr>
          <w:p w14:paraId="4972DE27" w14:textId="77777777" w:rsidR="00340000" w:rsidRPr="009674F2" w:rsidRDefault="00340000" w:rsidP="00340000">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Цел</w:t>
            </w:r>
          </w:p>
        </w:tc>
        <w:tc>
          <w:tcPr>
            <w:tcW w:w="3541" w:type="dxa"/>
            <w:tcBorders>
              <w:top w:val="nil"/>
              <w:left w:val="nil"/>
              <w:bottom w:val="single" w:sz="4" w:space="0" w:color="auto"/>
              <w:right w:val="single" w:sz="4" w:space="0" w:color="auto"/>
            </w:tcBorders>
            <w:shd w:val="clear" w:color="auto" w:fill="C6EFCE"/>
            <w:noWrap/>
          </w:tcPr>
          <w:p w14:paraId="56C15802" w14:textId="77777777" w:rsidR="00340000" w:rsidRPr="009674F2" w:rsidRDefault="00340000" w:rsidP="00340000">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Лица с трайни увреждания, които са получили помощни средства</w:t>
            </w:r>
          </w:p>
        </w:tc>
      </w:tr>
      <w:tr w:rsidR="00340000" w:rsidRPr="005241FC" w14:paraId="0D404098" w14:textId="77777777" w:rsidTr="14D66C95">
        <w:trPr>
          <w:trHeight w:val="302"/>
          <w:jc w:val="center"/>
        </w:trPr>
        <w:tc>
          <w:tcPr>
            <w:tcW w:w="1274" w:type="dxa"/>
            <w:tcBorders>
              <w:top w:val="single" w:sz="4" w:space="0" w:color="auto"/>
              <w:left w:val="single" w:sz="4" w:space="0" w:color="auto"/>
              <w:bottom w:val="single" w:sz="4" w:space="0" w:color="auto"/>
              <w:right w:val="single" w:sz="4" w:space="0" w:color="auto"/>
            </w:tcBorders>
            <w:shd w:val="clear" w:color="auto" w:fill="C6EFCE"/>
            <w:noWrap/>
          </w:tcPr>
          <w:p w14:paraId="651A2071" w14:textId="77777777" w:rsidR="00340000" w:rsidRPr="009674F2" w:rsidRDefault="00340000" w:rsidP="00340000">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292</w:t>
            </w:r>
          </w:p>
        </w:tc>
        <w:tc>
          <w:tcPr>
            <w:tcW w:w="3686" w:type="dxa"/>
            <w:tcBorders>
              <w:top w:val="single" w:sz="4" w:space="0" w:color="auto"/>
              <w:left w:val="nil"/>
              <w:bottom w:val="single" w:sz="4" w:space="0" w:color="auto"/>
              <w:right w:val="single" w:sz="4" w:space="0" w:color="auto"/>
            </w:tcBorders>
            <w:shd w:val="clear" w:color="auto" w:fill="C6EFCE"/>
            <w:noWrap/>
          </w:tcPr>
          <w:p w14:paraId="365B83A4" w14:textId="77777777" w:rsidR="00340000" w:rsidRPr="009674F2" w:rsidRDefault="00340000" w:rsidP="00340000">
            <w:pPr>
              <w:spacing w:after="0"/>
              <w:jc w:val="both"/>
              <w:rPr>
                <w:rFonts w:ascii="Times New Roman" w:hAnsi="Times New Roman" w:cs="Times New Roman"/>
                <w:noProof/>
                <w:color w:val="006100"/>
              </w:rPr>
            </w:pPr>
            <w:r>
              <w:rPr>
                <w:rFonts w:ascii="Times New Roman" w:hAnsi="Times New Roman"/>
                <w:noProof/>
                <w:color w:val="006100"/>
              </w:rPr>
              <w:t>C11I1 Модернизация на дългосрочните грижи</w:t>
            </w:r>
          </w:p>
        </w:tc>
        <w:tc>
          <w:tcPr>
            <w:tcW w:w="1701" w:type="dxa"/>
            <w:tcBorders>
              <w:top w:val="single" w:sz="4" w:space="0" w:color="auto"/>
              <w:left w:val="nil"/>
              <w:bottom w:val="single" w:sz="4" w:space="0" w:color="auto"/>
              <w:right w:val="single" w:sz="4" w:space="0" w:color="auto"/>
            </w:tcBorders>
            <w:shd w:val="clear" w:color="auto" w:fill="C6EFCE"/>
            <w:noWrap/>
          </w:tcPr>
          <w:p w14:paraId="6FD5F654" w14:textId="77777777" w:rsidR="00340000" w:rsidRPr="009674F2" w:rsidRDefault="00340000" w:rsidP="00340000">
            <w:pPr>
              <w:spacing w:after="0" w:line="240" w:lineRule="auto"/>
              <w:jc w:val="center"/>
              <w:rPr>
                <w:rFonts w:ascii="Times New Roman" w:hAnsi="Times New Roman" w:cs="Times New Roman"/>
                <w:noProof/>
                <w:color w:val="006100"/>
              </w:rPr>
            </w:pPr>
            <w:r>
              <w:rPr>
                <w:rFonts w:ascii="Times New Roman" w:hAnsi="Times New Roman"/>
                <w:noProof/>
                <w:color w:val="006100"/>
              </w:rPr>
              <w:t>Ключов етап</w:t>
            </w:r>
          </w:p>
        </w:tc>
        <w:tc>
          <w:tcPr>
            <w:tcW w:w="3541" w:type="dxa"/>
            <w:tcBorders>
              <w:top w:val="single" w:sz="4" w:space="0" w:color="auto"/>
              <w:left w:val="nil"/>
              <w:bottom w:val="single" w:sz="4" w:space="0" w:color="auto"/>
              <w:right w:val="single" w:sz="4" w:space="0" w:color="auto"/>
            </w:tcBorders>
            <w:shd w:val="clear" w:color="auto" w:fill="C6EFCE"/>
            <w:noWrap/>
          </w:tcPr>
          <w:p w14:paraId="7E57E6DA" w14:textId="77777777" w:rsidR="00340000" w:rsidRPr="009674F2" w:rsidRDefault="00340000" w:rsidP="00340000">
            <w:pPr>
              <w:spacing w:after="0" w:line="240" w:lineRule="auto"/>
              <w:jc w:val="both"/>
              <w:rPr>
                <w:rFonts w:ascii="Times New Roman" w:hAnsi="Times New Roman" w:cs="Times New Roman"/>
                <w:noProof/>
                <w:color w:val="006100"/>
              </w:rPr>
            </w:pPr>
            <w:r>
              <w:rPr>
                <w:rFonts w:ascii="Times New Roman" w:hAnsi="Times New Roman"/>
                <w:noProof/>
                <w:color w:val="006100"/>
              </w:rPr>
              <w:t>Сключване на договори за строителство и ремонт на заведения за дългосрочни грижи</w:t>
            </w:r>
          </w:p>
        </w:tc>
      </w:tr>
      <w:tr w:rsidR="00340000" w:rsidRPr="005241FC" w14:paraId="3ED2C29A" w14:textId="77777777" w:rsidTr="14D66C95">
        <w:trPr>
          <w:trHeight w:val="302"/>
          <w:jc w:val="center"/>
        </w:trPr>
        <w:tc>
          <w:tcPr>
            <w:tcW w:w="1274" w:type="dxa"/>
            <w:tcBorders>
              <w:top w:val="single" w:sz="4" w:space="0" w:color="auto"/>
              <w:left w:val="single" w:sz="4" w:space="0" w:color="auto"/>
              <w:bottom w:val="single" w:sz="4" w:space="0" w:color="auto"/>
              <w:right w:val="single" w:sz="4" w:space="0" w:color="auto"/>
            </w:tcBorders>
            <w:shd w:val="clear" w:color="auto" w:fill="C6EFCE"/>
            <w:noWrap/>
          </w:tcPr>
          <w:p w14:paraId="74FAC362" w14:textId="77777777" w:rsidR="00340000" w:rsidRPr="009674F2" w:rsidRDefault="00340000" w:rsidP="00340000">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341</w:t>
            </w:r>
          </w:p>
        </w:tc>
        <w:tc>
          <w:tcPr>
            <w:tcW w:w="3686" w:type="dxa"/>
            <w:tcBorders>
              <w:top w:val="single" w:sz="4" w:space="0" w:color="auto"/>
              <w:left w:val="nil"/>
              <w:bottom w:val="single" w:sz="4" w:space="0" w:color="auto"/>
              <w:right w:val="single" w:sz="4" w:space="0" w:color="auto"/>
            </w:tcBorders>
            <w:shd w:val="clear" w:color="auto" w:fill="C6EFCE"/>
            <w:noWrap/>
          </w:tcPr>
          <w:p w14:paraId="53268155" w14:textId="77777777" w:rsidR="00340000" w:rsidRPr="009674F2" w:rsidRDefault="00340000" w:rsidP="00340000">
            <w:pPr>
              <w:spacing w:after="0"/>
              <w:jc w:val="both"/>
              <w:rPr>
                <w:rFonts w:ascii="Times New Roman" w:hAnsi="Times New Roman" w:cs="Times New Roman"/>
                <w:noProof/>
                <w:color w:val="006100"/>
              </w:rPr>
            </w:pPr>
            <w:r>
              <w:rPr>
                <w:rFonts w:ascii="Times New Roman" w:hAnsi="Times New Roman"/>
                <w:noProof/>
                <w:color w:val="006100"/>
              </w:rPr>
              <w:t>C12I6 Подобряване на националната система за спешни комуникации на номер 112</w:t>
            </w:r>
          </w:p>
        </w:tc>
        <w:tc>
          <w:tcPr>
            <w:tcW w:w="1701" w:type="dxa"/>
            <w:tcBorders>
              <w:top w:val="single" w:sz="4" w:space="0" w:color="auto"/>
              <w:left w:val="nil"/>
              <w:bottom w:val="single" w:sz="4" w:space="0" w:color="auto"/>
              <w:right w:val="single" w:sz="4" w:space="0" w:color="auto"/>
            </w:tcBorders>
            <w:shd w:val="clear" w:color="auto" w:fill="C6EFCE"/>
            <w:noWrap/>
          </w:tcPr>
          <w:p w14:paraId="073C881A" w14:textId="77777777" w:rsidR="00340000" w:rsidRPr="009674F2" w:rsidRDefault="00340000" w:rsidP="00340000">
            <w:pPr>
              <w:spacing w:after="0" w:line="240" w:lineRule="auto"/>
              <w:jc w:val="center"/>
              <w:rPr>
                <w:rFonts w:ascii="Times New Roman" w:hAnsi="Times New Roman" w:cs="Times New Roman"/>
                <w:noProof/>
                <w:color w:val="006100"/>
              </w:rPr>
            </w:pPr>
            <w:r>
              <w:rPr>
                <w:rFonts w:ascii="Times New Roman" w:hAnsi="Times New Roman"/>
                <w:noProof/>
                <w:color w:val="006100"/>
              </w:rPr>
              <w:t>Ключов етап</w:t>
            </w:r>
          </w:p>
        </w:tc>
        <w:tc>
          <w:tcPr>
            <w:tcW w:w="3541" w:type="dxa"/>
            <w:tcBorders>
              <w:top w:val="single" w:sz="4" w:space="0" w:color="auto"/>
              <w:left w:val="nil"/>
              <w:bottom w:val="single" w:sz="4" w:space="0" w:color="auto"/>
              <w:right w:val="single" w:sz="4" w:space="0" w:color="auto"/>
            </w:tcBorders>
            <w:shd w:val="clear" w:color="auto" w:fill="C6EFCE"/>
            <w:noWrap/>
          </w:tcPr>
          <w:p w14:paraId="383E0857" w14:textId="77777777" w:rsidR="00340000" w:rsidRPr="009674F2" w:rsidRDefault="00340000" w:rsidP="00340000">
            <w:pPr>
              <w:spacing w:after="0" w:line="240" w:lineRule="auto"/>
              <w:jc w:val="both"/>
              <w:rPr>
                <w:rFonts w:ascii="Times New Roman" w:hAnsi="Times New Roman" w:cs="Times New Roman"/>
                <w:noProof/>
                <w:color w:val="006100"/>
              </w:rPr>
            </w:pPr>
            <w:r>
              <w:rPr>
                <w:rFonts w:ascii="Times New Roman" w:hAnsi="Times New Roman"/>
                <w:noProof/>
                <w:color w:val="006100"/>
              </w:rPr>
              <w:t>Влизане в сила на измененията на законодателната рамка за Единния европейски номер 112</w:t>
            </w:r>
          </w:p>
        </w:tc>
      </w:tr>
      <w:tr w:rsidR="00340000" w:rsidRPr="005241FC" w14:paraId="2E48EE54" w14:textId="77777777" w:rsidTr="14D66C95">
        <w:trPr>
          <w:trHeight w:val="302"/>
          <w:jc w:val="center"/>
        </w:trPr>
        <w:tc>
          <w:tcPr>
            <w:tcW w:w="1274" w:type="dxa"/>
            <w:tcBorders>
              <w:top w:val="single" w:sz="4" w:space="0" w:color="auto"/>
              <w:left w:val="single" w:sz="4" w:space="0" w:color="auto"/>
              <w:bottom w:val="single" w:sz="4" w:space="0" w:color="auto"/>
              <w:right w:val="single" w:sz="4" w:space="0" w:color="auto"/>
            </w:tcBorders>
            <w:shd w:val="clear" w:color="auto" w:fill="C6EFCE"/>
            <w:noWrap/>
          </w:tcPr>
          <w:p w14:paraId="36807559" w14:textId="77777777" w:rsidR="00340000" w:rsidRPr="009674F2" w:rsidRDefault="00340000" w:rsidP="00340000">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332</w:t>
            </w:r>
          </w:p>
        </w:tc>
        <w:tc>
          <w:tcPr>
            <w:tcW w:w="3686" w:type="dxa"/>
            <w:tcBorders>
              <w:top w:val="single" w:sz="4" w:space="0" w:color="auto"/>
              <w:left w:val="nil"/>
              <w:bottom w:val="single" w:sz="4" w:space="0" w:color="auto"/>
              <w:right w:val="single" w:sz="4" w:space="0" w:color="auto"/>
            </w:tcBorders>
            <w:shd w:val="clear" w:color="auto" w:fill="C6EFCE"/>
            <w:noWrap/>
          </w:tcPr>
          <w:p w14:paraId="7922A448" w14:textId="77777777" w:rsidR="00340000" w:rsidRPr="009674F2" w:rsidRDefault="00340000" w:rsidP="00340000">
            <w:pPr>
              <w:spacing w:after="0"/>
              <w:jc w:val="both"/>
              <w:rPr>
                <w:rFonts w:ascii="Times New Roman" w:hAnsi="Times New Roman" w:cs="Times New Roman"/>
                <w:noProof/>
                <w:color w:val="006100"/>
              </w:rPr>
            </w:pPr>
            <w:r>
              <w:rPr>
                <w:rFonts w:ascii="Times New Roman" w:hAnsi="Times New Roman"/>
                <w:noProof/>
                <w:color w:val="006100"/>
              </w:rPr>
              <w:t xml:space="preserve">C12I2 Центрове за интервенционална диагностика и ендоваскуларно лечение на мозъчно-съдови заболявания </w:t>
            </w:r>
          </w:p>
        </w:tc>
        <w:tc>
          <w:tcPr>
            <w:tcW w:w="1701" w:type="dxa"/>
            <w:tcBorders>
              <w:top w:val="single" w:sz="4" w:space="0" w:color="auto"/>
              <w:left w:val="nil"/>
              <w:bottom w:val="single" w:sz="4" w:space="0" w:color="auto"/>
              <w:right w:val="single" w:sz="4" w:space="0" w:color="auto"/>
            </w:tcBorders>
            <w:shd w:val="clear" w:color="auto" w:fill="C6EFCE"/>
            <w:noWrap/>
          </w:tcPr>
          <w:p w14:paraId="41054CE7" w14:textId="77777777" w:rsidR="00340000" w:rsidRPr="009674F2" w:rsidRDefault="00340000" w:rsidP="00340000">
            <w:pPr>
              <w:spacing w:after="0" w:line="240" w:lineRule="auto"/>
              <w:jc w:val="center"/>
              <w:rPr>
                <w:rFonts w:ascii="Times New Roman" w:hAnsi="Times New Roman" w:cs="Times New Roman"/>
                <w:noProof/>
                <w:color w:val="006100"/>
              </w:rPr>
            </w:pPr>
            <w:r>
              <w:rPr>
                <w:rFonts w:ascii="Times New Roman" w:hAnsi="Times New Roman"/>
                <w:noProof/>
                <w:color w:val="006100"/>
              </w:rPr>
              <w:t>Ключов етап</w:t>
            </w:r>
          </w:p>
        </w:tc>
        <w:tc>
          <w:tcPr>
            <w:tcW w:w="3541" w:type="dxa"/>
            <w:tcBorders>
              <w:top w:val="single" w:sz="4" w:space="0" w:color="auto"/>
              <w:left w:val="nil"/>
              <w:bottom w:val="single" w:sz="4" w:space="0" w:color="auto"/>
              <w:right w:val="single" w:sz="4" w:space="0" w:color="auto"/>
            </w:tcBorders>
            <w:shd w:val="clear" w:color="auto" w:fill="C6EFCE"/>
            <w:noWrap/>
          </w:tcPr>
          <w:p w14:paraId="0363FF61" w14:textId="77777777" w:rsidR="00340000" w:rsidRPr="009674F2" w:rsidRDefault="00340000" w:rsidP="00340000">
            <w:pPr>
              <w:spacing w:after="0" w:line="240" w:lineRule="auto"/>
              <w:rPr>
                <w:rFonts w:ascii="Times New Roman" w:hAnsi="Times New Roman" w:cs="Times New Roman"/>
                <w:noProof/>
                <w:color w:val="006100"/>
              </w:rPr>
            </w:pPr>
            <w:r>
              <w:rPr>
                <w:rFonts w:ascii="Times New Roman" w:hAnsi="Times New Roman"/>
                <w:noProof/>
                <w:color w:val="006100"/>
              </w:rPr>
              <w:t>Сключване на договори за строителни работи и за осигуряване на медицинско оборудване на центровете за интервенционална диагностика и ендоваскуларно лечение на мозъчно-съдови заболявания</w:t>
            </w:r>
          </w:p>
        </w:tc>
      </w:tr>
      <w:tr w:rsidR="00340000" w:rsidRPr="00F41C75" w14:paraId="66674C0C" w14:textId="77777777" w:rsidTr="14D66C95">
        <w:trPr>
          <w:trHeight w:val="302"/>
          <w:jc w:val="center"/>
        </w:trPr>
        <w:tc>
          <w:tcPr>
            <w:tcW w:w="1274" w:type="dxa"/>
            <w:tcBorders>
              <w:top w:val="single" w:sz="4" w:space="0" w:color="auto"/>
              <w:left w:val="single" w:sz="4" w:space="0" w:color="auto"/>
              <w:bottom w:val="single" w:sz="4" w:space="0" w:color="auto"/>
              <w:right w:val="single" w:sz="4" w:space="0" w:color="auto"/>
            </w:tcBorders>
            <w:shd w:val="clear" w:color="auto" w:fill="C6EFCE"/>
            <w:noWrap/>
            <w:vAlign w:val="bottom"/>
          </w:tcPr>
          <w:p w14:paraId="3EEBC7EF" w14:textId="77777777" w:rsidR="00340000" w:rsidRPr="008A0F8A" w:rsidRDefault="00340000" w:rsidP="00340000">
            <w:pPr>
              <w:spacing w:after="0" w:line="240" w:lineRule="auto"/>
              <w:jc w:val="center"/>
              <w:rPr>
                <w:rFonts w:ascii="Times New Roman" w:eastAsia="Times New Roman" w:hAnsi="Times New Roman" w:cs="Times New Roman"/>
                <w:noProof/>
                <w:color w:val="006100"/>
                <w:lang w:val="ru-RU" w:eastAsia="en-GB"/>
              </w:rPr>
            </w:pPr>
          </w:p>
        </w:tc>
        <w:tc>
          <w:tcPr>
            <w:tcW w:w="3686" w:type="dxa"/>
            <w:tcBorders>
              <w:top w:val="single" w:sz="4" w:space="0" w:color="auto"/>
              <w:left w:val="nil"/>
              <w:bottom w:val="single" w:sz="4" w:space="0" w:color="auto"/>
              <w:right w:val="single" w:sz="4" w:space="0" w:color="auto"/>
            </w:tcBorders>
            <w:shd w:val="clear" w:color="auto" w:fill="C6EFCE"/>
            <w:noWrap/>
            <w:vAlign w:val="bottom"/>
          </w:tcPr>
          <w:p w14:paraId="7661F73C" w14:textId="77777777" w:rsidR="00340000" w:rsidRPr="008A0F8A" w:rsidRDefault="00340000" w:rsidP="00340000">
            <w:pPr>
              <w:spacing w:after="0" w:line="240" w:lineRule="auto"/>
              <w:jc w:val="both"/>
              <w:rPr>
                <w:rFonts w:ascii="Times New Roman" w:eastAsia="Times New Roman" w:hAnsi="Times New Roman" w:cs="Times New Roman"/>
                <w:noProof/>
                <w:color w:val="006100"/>
                <w:lang w:val="ru-RU" w:eastAsia="en-GB"/>
              </w:rPr>
            </w:pPr>
          </w:p>
        </w:tc>
        <w:tc>
          <w:tcPr>
            <w:tcW w:w="1701" w:type="dxa"/>
            <w:tcBorders>
              <w:top w:val="single" w:sz="4" w:space="0" w:color="auto"/>
              <w:left w:val="nil"/>
              <w:bottom w:val="single" w:sz="4" w:space="0" w:color="auto"/>
              <w:right w:val="single" w:sz="4" w:space="0" w:color="auto"/>
            </w:tcBorders>
            <w:shd w:val="clear" w:color="auto" w:fill="C6EFCE"/>
            <w:noWrap/>
            <w:vAlign w:val="bottom"/>
          </w:tcPr>
          <w:p w14:paraId="2756A9B7" w14:textId="77777777" w:rsidR="00340000" w:rsidRPr="009674F2" w:rsidRDefault="00340000" w:rsidP="00340000">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Размер на вноската</w:t>
            </w:r>
          </w:p>
        </w:tc>
        <w:tc>
          <w:tcPr>
            <w:tcW w:w="3541" w:type="dxa"/>
            <w:tcBorders>
              <w:top w:val="single" w:sz="4" w:space="0" w:color="auto"/>
              <w:left w:val="nil"/>
              <w:bottom w:val="single" w:sz="4" w:space="0" w:color="auto"/>
              <w:right w:val="single" w:sz="4" w:space="0" w:color="auto"/>
            </w:tcBorders>
            <w:shd w:val="clear" w:color="auto" w:fill="C6EFCE"/>
            <w:noWrap/>
            <w:vAlign w:val="bottom"/>
          </w:tcPr>
          <w:p w14:paraId="42B9A121" w14:textId="2E93CF09" w:rsidR="00340000" w:rsidRPr="00B34264" w:rsidRDefault="0F1565FE" w:rsidP="00340000">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 xml:space="preserve">513 787 094 EUR </w:t>
            </w:r>
          </w:p>
        </w:tc>
      </w:tr>
    </w:tbl>
    <w:p w14:paraId="23DD5921" w14:textId="77777777" w:rsidR="00D21D80" w:rsidRDefault="00D21D80" w:rsidP="00D21D80">
      <w:pPr>
        <w:spacing w:before="120" w:after="120" w:line="240" w:lineRule="auto"/>
        <w:ind w:left="850"/>
        <w:jc w:val="both"/>
        <w:rPr>
          <w:rFonts w:ascii="Times New Roman" w:eastAsia="Calibri" w:hAnsi="Times New Roman" w:cs="Times New Roman"/>
          <w:noProof/>
          <w:lang w:val="en-GB"/>
        </w:rPr>
        <w:sectPr w:rsidR="00D21D80" w:rsidSect="00B60432">
          <w:headerReference w:type="even" r:id="rId162"/>
          <w:headerReference w:type="default" r:id="rId163"/>
          <w:footerReference w:type="even" r:id="rId164"/>
          <w:footerReference w:type="default" r:id="rId165"/>
          <w:headerReference w:type="first" r:id="rId166"/>
          <w:footerReference w:type="first" r:id="rId167"/>
          <w:pgSz w:w="11907" w:h="16839"/>
          <w:pgMar w:top="1134" w:right="1417" w:bottom="1134" w:left="1417" w:header="709" w:footer="709" w:gutter="0"/>
          <w:cols w:space="720"/>
          <w:docGrid w:linePitch="360"/>
        </w:sectPr>
      </w:pPr>
    </w:p>
    <w:p w14:paraId="7DB1089F" w14:textId="77777777" w:rsidR="00D21D80" w:rsidRPr="00F41C75" w:rsidRDefault="00D21D80" w:rsidP="00D21D80">
      <w:pPr>
        <w:numPr>
          <w:ilvl w:val="1"/>
          <w:numId w:val="1"/>
        </w:numPr>
        <w:spacing w:before="120" w:after="120" w:line="240" w:lineRule="auto"/>
        <w:jc w:val="both"/>
        <w:rPr>
          <w:rFonts w:ascii="Times New Roman" w:eastAsia="Calibri" w:hAnsi="Times New Roman" w:cs="Times New Roman"/>
          <w:noProof/>
        </w:rPr>
      </w:pPr>
      <w:r>
        <w:rPr>
          <w:rFonts w:ascii="Times New Roman" w:hAnsi="Times New Roman"/>
          <w:noProof/>
        </w:rPr>
        <w:t xml:space="preserve">Шеста вноска (безвъзмездна подкрепа): </w:t>
      </w:r>
    </w:p>
    <w:tbl>
      <w:tblPr>
        <w:tblW w:w="10295" w:type="dxa"/>
        <w:jc w:val="center"/>
        <w:tblLook w:val="04A0" w:firstRow="1" w:lastRow="0" w:firstColumn="1" w:lastColumn="0" w:noHBand="0" w:noVBand="1"/>
      </w:tblPr>
      <w:tblGrid>
        <w:gridCol w:w="1207"/>
        <w:gridCol w:w="4082"/>
        <w:gridCol w:w="1559"/>
        <w:gridCol w:w="3447"/>
      </w:tblGrid>
      <w:tr w:rsidR="00D21D80" w:rsidRPr="00F41C75" w14:paraId="1CD0EEB3" w14:textId="77777777" w:rsidTr="008E333E">
        <w:trPr>
          <w:trHeight w:val="906"/>
          <w:tblHeader/>
          <w:jc w:val="center"/>
        </w:trPr>
        <w:tc>
          <w:tcPr>
            <w:tcW w:w="120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BA4C077" w14:textId="77777777" w:rsidR="00D21D80" w:rsidRPr="00F41C75" w:rsidRDefault="00D21D80" w:rsidP="00C955DB">
            <w:pPr>
              <w:spacing w:after="0" w:line="240" w:lineRule="auto"/>
              <w:jc w:val="center"/>
              <w:rPr>
                <w:rFonts w:ascii="Times New Roman" w:eastAsia="Times New Roman" w:hAnsi="Times New Roman" w:cs="Times New Roman"/>
                <w:b/>
                <w:noProof/>
              </w:rPr>
            </w:pPr>
            <w:r>
              <w:rPr>
                <w:rFonts w:ascii="Times New Roman" w:hAnsi="Times New Roman"/>
                <w:b/>
                <w:noProof/>
              </w:rPr>
              <w:t>Пореден номер</w:t>
            </w:r>
          </w:p>
        </w:tc>
        <w:tc>
          <w:tcPr>
            <w:tcW w:w="408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A783CB8" w14:textId="77777777" w:rsidR="00D21D80" w:rsidRPr="00F41C75" w:rsidRDefault="00D21D80" w:rsidP="00C955DB">
            <w:pPr>
              <w:spacing w:after="0" w:line="240" w:lineRule="auto"/>
              <w:jc w:val="center"/>
              <w:rPr>
                <w:rFonts w:ascii="Times New Roman" w:eastAsia="Times New Roman" w:hAnsi="Times New Roman" w:cs="Times New Roman"/>
                <w:b/>
                <w:noProof/>
              </w:rPr>
            </w:pPr>
            <w:r>
              <w:rPr>
                <w:rFonts w:ascii="Times New Roman" w:hAnsi="Times New Roman"/>
                <w:b/>
                <w:noProof/>
              </w:rPr>
              <w:t>Свързана мярка (реформа или инвестиция)</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1BE2E1F" w14:textId="77777777" w:rsidR="00D21D80" w:rsidRPr="00F41C75" w:rsidRDefault="00D21D80" w:rsidP="00C955DB">
            <w:pPr>
              <w:spacing w:after="0" w:line="240" w:lineRule="auto"/>
              <w:jc w:val="center"/>
              <w:rPr>
                <w:rFonts w:ascii="Times New Roman" w:eastAsia="Times New Roman" w:hAnsi="Times New Roman" w:cs="Times New Roman"/>
                <w:b/>
                <w:noProof/>
              </w:rPr>
            </w:pPr>
            <w:r>
              <w:rPr>
                <w:rFonts w:ascii="Times New Roman" w:hAnsi="Times New Roman"/>
                <w:b/>
                <w:noProof/>
              </w:rPr>
              <w:t>Ключов етап / Цел</w:t>
            </w:r>
          </w:p>
        </w:tc>
        <w:tc>
          <w:tcPr>
            <w:tcW w:w="344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7FC157A" w14:textId="77777777" w:rsidR="00D21D80" w:rsidRPr="00F41C75" w:rsidRDefault="00D21D80" w:rsidP="00C955DB">
            <w:pPr>
              <w:spacing w:after="0" w:line="240" w:lineRule="auto"/>
              <w:jc w:val="center"/>
              <w:rPr>
                <w:rFonts w:ascii="Times New Roman" w:eastAsia="Times New Roman" w:hAnsi="Times New Roman" w:cs="Times New Roman"/>
                <w:b/>
                <w:noProof/>
              </w:rPr>
            </w:pPr>
            <w:r>
              <w:rPr>
                <w:rFonts w:ascii="Times New Roman" w:hAnsi="Times New Roman"/>
                <w:b/>
                <w:noProof/>
              </w:rPr>
              <w:t>Наименование</w:t>
            </w:r>
          </w:p>
        </w:tc>
      </w:tr>
      <w:tr w:rsidR="00D21D80" w:rsidRPr="00F41C75" w14:paraId="3269B441" w14:textId="77777777" w:rsidTr="008E333E">
        <w:trPr>
          <w:trHeight w:val="450"/>
          <w:jc w:val="center"/>
        </w:trPr>
        <w:tc>
          <w:tcPr>
            <w:tcW w:w="1207" w:type="dxa"/>
            <w:vMerge/>
            <w:tcBorders>
              <w:top w:val="single" w:sz="4" w:space="0" w:color="auto"/>
              <w:left w:val="single" w:sz="4" w:space="0" w:color="auto"/>
              <w:bottom w:val="single" w:sz="4" w:space="0" w:color="auto"/>
              <w:right w:val="single" w:sz="4" w:space="0" w:color="auto"/>
            </w:tcBorders>
            <w:vAlign w:val="center"/>
            <w:hideMark/>
          </w:tcPr>
          <w:p w14:paraId="1661F982" w14:textId="77777777" w:rsidR="00D21D80" w:rsidRPr="00F41C75" w:rsidRDefault="00D21D80" w:rsidP="00C955DB">
            <w:pPr>
              <w:spacing w:after="0" w:line="240" w:lineRule="auto"/>
              <w:jc w:val="center"/>
              <w:rPr>
                <w:rFonts w:ascii="Times New Roman" w:eastAsia="Times New Roman" w:hAnsi="Times New Roman" w:cs="Times New Roman"/>
                <w:b/>
                <w:bCs/>
                <w:noProof/>
                <w:lang w:val="en-GB" w:eastAsia="en-GB"/>
              </w:rPr>
            </w:pPr>
          </w:p>
        </w:tc>
        <w:tc>
          <w:tcPr>
            <w:tcW w:w="4082" w:type="dxa"/>
            <w:vMerge/>
            <w:tcBorders>
              <w:top w:val="single" w:sz="4" w:space="0" w:color="auto"/>
              <w:left w:val="single" w:sz="4" w:space="0" w:color="auto"/>
              <w:bottom w:val="single" w:sz="4" w:space="0" w:color="auto"/>
              <w:right w:val="single" w:sz="4" w:space="0" w:color="auto"/>
            </w:tcBorders>
            <w:vAlign w:val="center"/>
            <w:hideMark/>
          </w:tcPr>
          <w:p w14:paraId="47ADB7B5" w14:textId="77777777" w:rsidR="00D21D80" w:rsidRPr="00F41C75" w:rsidRDefault="00D21D80" w:rsidP="00C955DB">
            <w:pPr>
              <w:spacing w:after="0" w:line="240" w:lineRule="auto"/>
              <w:jc w:val="both"/>
              <w:rPr>
                <w:rFonts w:ascii="Times New Roman" w:eastAsia="Times New Roman" w:hAnsi="Times New Roman" w:cs="Times New Roman"/>
                <w:b/>
                <w:bCs/>
                <w:noProof/>
                <w:lang w:val="en-GB" w:eastAsia="en-GB"/>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E6D7F88" w14:textId="77777777" w:rsidR="00D21D80" w:rsidRPr="00F41C75" w:rsidRDefault="00D21D80" w:rsidP="00C955DB">
            <w:pPr>
              <w:spacing w:after="0" w:line="240" w:lineRule="auto"/>
              <w:jc w:val="center"/>
              <w:rPr>
                <w:rFonts w:ascii="Times New Roman" w:eastAsia="Times New Roman" w:hAnsi="Times New Roman" w:cs="Times New Roman"/>
                <w:b/>
                <w:bCs/>
                <w:noProof/>
                <w:lang w:val="en-GB" w:eastAsia="en-GB"/>
              </w:rPr>
            </w:pPr>
          </w:p>
        </w:tc>
        <w:tc>
          <w:tcPr>
            <w:tcW w:w="3447" w:type="dxa"/>
            <w:vMerge/>
            <w:tcBorders>
              <w:top w:val="single" w:sz="4" w:space="0" w:color="auto"/>
              <w:left w:val="single" w:sz="4" w:space="0" w:color="auto"/>
              <w:bottom w:val="single" w:sz="4" w:space="0" w:color="auto"/>
              <w:right w:val="single" w:sz="4" w:space="0" w:color="auto"/>
            </w:tcBorders>
            <w:vAlign w:val="center"/>
            <w:hideMark/>
          </w:tcPr>
          <w:p w14:paraId="79C26A01" w14:textId="77777777" w:rsidR="00D21D80" w:rsidRPr="00F41C75" w:rsidRDefault="00D21D80" w:rsidP="00C955DB">
            <w:pPr>
              <w:spacing w:after="0" w:line="240" w:lineRule="auto"/>
              <w:jc w:val="both"/>
              <w:rPr>
                <w:rFonts w:ascii="Times New Roman" w:eastAsia="Times New Roman" w:hAnsi="Times New Roman" w:cs="Times New Roman"/>
                <w:b/>
                <w:bCs/>
                <w:noProof/>
                <w:lang w:val="en-GB" w:eastAsia="en-GB"/>
              </w:rPr>
            </w:pPr>
          </w:p>
        </w:tc>
      </w:tr>
      <w:tr w:rsidR="00D21D80" w:rsidRPr="005241FC" w14:paraId="29771C05" w14:textId="77777777" w:rsidTr="008E333E">
        <w:trPr>
          <w:trHeight w:val="302"/>
          <w:jc w:val="center"/>
        </w:trPr>
        <w:tc>
          <w:tcPr>
            <w:tcW w:w="1207" w:type="dxa"/>
            <w:tcBorders>
              <w:top w:val="single" w:sz="4" w:space="0" w:color="auto"/>
              <w:left w:val="single" w:sz="4" w:space="0" w:color="auto"/>
              <w:bottom w:val="single" w:sz="4" w:space="0" w:color="auto"/>
              <w:right w:val="single" w:sz="4" w:space="0" w:color="auto"/>
            </w:tcBorders>
            <w:shd w:val="clear" w:color="auto" w:fill="C6EFCE"/>
            <w:noWrap/>
          </w:tcPr>
          <w:p w14:paraId="1C350040"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19</w:t>
            </w:r>
          </w:p>
        </w:tc>
        <w:tc>
          <w:tcPr>
            <w:tcW w:w="4082" w:type="dxa"/>
            <w:tcBorders>
              <w:top w:val="single" w:sz="4" w:space="0" w:color="auto"/>
              <w:left w:val="nil"/>
              <w:bottom w:val="single" w:sz="4" w:space="0" w:color="auto"/>
              <w:right w:val="single" w:sz="4" w:space="0" w:color="auto"/>
            </w:tcBorders>
            <w:shd w:val="clear" w:color="auto" w:fill="C6EFCE"/>
            <w:noWrap/>
          </w:tcPr>
          <w:p w14:paraId="38575A89" w14:textId="77777777" w:rsidR="00D21D80" w:rsidRPr="009674F2" w:rsidRDefault="00D21D80" w:rsidP="00C955DB">
            <w:pPr>
              <w:spacing w:after="0"/>
              <w:jc w:val="both"/>
              <w:rPr>
                <w:rFonts w:ascii="Times New Roman" w:hAnsi="Times New Roman" w:cs="Times New Roman"/>
                <w:noProof/>
                <w:color w:val="006100"/>
              </w:rPr>
            </w:pPr>
            <w:r>
              <w:rPr>
                <w:rFonts w:ascii="Times New Roman" w:hAnsi="Times New Roman"/>
                <w:noProof/>
                <w:color w:val="006100"/>
              </w:rPr>
              <w:t>C1I3 Предлагане на обучения за придобиване на умения в областта на цифровите технологии и създаване на обучителна платформа за възрастни</w:t>
            </w:r>
          </w:p>
        </w:tc>
        <w:tc>
          <w:tcPr>
            <w:tcW w:w="1559" w:type="dxa"/>
            <w:tcBorders>
              <w:top w:val="single" w:sz="4" w:space="0" w:color="auto"/>
              <w:left w:val="nil"/>
              <w:bottom w:val="single" w:sz="4" w:space="0" w:color="auto"/>
              <w:right w:val="single" w:sz="4" w:space="0" w:color="auto"/>
            </w:tcBorders>
            <w:shd w:val="clear" w:color="auto" w:fill="C6EFCE"/>
            <w:noWrap/>
          </w:tcPr>
          <w:p w14:paraId="0A3917F5" w14:textId="77777777" w:rsidR="00D21D80" w:rsidRPr="009674F2" w:rsidRDefault="00D21D80" w:rsidP="00C955DB">
            <w:pPr>
              <w:spacing w:after="0" w:line="240" w:lineRule="auto"/>
              <w:jc w:val="center"/>
              <w:rPr>
                <w:rFonts w:ascii="Times New Roman" w:hAnsi="Times New Roman" w:cs="Times New Roman"/>
                <w:noProof/>
                <w:color w:val="006100"/>
              </w:rPr>
            </w:pPr>
            <w:r>
              <w:rPr>
                <w:rFonts w:ascii="Times New Roman" w:hAnsi="Times New Roman"/>
                <w:noProof/>
                <w:color w:val="006100"/>
              </w:rPr>
              <w:t>Ключов етап</w:t>
            </w:r>
          </w:p>
        </w:tc>
        <w:tc>
          <w:tcPr>
            <w:tcW w:w="3447" w:type="dxa"/>
            <w:tcBorders>
              <w:top w:val="single" w:sz="4" w:space="0" w:color="auto"/>
              <w:left w:val="nil"/>
              <w:bottom w:val="single" w:sz="4" w:space="0" w:color="auto"/>
              <w:right w:val="single" w:sz="4" w:space="0" w:color="auto"/>
            </w:tcBorders>
            <w:shd w:val="clear" w:color="auto" w:fill="C6EFCE"/>
            <w:noWrap/>
          </w:tcPr>
          <w:p w14:paraId="4B58D1D8" w14:textId="77777777" w:rsidR="00D21D80" w:rsidRPr="009674F2" w:rsidRDefault="00D21D80" w:rsidP="00C955DB">
            <w:pPr>
              <w:spacing w:after="0" w:line="240" w:lineRule="auto"/>
              <w:rPr>
                <w:rFonts w:ascii="Times New Roman" w:hAnsi="Times New Roman" w:cs="Times New Roman"/>
                <w:noProof/>
                <w:color w:val="006100"/>
              </w:rPr>
            </w:pPr>
            <w:r>
              <w:rPr>
                <w:rFonts w:ascii="Times New Roman" w:hAnsi="Times New Roman"/>
                <w:noProof/>
                <w:color w:val="006100"/>
              </w:rPr>
              <w:t>Напълно оперативна платформа за електронно обучение за възрастни</w:t>
            </w:r>
          </w:p>
        </w:tc>
      </w:tr>
      <w:tr w:rsidR="00ED27EC" w:rsidRPr="00A01E14" w14:paraId="321CCE5A" w14:textId="77777777" w:rsidTr="14D66C95">
        <w:trPr>
          <w:trHeight w:val="302"/>
          <w:jc w:val="center"/>
        </w:trPr>
        <w:tc>
          <w:tcPr>
            <w:tcW w:w="1207" w:type="dxa"/>
            <w:tcBorders>
              <w:top w:val="nil"/>
              <w:left w:val="single" w:sz="4" w:space="0" w:color="auto"/>
              <w:bottom w:val="single" w:sz="4" w:space="0" w:color="auto"/>
              <w:right w:val="single" w:sz="4" w:space="0" w:color="auto"/>
            </w:tcBorders>
            <w:shd w:val="clear" w:color="auto" w:fill="C6EFCE"/>
            <w:noWrap/>
          </w:tcPr>
          <w:p w14:paraId="62D98C7E" w14:textId="2335C29B" w:rsidR="00ED27EC" w:rsidRPr="009674F2" w:rsidRDefault="00ED27EC" w:rsidP="00ED27EC">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18</w:t>
            </w:r>
          </w:p>
        </w:tc>
        <w:tc>
          <w:tcPr>
            <w:tcW w:w="4082" w:type="dxa"/>
            <w:tcBorders>
              <w:top w:val="nil"/>
              <w:left w:val="nil"/>
              <w:bottom w:val="single" w:sz="4" w:space="0" w:color="auto"/>
              <w:right w:val="single" w:sz="4" w:space="0" w:color="auto"/>
            </w:tcBorders>
            <w:shd w:val="clear" w:color="auto" w:fill="C6EFCE"/>
            <w:noWrap/>
          </w:tcPr>
          <w:p w14:paraId="4EEF9F41" w14:textId="6077889A" w:rsidR="00ED27EC" w:rsidRPr="009674F2" w:rsidRDefault="00ED27EC" w:rsidP="00ED27EC">
            <w:pPr>
              <w:spacing w:after="0"/>
              <w:jc w:val="both"/>
              <w:rPr>
                <w:rFonts w:ascii="Times New Roman" w:hAnsi="Times New Roman" w:cs="Times New Roman"/>
                <w:noProof/>
                <w:color w:val="006100"/>
              </w:rPr>
            </w:pPr>
            <w:r>
              <w:rPr>
                <w:rFonts w:ascii="Times New Roman" w:hAnsi="Times New Roman"/>
                <w:noProof/>
                <w:color w:val="006100"/>
              </w:rPr>
              <w:t>C1I3 Предлагане на обучения за придобиване на умения в областта на цифровите технологии и създаване на обучителна платформа за възрастни</w:t>
            </w:r>
          </w:p>
        </w:tc>
        <w:tc>
          <w:tcPr>
            <w:tcW w:w="1559" w:type="dxa"/>
            <w:tcBorders>
              <w:top w:val="nil"/>
              <w:left w:val="nil"/>
              <w:bottom w:val="single" w:sz="4" w:space="0" w:color="auto"/>
              <w:right w:val="single" w:sz="4" w:space="0" w:color="auto"/>
            </w:tcBorders>
            <w:shd w:val="clear" w:color="auto" w:fill="C6EFCE"/>
            <w:noWrap/>
          </w:tcPr>
          <w:p w14:paraId="59BD6684" w14:textId="64C0630B" w:rsidR="00ED27EC" w:rsidRPr="009674F2" w:rsidRDefault="00ED27EC" w:rsidP="00ED27EC">
            <w:pPr>
              <w:spacing w:after="0" w:line="240" w:lineRule="auto"/>
              <w:jc w:val="center"/>
              <w:rPr>
                <w:rFonts w:ascii="Times New Roman" w:hAnsi="Times New Roman" w:cs="Times New Roman"/>
                <w:noProof/>
                <w:color w:val="006100"/>
              </w:rPr>
            </w:pPr>
            <w:r>
              <w:rPr>
                <w:rFonts w:ascii="Times New Roman" w:hAnsi="Times New Roman"/>
                <w:noProof/>
                <w:color w:val="006100"/>
              </w:rPr>
              <w:t>Цел</w:t>
            </w:r>
          </w:p>
        </w:tc>
        <w:tc>
          <w:tcPr>
            <w:tcW w:w="3447" w:type="dxa"/>
            <w:tcBorders>
              <w:top w:val="nil"/>
              <w:left w:val="nil"/>
              <w:bottom w:val="single" w:sz="4" w:space="0" w:color="auto"/>
              <w:right w:val="single" w:sz="4" w:space="0" w:color="auto"/>
            </w:tcBorders>
            <w:shd w:val="clear" w:color="auto" w:fill="C6EFCE"/>
            <w:noWrap/>
          </w:tcPr>
          <w:p w14:paraId="5212B0FD" w14:textId="43A49ACD" w:rsidR="00ED27EC" w:rsidRPr="009674F2" w:rsidRDefault="00ED27EC" w:rsidP="00ED27EC">
            <w:pPr>
              <w:spacing w:after="0" w:line="240" w:lineRule="auto"/>
              <w:rPr>
                <w:rFonts w:ascii="Times New Roman" w:hAnsi="Times New Roman" w:cs="Times New Roman"/>
                <w:noProof/>
                <w:color w:val="006100"/>
              </w:rPr>
            </w:pPr>
            <w:r>
              <w:rPr>
                <w:rFonts w:ascii="Times New Roman" w:hAnsi="Times New Roman"/>
                <w:noProof/>
                <w:color w:val="006100"/>
              </w:rPr>
              <w:t xml:space="preserve">Напълно функциониращи дигитални клубове </w:t>
            </w:r>
          </w:p>
        </w:tc>
      </w:tr>
      <w:tr w:rsidR="00ED27EC" w:rsidRPr="005241FC" w14:paraId="19391ABF" w14:textId="77777777" w:rsidTr="14D66C95">
        <w:trPr>
          <w:trHeight w:val="302"/>
          <w:jc w:val="center"/>
        </w:trPr>
        <w:tc>
          <w:tcPr>
            <w:tcW w:w="1207" w:type="dxa"/>
            <w:tcBorders>
              <w:top w:val="nil"/>
              <w:left w:val="single" w:sz="4" w:space="0" w:color="auto"/>
              <w:bottom w:val="single" w:sz="4" w:space="0" w:color="auto"/>
              <w:right w:val="single" w:sz="4" w:space="0" w:color="auto"/>
            </w:tcBorders>
            <w:shd w:val="clear" w:color="auto" w:fill="C6EFCE"/>
            <w:noWrap/>
          </w:tcPr>
          <w:p w14:paraId="597AA968" w14:textId="77777777" w:rsidR="00ED27EC" w:rsidRPr="009674F2" w:rsidRDefault="00ED27EC" w:rsidP="00ED27EC">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30</w:t>
            </w:r>
          </w:p>
        </w:tc>
        <w:tc>
          <w:tcPr>
            <w:tcW w:w="4082" w:type="dxa"/>
            <w:tcBorders>
              <w:top w:val="nil"/>
              <w:left w:val="nil"/>
              <w:bottom w:val="single" w:sz="4" w:space="0" w:color="auto"/>
              <w:right w:val="single" w:sz="4" w:space="0" w:color="auto"/>
            </w:tcBorders>
            <w:shd w:val="clear" w:color="auto" w:fill="C6EFCE"/>
            <w:noWrap/>
            <w:vAlign w:val="center"/>
          </w:tcPr>
          <w:p w14:paraId="51C1E075" w14:textId="77777777" w:rsidR="00ED27EC" w:rsidRPr="009674F2" w:rsidRDefault="00ED27EC" w:rsidP="00ED27EC">
            <w:pPr>
              <w:spacing w:after="0" w:line="240" w:lineRule="auto"/>
              <w:jc w:val="both"/>
              <w:rPr>
                <w:rFonts w:ascii="Times New Roman" w:hAnsi="Times New Roman" w:cs="Times New Roman"/>
                <w:noProof/>
                <w:color w:val="006100"/>
              </w:rPr>
            </w:pPr>
            <w:r>
              <w:rPr>
                <w:rFonts w:ascii="Times New Roman" w:hAnsi="Times New Roman"/>
                <w:noProof/>
                <w:color w:val="006100"/>
              </w:rPr>
              <w:t>C2I1 Програма за ускоряване на икономическото възстановяване и трансформация чрез научни изследвания и иновации</w:t>
            </w:r>
          </w:p>
        </w:tc>
        <w:tc>
          <w:tcPr>
            <w:tcW w:w="1559" w:type="dxa"/>
            <w:tcBorders>
              <w:top w:val="nil"/>
              <w:left w:val="nil"/>
              <w:bottom w:val="single" w:sz="4" w:space="0" w:color="auto"/>
              <w:right w:val="single" w:sz="4" w:space="0" w:color="auto"/>
            </w:tcBorders>
            <w:shd w:val="clear" w:color="auto" w:fill="C6EFCE"/>
            <w:noWrap/>
            <w:vAlign w:val="center"/>
          </w:tcPr>
          <w:p w14:paraId="15CCD501" w14:textId="77777777" w:rsidR="00ED27EC" w:rsidRPr="009674F2" w:rsidRDefault="00ED27EC" w:rsidP="00ED27EC">
            <w:pPr>
              <w:spacing w:after="0" w:line="240" w:lineRule="auto"/>
              <w:jc w:val="center"/>
              <w:rPr>
                <w:rFonts w:ascii="Times New Roman" w:hAnsi="Times New Roman" w:cs="Times New Roman"/>
                <w:noProof/>
                <w:color w:val="006100"/>
              </w:rPr>
            </w:pPr>
            <w:r>
              <w:rPr>
                <w:rFonts w:ascii="Times New Roman" w:hAnsi="Times New Roman"/>
                <w:noProof/>
                <w:color w:val="006100"/>
              </w:rPr>
              <w:t>Цел</w:t>
            </w:r>
          </w:p>
        </w:tc>
        <w:tc>
          <w:tcPr>
            <w:tcW w:w="3447" w:type="dxa"/>
            <w:tcBorders>
              <w:top w:val="nil"/>
              <w:left w:val="nil"/>
              <w:bottom w:val="single" w:sz="4" w:space="0" w:color="auto"/>
              <w:right w:val="single" w:sz="4" w:space="0" w:color="auto"/>
            </w:tcBorders>
            <w:shd w:val="clear" w:color="auto" w:fill="C6EFCE"/>
            <w:noWrap/>
            <w:vAlign w:val="center"/>
          </w:tcPr>
          <w:p w14:paraId="6E143B70" w14:textId="77777777" w:rsidR="00ED27EC" w:rsidRPr="009674F2" w:rsidRDefault="00ED27EC" w:rsidP="00ED27EC">
            <w:pPr>
              <w:spacing w:after="0" w:line="240" w:lineRule="auto"/>
              <w:rPr>
                <w:rFonts w:ascii="Times New Roman" w:hAnsi="Times New Roman" w:cs="Times New Roman"/>
                <w:noProof/>
                <w:color w:val="006100"/>
              </w:rPr>
            </w:pPr>
            <w:r>
              <w:rPr>
                <w:rFonts w:ascii="Times New Roman" w:hAnsi="Times New Roman"/>
                <w:noProof/>
                <w:color w:val="006100"/>
              </w:rPr>
              <w:t>Доклади за изпълнението на програмите за иновации</w:t>
            </w:r>
          </w:p>
        </w:tc>
      </w:tr>
      <w:tr w:rsidR="00ED27EC" w:rsidRPr="005241FC" w14:paraId="27390716" w14:textId="77777777" w:rsidTr="14D66C95">
        <w:trPr>
          <w:trHeight w:val="302"/>
          <w:jc w:val="center"/>
        </w:trPr>
        <w:tc>
          <w:tcPr>
            <w:tcW w:w="1207" w:type="dxa"/>
            <w:tcBorders>
              <w:top w:val="nil"/>
              <w:left w:val="single" w:sz="4" w:space="0" w:color="auto"/>
              <w:bottom w:val="single" w:sz="4" w:space="0" w:color="auto"/>
              <w:right w:val="single" w:sz="4" w:space="0" w:color="auto"/>
            </w:tcBorders>
            <w:shd w:val="clear" w:color="auto" w:fill="C6EFCE"/>
            <w:noWrap/>
          </w:tcPr>
          <w:p w14:paraId="3EC3C9F5" w14:textId="77777777" w:rsidR="00ED27EC" w:rsidRPr="009674F2" w:rsidRDefault="00ED27EC" w:rsidP="00ED27EC">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26</w:t>
            </w:r>
          </w:p>
        </w:tc>
        <w:tc>
          <w:tcPr>
            <w:tcW w:w="4082" w:type="dxa"/>
            <w:tcBorders>
              <w:top w:val="nil"/>
              <w:left w:val="nil"/>
              <w:bottom w:val="single" w:sz="4" w:space="0" w:color="auto"/>
              <w:right w:val="single" w:sz="4" w:space="0" w:color="auto"/>
            </w:tcBorders>
            <w:shd w:val="clear" w:color="auto" w:fill="C6EFCE"/>
            <w:noWrap/>
          </w:tcPr>
          <w:p w14:paraId="78279B29" w14:textId="77777777" w:rsidR="00ED27EC" w:rsidRPr="009674F2" w:rsidRDefault="00ED27EC" w:rsidP="00ED27EC">
            <w:pPr>
              <w:spacing w:after="0" w:line="240" w:lineRule="auto"/>
              <w:jc w:val="both"/>
              <w:rPr>
                <w:rFonts w:ascii="Times New Roman" w:eastAsia="Times New Roman" w:hAnsi="Times New Roman" w:cs="Times New Roman"/>
                <w:noProof/>
                <w:color w:val="006100"/>
                <w:highlight w:val="yellow"/>
              </w:rPr>
            </w:pPr>
            <w:r>
              <w:rPr>
                <w:rFonts w:ascii="Times New Roman" w:hAnsi="Times New Roman"/>
                <w:noProof/>
                <w:color w:val="006100"/>
              </w:rPr>
              <w:t xml:space="preserve">C2R1 Обща политика за развитие на научните изследвания и иновациите </w:t>
            </w:r>
          </w:p>
        </w:tc>
        <w:tc>
          <w:tcPr>
            <w:tcW w:w="1559" w:type="dxa"/>
            <w:tcBorders>
              <w:top w:val="nil"/>
              <w:left w:val="nil"/>
              <w:bottom w:val="single" w:sz="4" w:space="0" w:color="auto"/>
              <w:right w:val="single" w:sz="4" w:space="0" w:color="auto"/>
            </w:tcBorders>
            <w:shd w:val="clear" w:color="auto" w:fill="C6EFCE"/>
            <w:noWrap/>
          </w:tcPr>
          <w:p w14:paraId="227867F6" w14:textId="77777777" w:rsidR="00ED27EC" w:rsidRPr="009674F2" w:rsidRDefault="00ED27EC" w:rsidP="00ED27EC">
            <w:pPr>
              <w:spacing w:after="0" w:line="240" w:lineRule="auto"/>
              <w:jc w:val="center"/>
              <w:rPr>
                <w:rFonts w:ascii="Times New Roman" w:hAnsi="Times New Roman" w:cs="Times New Roman"/>
                <w:noProof/>
                <w:color w:val="006100"/>
              </w:rPr>
            </w:pPr>
            <w:r>
              <w:rPr>
                <w:rFonts w:ascii="Times New Roman" w:hAnsi="Times New Roman"/>
                <w:noProof/>
                <w:color w:val="006100"/>
              </w:rPr>
              <w:t>Ключов етап</w:t>
            </w:r>
          </w:p>
        </w:tc>
        <w:tc>
          <w:tcPr>
            <w:tcW w:w="3447" w:type="dxa"/>
            <w:tcBorders>
              <w:top w:val="nil"/>
              <w:left w:val="nil"/>
              <w:bottom w:val="single" w:sz="4" w:space="0" w:color="auto"/>
              <w:right w:val="single" w:sz="4" w:space="0" w:color="auto"/>
            </w:tcBorders>
            <w:shd w:val="clear" w:color="auto" w:fill="C6EFCE"/>
            <w:noWrap/>
          </w:tcPr>
          <w:p w14:paraId="003909C9" w14:textId="77777777" w:rsidR="00ED27EC" w:rsidRPr="009674F2" w:rsidRDefault="00ED27EC" w:rsidP="00ED27EC">
            <w:pPr>
              <w:spacing w:after="0" w:line="240" w:lineRule="auto"/>
              <w:rPr>
                <w:rFonts w:ascii="Times New Roman" w:hAnsi="Times New Roman" w:cs="Times New Roman"/>
                <w:noProof/>
                <w:color w:val="006100"/>
              </w:rPr>
            </w:pPr>
            <w:r>
              <w:rPr>
                <w:rFonts w:ascii="Times New Roman" w:hAnsi="Times New Roman"/>
                <w:noProof/>
                <w:color w:val="006100"/>
              </w:rPr>
              <w:t xml:space="preserve">Изменени и влезли в сила законодателни актове, посочени в доклада за необходимите изменения на други законодателни актове / влезли в сила подзаконодателни актове </w:t>
            </w:r>
          </w:p>
        </w:tc>
      </w:tr>
      <w:tr w:rsidR="00ED27EC" w:rsidRPr="005241FC" w14:paraId="5B8DC3DE" w14:textId="77777777" w:rsidTr="14D66C95">
        <w:trPr>
          <w:trHeight w:val="302"/>
          <w:jc w:val="center"/>
        </w:trPr>
        <w:tc>
          <w:tcPr>
            <w:tcW w:w="1207" w:type="dxa"/>
            <w:tcBorders>
              <w:top w:val="nil"/>
              <w:left w:val="single" w:sz="4" w:space="0" w:color="auto"/>
              <w:bottom w:val="single" w:sz="4" w:space="0" w:color="auto"/>
              <w:right w:val="single" w:sz="4" w:space="0" w:color="auto"/>
            </w:tcBorders>
            <w:shd w:val="clear" w:color="auto" w:fill="C6EFCE"/>
            <w:noWrap/>
          </w:tcPr>
          <w:p w14:paraId="51D1B122" w14:textId="77777777" w:rsidR="00ED27EC" w:rsidRPr="009674F2" w:rsidRDefault="00ED27EC" w:rsidP="00ED27EC">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47</w:t>
            </w:r>
          </w:p>
        </w:tc>
        <w:tc>
          <w:tcPr>
            <w:tcW w:w="4082" w:type="dxa"/>
            <w:tcBorders>
              <w:top w:val="nil"/>
              <w:left w:val="nil"/>
              <w:bottom w:val="single" w:sz="4" w:space="0" w:color="auto"/>
              <w:right w:val="single" w:sz="4" w:space="0" w:color="auto"/>
            </w:tcBorders>
            <w:shd w:val="clear" w:color="auto" w:fill="C6EFCE"/>
            <w:noWrap/>
            <w:vAlign w:val="center"/>
          </w:tcPr>
          <w:p w14:paraId="74853AEB" w14:textId="77777777" w:rsidR="00ED27EC" w:rsidRPr="009674F2" w:rsidRDefault="00ED27EC" w:rsidP="00ED27EC">
            <w:pPr>
              <w:spacing w:after="0"/>
              <w:jc w:val="both"/>
              <w:rPr>
                <w:rFonts w:ascii="Times New Roman" w:eastAsia="Times New Roman" w:hAnsi="Times New Roman" w:cs="Times New Roman"/>
                <w:noProof/>
                <w:color w:val="006100"/>
                <w:highlight w:val="yellow"/>
              </w:rPr>
            </w:pPr>
            <w:r>
              <w:rPr>
                <w:rFonts w:ascii="Times New Roman" w:hAnsi="Times New Roman"/>
                <w:noProof/>
                <w:color w:val="006100"/>
              </w:rPr>
              <w:t>C3I2.1.в Схема за отпускане на безвъзмездни средства за технологична модернизация</w:t>
            </w:r>
          </w:p>
        </w:tc>
        <w:tc>
          <w:tcPr>
            <w:tcW w:w="1559" w:type="dxa"/>
            <w:tcBorders>
              <w:top w:val="nil"/>
              <w:left w:val="nil"/>
              <w:bottom w:val="single" w:sz="4" w:space="0" w:color="auto"/>
              <w:right w:val="single" w:sz="4" w:space="0" w:color="auto"/>
            </w:tcBorders>
            <w:shd w:val="clear" w:color="auto" w:fill="C6EFCE"/>
            <w:noWrap/>
            <w:vAlign w:val="center"/>
          </w:tcPr>
          <w:p w14:paraId="363233D8" w14:textId="77777777" w:rsidR="00ED27EC" w:rsidRPr="009674F2" w:rsidRDefault="00ED27EC" w:rsidP="00ED27EC">
            <w:pPr>
              <w:spacing w:after="0"/>
              <w:jc w:val="center"/>
              <w:rPr>
                <w:rFonts w:ascii="Times New Roman" w:hAnsi="Times New Roman" w:cs="Times New Roman"/>
                <w:noProof/>
                <w:color w:val="006100"/>
              </w:rPr>
            </w:pPr>
            <w:r>
              <w:rPr>
                <w:rFonts w:ascii="Times New Roman" w:hAnsi="Times New Roman"/>
                <w:noProof/>
                <w:color w:val="006100"/>
              </w:rPr>
              <w:t>Цел</w:t>
            </w:r>
          </w:p>
        </w:tc>
        <w:tc>
          <w:tcPr>
            <w:tcW w:w="3447" w:type="dxa"/>
            <w:tcBorders>
              <w:top w:val="nil"/>
              <w:left w:val="nil"/>
              <w:bottom w:val="single" w:sz="4" w:space="0" w:color="auto"/>
              <w:right w:val="single" w:sz="4" w:space="0" w:color="auto"/>
            </w:tcBorders>
            <w:shd w:val="clear" w:color="auto" w:fill="C6EFCE"/>
            <w:noWrap/>
            <w:vAlign w:val="center"/>
          </w:tcPr>
          <w:p w14:paraId="3EFBC3A7" w14:textId="77777777" w:rsidR="00ED27EC" w:rsidRPr="009674F2" w:rsidRDefault="00ED27EC" w:rsidP="00ED27EC">
            <w:pPr>
              <w:spacing w:after="0"/>
              <w:jc w:val="both"/>
              <w:rPr>
                <w:rFonts w:ascii="Times New Roman" w:hAnsi="Times New Roman" w:cs="Times New Roman"/>
                <w:noProof/>
                <w:color w:val="006100"/>
              </w:rPr>
            </w:pPr>
            <w:r>
              <w:rPr>
                <w:rFonts w:ascii="Times New Roman" w:hAnsi="Times New Roman"/>
                <w:noProof/>
                <w:color w:val="006100"/>
              </w:rPr>
              <w:t xml:space="preserve">Завършени проекти в подкрепа на технологичната модернизация </w:t>
            </w:r>
          </w:p>
        </w:tc>
      </w:tr>
      <w:tr w:rsidR="00ED27EC" w:rsidRPr="005241FC" w14:paraId="18976FEC" w14:textId="77777777" w:rsidTr="14D66C95">
        <w:trPr>
          <w:trHeight w:val="302"/>
          <w:jc w:val="center"/>
        </w:trPr>
        <w:tc>
          <w:tcPr>
            <w:tcW w:w="1207" w:type="dxa"/>
            <w:tcBorders>
              <w:top w:val="nil"/>
              <w:left w:val="single" w:sz="4" w:space="0" w:color="auto"/>
              <w:bottom w:val="single" w:sz="4" w:space="0" w:color="auto"/>
              <w:right w:val="single" w:sz="4" w:space="0" w:color="auto"/>
            </w:tcBorders>
            <w:shd w:val="clear" w:color="auto" w:fill="C6EFCE"/>
            <w:noWrap/>
          </w:tcPr>
          <w:p w14:paraId="68A0128F" w14:textId="77777777" w:rsidR="00ED27EC" w:rsidRPr="009674F2" w:rsidRDefault="00ED27EC" w:rsidP="00ED27EC">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37</w:t>
            </w:r>
          </w:p>
        </w:tc>
        <w:tc>
          <w:tcPr>
            <w:tcW w:w="4082" w:type="dxa"/>
            <w:tcBorders>
              <w:top w:val="nil"/>
              <w:left w:val="nil"/>
              <w:bottom w:val="single" w:sz="4" w:space="0" w:color="auto"/>
              <w:right w:val="single" w:sz="4" w:space="0" w:color="auto"/>
            </w:tcBorders>
            <w:shd w:val="clear" w:color="auto" w:fill="C6EFCE"/>
            <w:noWrap/>
            <w:vAlign w:val="center"/>
          </w:tcPr>
          <w:p w14:paraId="5FF4DBE7" w14:textId="77777777" w:rsidR="00ED27EC" w:rsidRPr="009674F2" w:rsidRDefault="00ED27EC" w:rsidP="00ED27EC">
            <w:pPr>
              <w:spacing w:after="0"/>
              <w:jc w:val="both"/>
              <w:rPr>
                <w:rFonts w:ascii="Times New Roman" w:hAnsi="Times New Roman" w:cs="Times New Roman"/>
                <w:noProof/>
                <w:color w:val="006100"/>
              </w:rPr>
            </w:pPr>
            <w:r>
              <w:rPr>
                <w:rFonts w:ascii="Times New Roman" w:hAnsi="Times New Roman"/>
                <w:noProof/>
                <w:color w:val="006100"/>
              </w:rPr>
              <w:t>C3I1 AttractInvestBG</w:t>
            </w:r>
          </w:p>
        </w:tc>
        <w:tc>
          <w:tcPr>
            <w:tcW w:w="1559" w:type="dxa"/>
            <w:tcBorders>
              <w:top w:val="nil"/>
              <w:left w:val="nil"/>
              <w:bottom w:val="single" w:sz="4" w:space="0" w:color="auto"/>
              <w:right w:val="single" w:sz="4" w:space="0" w:color="auto"/>
            </w:tcBorders>
            <w:shd w:val="clear" w:color="auto" w:fill="C6EFCE"/>
            <w:noWrap/>
            <w:vAlign w:val="center"/>
          </w:tcPr>
          <w:p w14:paraId="4FA51298" w14:textId="77777777" w:rsidR="00ED27EC" w:rsidRPr="009674F2" w:rsidRDefault="00ED27EC" w:rsidP="00ED27EC">
            <w:pPr>
              <w:spacing w:after="0"/>
              <w:jc w:val="center"/>
              <w:rPr>
                <w:rFonts w:ascii="Times New Roman" w:hAnsi="Times New Roman" w:cs="Times New Roman"/>
                <w:noProof/>
                <w:color w:val="006100"/>
              </w:rPr>
            </w:pPr>
            <w:r>
              <w:rPr>
                <w:rFonts w:ascii="Times New Roman" w:hAnsi="Times New Roman"/>
                <w:noProof/>
                <w:color w:val="006100"/>
              </w:rPr>
              <w:t>Цел</w:t>
            </w:r>
          </w:p>
        </w:tc>
        <w:tc>
          <w:tcPr>
            <w:tcW w:w="3447" w:type="dxa"/>
            <w:tcBorders>
              <w:top w:val="nil"/>
              <w:left w:val="nil"/>
              <w:bottom w:val="single" w:sz="4" w:space="0" w:color="auto"/>
              <w:right w:val="single" w:sz="4" w:space="0" w:color="auto"/>
            </w:tcBorders>
            <w:shd w:val="clear" w:color="auto" w:fill="C6EFCE"/>
            <w:noWrap/>
            <w:vAlign w:val="center"/>
          </w:tcPr>
          <w:p w14:paraId="0AC73DB8" w14:textId="77777777" w:rsidR="00ED27EC" w:rsidRPr="009674F2" w:rsidRDefault="00ED27EC" w:rsidP="00ED27EC">
            <w:pPr>
              <w:spacing w:after="0"/>
              <w:jc w:val="both"/>
              <w:rPr>
                <w:rFonts w:ascii="Times New Roman" w:hAnsi="Times New Roman" w:cs="Times New Roman"/>
                <w:noProof/>
                <w:color w:val="006100"/>
              </w:rPr>
            </w:pPr>
            <w:r>
              <w:rPr>
                <w:rFonts w:ascii="Times New Roman" w:hAnsi="Times New Roman"/>
                <w:noProof/>
                <w:color w:val="006100"/>
              </w:rPr>
              <w:t>Подписване на договори за вътрешната и външната инфраструктура на индустриалните паркове или зони.</w:t>
            </w:r>
          </w:p>
        </w:tc>
      </w:tr>
      <w:tr w:rsidR="00ED27EC" w:rsidRPr="005241FC" w14:paraId="163C532C" w14:textId="77777777" w:rsidTr="14D66C95">
        <w:trPr>
          <w:trHeight w:val="302"/>
          <w:jc w:val="center"/>
        </w:trPr>
        <w:tc>
          <w:tcPr>
            <w:tcW w:w="1207" w:type="dxa"/>
            <w:tcBorders>
              <w:top w:val="nil"/>
              <w:left w:val="single" w:sz="4" w:space="0" w:color="auto"/>
              <w:bottom w:val="single" w:sz="4" w:space="0" w:color="auto"/>
              <w:right w:val="single" w:sz="4" w:space="0" w:color="auto"/>
            </w:tcBorders>
            <w:shd w:val="clear" w:color="auto" w:fill="C6EFCE"/>
            <w:noWrap/>
          </w:tcPr>
          <w:p w14:paraId="04AD6D6E" w14:textId="77777777" w:rsidR="00ED27EC" w:rsidRPr="009674F2" w:rsidRDefault="00ED27EC" w:rsidP="00ED27EC">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42</w:t>
            </w:r>
          </w:p>
        </w:tc>
        <w:tc>
          <w:tcPr>
            <w:tcW w:w="4082" w:type="dxa"/>
            <w:tcBorders>
              <w:top w:val="nil"/>
              <w:left w:val="nil"/>
              <w:bottom w:val="single" w:sz="4" w:space="0" w:color="auto"/>
              <w:right w:val="single" w:sz="4" w:space="0" w:color="auto"/>
            </w:tcBorders>
            <w:shd w:val="clear" w:color="auto" w:fill="C6EFCE"/>
            <w:noWrap/>
            <w:vAlign w:val="center"/>
          </w:tcPr>
          <w:p w14:paraId="0C4BCD63" w14:textId="77777777" w:rsidR="00ED27EC" w:rsidRPr="009674F2" w:rsidRDefault="00ED27EC" w:rsidP="00ED27EC">
            <w:pPr>
              <w:spacing w:after="0" w:line="240" w:lineRule="auto"/>
              <w:jc w:val="both"/>
              <w:rPr>
                <w:rFonts w:ascii="Times New Roman" w:hAnsi="Times New Roman" w:cs="Times New Roman"/>
                <w:noProof/>
                <w:color w:val="006100"/>
              </w:rPr>
            </w:pPr>
            <w:r>
              <w:rPr>
                <w:rFonts w:ascii="Times New Roman" w:hAnsi="Times New Roman"/>
                <w:noProof/>
                <w:color w:val="006100"/>
              </w:rPr>
              <w:t>C3I2.1.а Гаранционен инструмент за растеж</w:t>
            </w:r>
          </w:p>
        </w:tc>
        <w:tc>
          <w:tcPr>
            <w:tcW w:w="1559" w:type="dxa"/>
            <w:tcBorders>
              <w:top w:val="nil"/>
              <w:left w:val="nil"/>
              <w:bottom w:val="single" w:sz="4" w:space="0" w:color="auto"/>
              <w:right w:val="single" w:sz="4" w:space="0" w:color="auto"/>
            </w:tcBorders>
            <w:shd w:val="clear" w:color="auto" w:fill="C6EFCE"/>
            <w:noWrap/>
            <w:vAlign w:val="center"/>
          </w:tcPr>
          <w:p w14:paraId="5312F9D3" w14:textId="77777777" w:rsidR="00ED27EC" w:rsidRPr="009674F2" w:rsidRDefault="00ED27EC" w:rsidP="00ED27EC">
            <w:pPr>
              <w:spacing w:after="0" w:line="240" w:lineRule="auto"/>
              <w:jc w:val="center"/>
              <w:rPr>
                <w:rFonts w:ascii="Times New Roman" w:hAnsi="Times New Roman" w:cs="Times New Roman"/>
                <w:noProof/>
                <w:color w:val="006100"/>
              </w:rPr>
            </w:pPr>
            <w:r>
              <w:rPr>
                <w:rFonts w:ascii="Times New Roman" w:hAnsi="Times New Roman"/>
                <w:noProof/>
                <w:color w:val="006100"/>
              </w:rPr>
              <w:t>Цел</w:t>
            </w:r>
          </w:p>
        </w:tc>
        <w:tc>
          <w:tcPr>
            <w:tcW w:w="3447" w:type="dxa"/>
            <w:tcBorders>
              <w:top w:val="nil"/>
              <w:left w:val="nil"/>
              <w:bottom w:val="single" w:sz="4" w:space="0" w:color="auto"/>
              <w:right w:val="single" w:sz="4" w:space="0" w:color="auto"/>
            </w:tcBorders>
            <w:shd w:val="clear" w:color="auto" w:fill="C6EFCE"/>
            <w:noWrap/>
            <w:vAlign w:val="center"/>
          </w:tcPr>
          <w:p w14:paraId="1A06E999" w14:textId="77777777" w:rsidR="00ED27EC" w:rsidRPr="009674F2" w:rsidRDefault="00ED27EC" w:rsidP="00ED27EC">
            <w:pPr>
              <w:spacing w:after="0" w:line="240" w:lineRule="auto"/>
              <w:jc w:val="both"/>
              <w:rPr>
                <w:rFonts w:ascii="Times New Roman" w:hAnsi="Times New Roman" w:cs="Times New Roman"/>
                <w:noProof/>
                <w:color w:val="006100"/>
              </w:rPr>
            </w:pPr>
            <w:r>
              <w:rPr>
                <w:rFonts w:ascii="Times New Roman" w:hAnsi="Times New Roman"/>
                <w:noProof/>
                <w:color w:val="006100"/>
              </w:rPr>
              <w:t>Операции в размер на 100 % от общото предвидено финансиране, одобрени от инвестиционния комитет на InvestEU</w:t>
            </w:r>
          </w:p>
        </w:tc>
      </w:tr>
      <w:tr w:rsidR="00ED27EC" w:rsidRPr="005241FC" w14:paraId="21B59185" w14:textId="77777777" w:rsidTr="14D66C95">
        <w:trPr>
          <w:trHeight w:val="302"/>
          <w:jc w:val="center"/>
        </w:trPr>
        <w:tc>
          <w:tcPr>
            <w:tcW w:w="1207" w:type="dxa"/>
            <w:tcBorders>
              <w:top w:val="nil"/>
              <w:left w:val="single" w:sz="4" w:space="0" w:color="auto"/>
              <w:bottom w:val="single" w:sz="4" w:space="0" w:color="auto"/>
              <w:right w:val="single" w:sz="4" w:space="0" w:color="auto"/>
            </w:tcBorders>
            <w:shd w:val="clear" w:color="auto" w:fill="C6EFCE"/>
            <w:noWrap/>
          </w:tcPr>
          <w:p w14:paraId="234F887E" w14:textId="77777777" w:rsidR="00ED27EC" w:rsidRPr="009674F2" w:rsidRDefault="00ED27EC" w:rsidP="00ED27EC">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49</w:t>
            </w:r>
          </w:p>
        </w:tc>
        <w:tc>
          <w:tcPr>
            <w:tcW w:w="4082" w:type="dxa"/>
            <w:tcBorders>
              <w:top w:val="nil"/>
              <w:left w:val="nil"/>
              <w:bottom w:val="single" w:sz="4" w:space="0" w:color="auto"/>
              <w:right w:val="single" w:sz="4" w:space="0" w:color="auto"/>
            </w:tcBorders>
            <w:shd w:val="clear" w:color="auto" w:fill="C6EFCE"/>
            <w:noWrap/>
            <w:vAlign w:val="center"/>
          </w:tcPr>
          <w:p w14:paraId="3D340485" w14:textId="77777777" w:rsidR="00ED27EC" w:rsidRPr="009674F2" w:rsidRDefault="00ED27EC" w:rsidP="00ED27EC">
            <w:pPr>
              <w:spacing w:after="0" w:line="240" w:lineRule="auto"/>
              <w:jc w:val="both"/>
              <w:rPr>
                <w:rFonts w:ascii="Times New Roman" w:hAnsi="Times New Roman" w:cs="Times New Roman"/>
                <w:noProof/>
                <w:color w:val="006100"/>
              </w:rPr>
            </w:pPr>
            <w:r>
              <w:rPr>
                <w:rFonts w:ascii="Times New Roman" w:hAnsi="Times New Roman"/>
                <w:noProof/>
                <w:color w:val="006100"/>
              </w:rPr>
              <w:t>C3I2.1.г — Схема за безвъзмездни средства за решения в областта на информационните и комуникационните технологии и киберсигурността в МСП</w:t>
            </w:r>
          </w:p>
        </w:tc>
        <w:tc>
          <w:tcPr>
            <w:tcW w:w="1559" w:type="dxa"/>
            <w:tcBorders>
              <w:top w:val="nil"/>
              <w:left w:val="nil"/>
              <w:bottom w:val="single" w:sz="4" w:space="0" w:color="auto"/>
              <w:right w:val="single" w:sz="4" w:space="0" w:color="auto"/>
            </w:tcBorders>
            <w:shd w:val="clear" w:color="auto" w:fill="C6EFCE"/>
            <w:noWrap/>
            <w:vAlign w:val="center"/>
          </w:tcPr>
          <w:p w14:paraId="0F9E2561" w14:textId="77777777" w:rsidR="00ED27EC" w:rsidRPr="009674F2" w:rsidRDefault="00ED27EC" w:rsidP="00ED27EC">
            <w:pPr>
              <w:spacing w:after="0" w:line="240" w:lineRule="auto"/>
              <w:jc w:val="center"/>
              <w:rPr>
                <w:rFonts w:ascii="Times New Roman" w:hAnsi="Times New Roman" w:cs="Times New Roman"/>
                <w:noProof/>
                <w:color w:val="006100"/>
              </w:rPr>
            </w:pPr>
            <w:r>
              <w:rPr>
                <w:rFonts w:ascii="Times New Roman" w:hAnsi="Times New Roman"/>
                <w:noProof/>
                <w:color w:val="006100"/>
              </w:rPr>
              <w:t>Цел</w:t>
            </w:r>
          </w:p>
        </w:tc>
        <w:tc>
          <w:tcPr>
            <w:tcW w:w="3447" w:type="dxa"/>
            <w:tcBorders>
              <w:top w:val="nil"/>
              <w:left w:val="nil"/>
              <w:bottom w:val="single" w:sz="4" w:space="0" w:color="auto"/>
              <w:right w:val="single" w:sz="4" w:space="0" w:color="auto"/>
            </w:tcBorders>
            <w:shd w:val="clear" w:color="auto" w:fill="C6EFCE"/>
            <w:noWrap/>
            <w:vAlign w:val="center"/>
          </w:tcPr>
          <w:p w14:paraId="410CC385" w14:textId="77777777" w:rsidR="00ED27EC" w:rsidRPr="009674F2" w:rsidRDefault="00ED27EC" w:rsidP="00ED27EC">
            <w:pPr>
              <w:spacing w:after="0"/>
              <w:jc w:val="both"/>
              <w:rPr>
                <w:rFonts w:ascii="Times New Roman" w:hAnsi="Times New Roman" w:cs="Times New Roman"/>
                <w:noProof/>
                <w:color w:val="006100"/>
              </w:rPr>
            </w:pPr>
            <w:r>
              <w:rPr>
                <w:rFonts w:ascii="Times New Roman" w:hAnsi="Times New Roman"/>
                <w:noProof/>
                <w:color w:val="006100"/>
              </w:rPr>
              <w:t xml:space="preserve">Завършени проекти за подпомагане на базово цифровизиране на дружествата </w:t>
            </w:r>
          </w:p>
        </w:tc>
      </w:tr>
      <w:tr w:rsidR="00ED27EC" w:rsidRPr="005241FC" w14:paraId="4FDE1C10" w14:textId="77777777" w:rsidTr="14D66C95">
        <w:trPr>
          <w:trHeight w:val="302"/>
          <w:jc w:val="center"/>
        </w:trPr>
        <w:tc>
          <w:tcPr>
            <w:tcW w:w="1207" w:type="dxa"/>
            <w:tcBorders>
              <w:top w:val="nil"/>
              <w:left w:val="single" w:sz="4" w:space="0" w:color="auto"/>
              <w:bottom w:val="single" w:sz="4" w:space="0" w:color="auto"/>
              <w:right w:val="single" w:sz="4" w:space="0" w:color="auto"/>
            </w:tcBorders>
            <w:shd w:val="clear" w:color="auto" w:fill="C6EFCE"/>
            <w:noWrap/>
          </w:tcPr>
          <w:p w14:paraId="4D9C6ABD" w14:textId="77777777" w:rsidR="00ED27EC" w:rsidRPr="009674F2" w:rsidRDefault="00ED27EC" w:rsidP="00ED27EC">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58</w:t>
            </w:r>
          </w:p>
        </w:tc>
        <w:tc>
          <w:tcPr>
            <w:tcW w:w="4082" w:type="dxa"/>
            <w:tcBorders>
              <w:top w:val="nil"/>
              <w:left w:val="nil"/>
              <w:bottom w:val="single" w:sz="4" w:space="0" w:color="auto"/>
              <w:right w:val="single" w:sz="4" w:space="0" w:color="auto"/>
            </w:tcBorders>
            <w:shd w:val="clear" w:color="auto" w:fill="C6EFCE"/>
            <w:noWrap/>
            <w:vAlign w:val="center"/>
          </w:tcPr>
          <w:p w14:paraId="04B7C32F" w14:textId="77777777" w:rsidR="00ED27EC" w:rsidRPr="009674F2" w:rsidRDefault="00ED27EC" w:rsidP="00ED27EC">
            <w:pPr>
              <w:spacing w:after="0" w:line="240" w:lineRule="auto"/>
              <w:jc w:val="both"/>
              <w:rPr>
                <w:rFonts w:ascii="Times New Roman" w:hAnsi="Times New Roman" w:cs="Times New Roman"/>
                <w:noProof/>
                <w:color w:val="006100"/>
              </w:rPr>
            </w:pPr>
            <w:r>
              <w:rPr>
                <w:rFonts w:ascii="Times New Roman" w:hAnsi="Times New Roman"/>
                <w:noProof/>
                <w:color w:val="006100"/>
              </w:rPr>
              <w:t>C3I2.2.б Гаранционен инструмент за енергийна ефективност и възобновяема енергия</w:t>
            </w:r>
          </w:p>
        </w:tc>
        <w:tc>
          <w:tcPr>
            <w:tcW w:w="1559" w:type="dxa"/>
            <w:tcBorders>
              <w:top w:val="nil"/>
              <w:left w:val="nil"/>
              <w:bottom w:val="single" w:sz="4" w:space="0" w:color="auto"/>
              <w:right w:val="single" w:sz="4" w:space="0" w:color="auto"/>
            </w:tcBorders>
            <w:shd w:val="clear" w:color="auto" w:fill="C6EFCE"/>
            <w:noWrap/>
            <w:vAlign w:val="center"/>
          </w:tcPr>
          <w:p w14:paraId="18C7927B" w14:textId="77777777" w:rsidR="00ED27EC" w:rsidRPr="009674F2" w:rsidRDefault="00ED27EC" w:rsidP="00ED27EC">
            <w:pPr>
              <w:spacing w:after="0" w:line="240" w:lineRule="auto"/>
              <w:jc w:val="center"/>
              <w:rPr>
                <w:rFonts w:ascii="Times New Roman" w:hAnsi="Times New Roman" w:cs="Times New Roman"/>
                <w:noProof/>
                <w:color w:val="006100"/>
              </w:rPr>
            </w:pPr>
            <w:r>
              <w:rPr>
                <w:rFonts w:ascii="Times New Roman" w:hAnsi="Times New Roman"/>
                <w:noProof/>
                <w:color w:val="006100"/>
              </w:rPr>
              <w:t>Цел</w:t>
            </w:r>
          </w:p>
        </w:tc>
        <w:tc>
          <w:tcPr>
            <w:tcW w:w="3447" w:type="dxa"/>
            <w:tcBorders>
              <w:top w:val="nil"/>
              <w:left w:val="nil"/>
              <w:bottom w:val="single" w:sz="4" w:space="0" w:color="auto"/>
              <w:right w:val="single" w:sz="4" w:space="0" w:color="auto"/>
            </w:tcBorders>
            <w:shd w:val="clear" w:color="auto" w:fill="C6EFCE"/>
            <w:noWrap/>
            <w:vAlign w:val="center"/>
          </w:tcPr>
          <w:p w14:paraId="3B4B3933" w14:textId="77777777" w:rsidR="00ED27EC" w:rsidRPr="009674F2" w:rsidRDefault="00ED27EC" w:rsidP="00ED27EC">
            <w:pPr>
              <w:spacing w:after="0"/>
              <w:jc w:val="both"/>
              <w:rPr>
                <w:rFonts w:ascii="Times New Roman" w:eastAsia="Times New Roman" w:hAnsi="Times New Roman" w:cs="Times New Roman"/>
                <w:noProof/>
                <w:color w:val="006100"/>
              </w:rPr>
            </w:pPr>
            <w:r>
              <w:rPr>
                <w:rFonts w:ascii="Times New Roman" w:hAnsi="Times New Roman"/>
                <w:noProof/>
                <w:color w:val="006100"/>
              </w:rPr>
              <w:t>Финансови или инвестиционни операции в размер най-малко на 100 % от общия размер на средствата, разпределени за инструмента, одобрени от инвестиционния комитет на InvestEU</w:t>
            </w:r>
          </w:p>
        </w:tc>
      </w:tr>
      <w:tr w:rsidR="00ED27EC" w:rsidRPr="005241FC" w14:paraId="13E2FC64" w14:textId="77777777" w:rsidTr="14D66C95">
        <w:trPr>
          <w:trHeight w:val="302"/>
          <w:jc w:val="center"/>
        </w:trPr>
        <w:tc>
          <w:tcPr>
            <w:tcW w:w="1207" w:type="dxa"/>
            <w:tcBorders>
              <w:top w:val="nil"/>
              <w:left w:val="single" w:sz="4" w:space="0" w:color="auto"/>
              <w:bottom w:val="single" w:sz="4" w:space="0" w:color="auto"/>
              <w:right w:val="single" w:sz="4" w:space="0" w:color="auto"/>
            </w:tcBorders>
            <w:shd w:val="clear" w:color="auto" w:fill="C6EFCE"/>
            <w:noWrap/>
          </w:tcPr>
          <w:p w14:paraId="16E7770B" w14:textId="77777777" w:rsidR="00ED27EC" w:rsidRPr="009674F2" w:rsidRDefault="00ED27EC" w:rsidP="00ED27EC">
            <w:pPr>
              <w:spacing w:after="0" w:line="240" w:lineRule="auto"/>
              <w:jc w:val="center"/>
              <w:rPr>
                <w:rFonts w:ascii="Times New Roman" w:hAnsi="Times New Roman" w:cs="Times New Roman"/>
                <w:noProof/>
                <w:color w:val="006100"/>
              </w:rPr>
            </w:pPr>
            <w:r>
              <w:rPr>
                <w:rFonts w:ascii="Times New Roman" w:hAnsi="Times New Roman"/>
                <w:noProof/>
                <w:color w:val="006100"/>
              </w:rPr>
              <w:t>65</w:t>
            </w:r>
          </w:p>
        </w:tc>
        <w:tc>
          <w:tcPr>
            <w:tcW w:w="4082" w:type="dxa"/>
            <w:tcBorders>
              <w:top w:val="nil"/>
              <w:left w:val="nil"/>
              <w:bottom w:val="single" w:sz="4" w:space="0" w:color="auto"/>
              <w:right w:val="single" w:sz="4" w:space="0" w:color="auto"/>
            </w:tcBorders>
            <w:shd w:val="clear" w:color="auto" w:fill="C6EFCE"/>
            <w:noWrap/>
          </w:tcPr>
          <w:p w14:paraId="48CEA3AF" w14:textId="77777777" w:rsidR="00ED27EC" w:rsidRPr="009674F2" w:rsidRDefault="00ED27EC" w:rsidP="00ED27EC">
            <w:pPr>
              <w:spacing w:after="0" w:line="240" w:lineRule="auto"/>
              <w:jc w:val="both"/>
              <w:rPr>
                <w:rFonts w:ascii="Times New Roman" w:hAnsi="Times New Roman" w:cs="Times New Roman"/>
                <w:noProof/>
                <w:color w:val="006100"/>
              </w:rPr>
            </w:pPr>
            <w:r>
              <w:rPr>
                <w:rFonts w:ascii="Times New Roman" w:hAnsi="Times New Roman"/>
                <w:noProof/>
                <w:color w:val="006100"/>
              </w:rPr>
              <w:t>C4R1 Създаване на Национален фонд за декарбонизация</w:t>
            </w:r>
          </w:p>
        </w:tc>
        <w:tc>
          <w:tcPr>
            <w:tcW w:w="1559" w:type="dxa"/>
            <w:tcBorders>
              <w:top w:val="nil"/>
              <w:left w:val="nil"/>
              <w:bottom w:val="single" w:sz="4" w:space="0" w:color="auto"/>
              <w:right w:val="single" w:sz="4" w:space="0" w:color="auto"/>
            </w:tcBorders>
            <w:shd w:val="clear" w:color="auto" w:fill="C6EFCE"/>
            <w:noWrap/>
          </w:tcPr>
          <w:p w14:paraId="3A6A3D60" w14:textId="77777777" w:rsidR="00ED27EC" w:rsidRPr="009674F2" w:rsidRDefault="00ED27EC" w:rsidP="00ED27EC">
            <w:pPr>
              <w:spacing w:after="0" w:line="240" w:lineRule="auto"/>
              <w:jc w:val="center"/>
              <w:rPr>
                <w:rFonts w:ascii="Times New Roman" w:hAnsi="Times New Roman" w:cs="Times New Roman"/>
                <w:noProof/>
                <w:color w:val="006100"/>
              </w:rPr>
            </w:pPr>
            <w:r>
              <w:rPr>
                <w:rFonts w:ascii="Times New Roman" w:hAnsi="Times New Roman"/>
                <w:noProof/>
                <w:color w:val="006100"/>
              </w:rPr>
              <w:t>Ключов етап</w:t>
            </w:r>
          </w:p>
        </w:tc>
        <w:tc>
          <w:tcPr>
            <w:tcW w:w="3447" w:type="dxa"/>
            <w:tcBorders>
              <w:top w:val="nil"/>
              <w:left w:val="nil"/>
              <w:bottom w:val="single" w:sz="4" w:space="0" w:color="auto"/>
              <w:right w:val="single" w:sz="4" w:space="0" w:color="auto"/>
            </w:tcBorders>
            <w:shd w:val="clear" w:color="auto" w:fill="C6EFCE"/>
            <w:noWrap/>
          </w:tcPr>
          <w:p w14:paraId="18C16CAF" w14:textId="77777777" w:rsidR="00ED27EC" w:rsidRPr="009674F2" w:rsidRDefault="00ED27EC" w:rsidP="00ED27EC">
            <w:pPr>
              <w:spacing w:after="0"/>
              <w:rPr>
                <w:rFonts w:ascii="Times New Roman" w:hAnsi="Times New Roman" w:cs="Times New Roman"/>
                <w:noProof/>
                <w:color w:val="006100"/>
              </w:rPr>
            </w:pPr>
            <w:r>
              <w:rPr>
                <w:rFonts w:ascii="Times New Roman" w:hAnsi="Times New Roman"/>
                <w:noProof/>
                <w:color w:val="006100"/>
              </w:rPr>
              <w:t>Националният фонд за декарбонизация и неговите подфондове функционират.</w:t>
            </w:r>
          </w:p>
          <w:p w14:paraId="4F734320" w14:textId="77777777" w:rsidR="00ED27EC" w:rsidRPr="008A0F8A" w:rsidRDefault="00ED27EC" w:rsidP="00ED27EC">
            <w:pPr>
              <w:spacing w:after="0" w:line="240" w:lineRule="auto"/>
              <w:jc w:val="both"/>
              <w:rPr>
                <w:rFonts w:ascii="Times New Roman" w:hAnsi="Times New Roman" w:cs="Times New Roman"/>
                <w:noProof/>
                <w:color w:val="006100"/>
                <w:lang w:val="ru-RU"/>
              </w:rPr>
            </w:pPr>
          </w:p>
        </w:tc>
      </w:tr>
      <w:tr w:rsidR="00ED27EC" w:rsidRPr="005241FC" w14:paraId="7F62D043" w14:textId="77777777" w:rsidTr="14D66C95">
        <w:trPr>
          <w:trHeight w:val="302"/>
          <w:jc w:val="center"/>
        </w:trPr>
        <w:tc>
          <w:tcPr>
            <w:tcW w:w="1207" w:type="dxa"/>
            <w:tcBorders>
              <w:top w:val="nil"/>
              <w:left w:val="single" w:sz="4" w:space="0" w:color="auto"/>
              <w:bottom w:val="single" w:sz="4" w:space="0" w:color="auto"/>
              <w:right w:val="single" w:sz="4" w:space="0" w:color="auto"/>
            </w:tcBorders>
            <w:shd w:val="clear" w:color="auto" w:fill="C6EFCE"/>
            <w:noWrap/>
          </w:tcPr>
          <w:p w14:paraId="05F95309" w14:textId="77777777" w:rsidR="00ED27EC" w:rsidRPr="009674F2" w:rsidRDefault="00ED27EC" w:rsidP="00ED27EC">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86</w:t>
            </w:r>
          </w:p>
        </w:tc>
        <w:tc>
          <w:tcPr>
            <w:tcW w:w="4082" w:type="dxa"/>
            <w:tcBorders>
              <w:top w:val="nil"/>
              <w:left w:val="nil"/>
              <w:bottom w:val="single" w:sz="4" w:space="0" w:color="auto"/>
              <w:right w:val="single" w:sz="4" w:space="0" w:color="auto"/>
            </w:tcBorders>
            <w:shd w:val="clear" w:color="auto" w:fill="C6EFCE"/>
            <w:noWrap/>
          </w:tcPr>
          <w:p w14:paraId="48F3376B" w14:textId="77777777" w:rsidR="00ED27EC" w:rsidRPr="009674F2" w:rsidRDefault="00ED27EC" w:rsidP="00ED27EC">
            <w:pPr>
              <w:spacing w:after="0" w:line="240" w:lineRule="auto"/>
              <w:jc w:val="both"/>
              <w:rPr>
                <w:rFonts w:ascii="Times New Roman" w:hAnsi="Times New Roman" w:cs="Times New Roman"/>
                <w:noProof/>
                <w:color w:val="006100"/>
              </w:rPr>
            </w:pPr>
            <w:r>
              <w:rPr>
                <w:rFonts w:ascii="Times New Roman" w:hAnsi="Times New Roman"/>
                <w:noProof/>
                <w:color w:val="006100"/>
              </w:rPr>
              <w:t>C4I4 Цифрова трансформация на електропреносната мрежа</w:t>
            </w:r>
          </w:p>
        </w:tc>
        <w:tc>
          <w:tcPr>
            <w:tcW w:w="1559" w:type="dxa"/>
            <w:tcBorders>
              <w:top w:val="nil"/>
              <w:left w:val="nil"/>
              <w:bottom w:val="single" w:sz="4" w:space="0" w:color="auto"/>
              <w:right w:val="single" w:sz="4" w:space="0" w:color="auto"/>
            </w:tcBorders>
            <w:shd w:val="clear" w:color="auto" w:fill="C6EFCE"/>
            <w:noWrap/>
          </w:tcPr>
          <w:p w14:paraId="35A1D1B9" w14:textId="77777777" w:rsidR="00ED27EC" w:rsidRPr="009674F2" w:rsidRDefault="00ED27EC" w:rsidP="00ED27EC">
            <w:pPr>
              <w:spacing w:after="0" w:line="240" w:lineRule="auto"/>
              <w:jc w:val="center"/>
              <w:rPr>
                <w:rFonts w:ascii="Times New Roman" w:hAnsi="Times New Roman" w:cs="Times New Roman"/>
                <w:noProof/>
                <w:color w:val="006100"/>
              </w:rPr>
            </w:pPr>
            <w:r>
              <w:rPr>
                <w:rFonts w:ascii="Times New Roman" w:hAnsi="Times New Roman"/>
                <w:noProof/>
                <w:color w:val="006100"/>
              </w:rPr>
              <w:t>Цел</w:t>
            </w:r>
          </w:p>
        </w:tc>
        <w:tc>
          <w:tcPr>
            <w:tcW w:w="3447" w:type="dxa"/>
            <w:tcBorders>
              <w:top w:val="nil"/>
              <w:left w:val="nil"/>
              <w:bottom w:val="single" w:sz="4" w:space="0" w:color="auto"/>
              <w:right w:val="single" w:sz="4" w:space="0" w:color="auto"/>
            </w:tcBorders>
            <w:shd w:val="clear" w:color="auto" w:fill="C6EFCE"/>
            <w:noWrap/>
          </w:tcPr>
          <w:p w14:paraId="1BF7757C" w14:textId="77777777" w:rsidR="00ED27EC" w:rsidRPr="009674F2" w:rsidRDefault="00ED27EC" w:rsidP="00ED27EC">
            <w:pPr>
              <w:spacing w:after="0" w:line="240" w:lineRule="auto"/>
              <w:rPr>
                <w:rFonts w:ascii="Times New Roman" w:hAnsi="Times New Roman" w:cs="Times New Roman"/>
                <w:noProof/>
                <w:color w:val="006100"/>
              </w:rPr>
            </w:pPr>
            <w:r>
              <w:rPr>
                <w:rFonts w:ascii="Times New Roman" w:hAnsi="Times New Roman"/>
                <w:noProof/>
                <w:color w:val="006100"/>
              </w:rPr>
              <w:t>Технически условия за интегриране в електроенергийната система на 2500 MW нов капацитет за производство от възобновяеми източници</w:t>
            </w:r>
          </w:p>
        </w:tc>
      </w:tr>
      <w:tr w:rsidR="00ED27EC" w:rsidRPr="005241FC" w14:paraId="4AD673A3" w14:textId="77777777" w:rsidTr="14D66C95">
        <w:trPr>
          <w:trHeight w:val="302"/>
          <w:jc w:val="center"/>
        </w:trPr>
        <w:tc>
          <w:tcPr>
            <w:tcW w:w="1207" w:type="dxa"/>
            <w:tcBorders>
              <w:top w:val="nil"/>
              <w:left w:val="single" w:sz="4" w:space="0" w:color="auto"/>
              <w:bottom w:val="single" w:sz="4" w:space="0" w:color="auto"/>
              <w:right w:val="single" w:sz="4" w:space="0" w:color="auto"/>
            </w:tcBorders>
            <w:shd w:val="clear" w:color="auto" w:fill="C6EFCE"/>
            <w:noWrap/>
          </w:tcPr>
          <w:p w14:paraId="0CDC9FB7" w14:textId="77777777" w:rsidR="00ED27EC" w:rsidRPr="009674F2" w:rsidRDefault="00ED27EC" w:rsidP="00ED27EC">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102</w:t>
            </w:r>
          </w:p>
        </w:tc>
        <w:tc>
          <w:tcPr>
            <w:tcW w:w="4082" w:type="dxa"/>
            <w:tcBorders>
              <w:top w:val="nil"/>
              <w:left w:val="nil"/>
              <w:bottom w:val="single" w:sz="4" w:space="0" w:color="auto"/>
              <w:right w:val="single" w:sz="4" w:space="0" w:color="auto"/>
            </w:tcBorders>
            <w:shd w:val="clear" w:color="auto" w:fill="C6EFCE"/>
            <w:noWrap/>
          </w:tcPr>
          <w:p w14:paraId="06E7EF40" w14:textId="77777777" w:rsidR="00ED27EC" w:rsidRPr="009674F2" w:rsidRDefault="00ED27EC" w:rsidP="00ED27EC">
            <w:pPr>
              <w:spacing w:after="0" w:line="240" w:lineRule="auto"/>
              <w:jc w:val="both"/>
              <w:rPr>
                <w:rFonts w:ascii="Times New Roman" w:hAnsi="Times New Roman" w:cs="Times New Roman"/>
                <w:noProof/>
                <w:color w:val="006100"/>
              </w:rPr>
            </w:pPr>
            <w:r>
              <w:rPr>
                <w:rFonts w:ascii="Times New Roman" w:hAnsi="Times New Roman"/>
                <w:noProof/>
                <w:color w:val="006100"/>
              </w:rPr>
              <w:t>C4I6 Подкрепа за нови мощности за производство на електроенергия от възобновяеми източници и съхранение на електроенергия</w:t>
            </w:r>
          </w:p>
        </w:tc>
        <w:tc>
          <w:tcPr>
            <w:tcW w:w="1559" w:type="dxa"/>
            <w:tcBorders>
              <w:top w:val="nil"/>
              <w:left w:val="nil"/>
              <w:bottom w:val="single" w:sz="4" w:space="0" w:color="auto"/>
              <w:right w:val="single" w:sz="4" w:space="0" w:color="auto"/>
            </w:tcBorders>
            <w:shd w:val="clear" w:color="auto" w:fill="C6EFCE"/>
            <w:noWrap/>
          </w:tcPr>
          <w:p w14:paraId="0AD20D78" w14:textId="77777777" w:rsidR="00ED27EC" w:rsidRPr="009674F2" w:rsidRDefault="00ED27EC" w:rsidP="00ED27EC">
            <w:pPr>
              <w:spacing w:after="0" w:line="240" w:lineRule="auto"/>
              <w:jc w:val="center"/>
              <w:rPr>
                <w:rFonts w:ascii="Times New Roman" w:hAnsi="Times New Roman" w:cs="Times New Roman"/>
                <w:noProof/>
                <w:color w:val="006100"/>
              </w:rPr>
            </w:pPr>
            <w:r>
              <w:rPr>
                <w:rFonts w:ascii="Times New Roman" w:hAnsi="Times New Roman"/>
                <w:noProof/>
                <w:color w:val="006100"/>
              </w:rPr>
              <w:t>Ключов етап</w:t>
            </w:r>
          </w:p>
        </w:tc>
        <w:tc>
          <w:tcPr>
            <w:tcW w:w="3447" w:type="dxa"/>
            <w:tcBorders>
              <w:top w:val="nil"/>
              <w:left w:val="nil"/>
              <w:bottom w:val="single" w:sz="4" w:space="0" w:color="auto"/>
              <w:right w:val="single" w:sz="4" w:space="0" w:color="auto"/>
            </w:tcBorders>
            <w:shd w:val="clear" w:color="auto" w:fill="C6EFCE"/>
            <w:noWrap/>
          </w:tcPr>
          <w:p w14:paraId="375B764F" w14:textId="77777777" w:rsidR="00ED27EC" w:rsidRPr="009674F2" w:rsidRDefault="00ED27EC" w:rsidP="00ED27EC">
            <w:pPr>
              <w:spacing w:after="0"/>
              <w:rPr>
                <w:rFonts w:ascii="Times New Roman" w:hAnsi="Times New Roman" w:cs="Times New Roman"/>
                <w:noProof/>
                <w:color w:val="006100"/>
              </w:rPr>
            </w:pPr>
            <w:r>
              <w:rPr>
                <w:rFonts w:ascii="Times New Roman" w:hAnsi="Times New Roman"/>
                <w:noProof/>
                <w:color w:val="006100"/>
              </w:rPr>
              <w:t>Обявяване на търг за изграждане на капацитет от 285 MW за производство на електроенергия от възобновяеми източници (вятърна и слънчева енергия), разположен заедно със системи за акумулиране на енергия</w:t>
            </w:r>
          </w:p>
        </w:tc>
      </w:tr>
      <w:tr w:rsidR="00ED27EC" w:rsidRPr="005241FC" w14:paraId="31664266" w14:textId="77777777" w:rsidTr="14D66C95">
        <w:trPr>
          <w:trHeight w:val="302"/>
          <w:jc w:val="center"/>
        </w:trPr>
        <w:tc>
          <w:tcPr>
            <w:tcW w:w="1207" w:type="dxa"/>
            <w:tcBorders>
              <w:top w:val="nil"/>
              <w:left w:val="single" w:sz="4" w:space="0" w:color="auto"/>
              <w:bottom w:val="single" w:sz="4" w:space="0" w:color="auto"/>
              <w:right w:val="single" w:sz="4" w:space="0" w:color="auto"/>
            </w:tcBorders>
            <w:shd w:val="clear" w:color="auto" w:fill="C6EFCE"/>
            <w:noWrap/>
          </w:tcPr>
          <w:p w14:paraId="4F8AF555" w14:textId="77777777" w:rsidR="00ED27EC" w:rsidRPr="009674F2" w:rsidRDefault="00ED27EC" w:rsidP="00ED27EC">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144</w:t>
            </w:r>
          </w:p>
        </w:tc>
        <w:tc>
          <w:tcPr>
            <w:tcW w:w="4082" w:type="dxa"/>
            <w:tcBorders>
              <w:top w:val="nil"/>
              <w:left w:val="nil"/>
              <w:bottom w:val="single" w:sz="4" w:space="0" w:color="auto"/>
              <w:right w:val="single" w:sz="4" w:space="0" w:color="auto"/>
            </w:tcBorders>
            <w:shd w:val="clear" w:color="auto" w:fill="C6EFCE"/>
            <w:noWrap/>
          </w:tcPr>
          <w:p w14:paraId="20F297CC" w14:textId="77777777" w:rsidR="00ED27EC" w:rsidRPr="009674F2" w:rsidRDefault="00ED27EC" w:rsidP="00ED27EC">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C7I1 Широкомащабно внедряване на цифрова инфраструктура</w:t>
            </w:r>
          </w:p>
        </w:tc>
        <w:tc>
          <w:tcPr>
            <w:tcW w:w="1559" w:type="dxa"/>
            <w:tcBorders>
              <w:top w:val="nil"/>
              <w:left w:val="nil"/>
              <w:bottom w:val="single" w:sz="4" w:space="0" w:color="auto"/>
              <w:right w:val="single" w:sz="4" w:space="0" w:color="auto"/>
            </w:tcBorders>
            <w:shd w:val="clear" w:color="auto" w:fill="C6EFCE"/>
            <w:noWrap/>
          </w:tcPr>
          <w:p w14:paraId="15B61F64" w14:textId="77777777" w:rsidR="00ED27EC" w:rsidRPr="009674F2" w:rsidRDefault="00ED27EC" w:rsidP="00ED27EC">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Цел</w:t>
            </w:r>
          </w:p>
        </w:tc>
        <w:tc>
          <w:tcPr>
            <w:tcW w:w="3447" w:type="dxa"/>
            <w:tcBorders>
              <w:top w:val="nil"/>
              <w:left w:val="nil"/>
              <w:bottom w:val="single" w:sz="4" w:space="0" w:color="auto"/>
              <w:right w:val="single" w:sz="4" w:space="0" w:color="auto"/>
            </w:tcBorders>
            <w:shd w:val="clear" w:color="auto" w:fill="C6EFCE"/>
            <w:noWrap/>
          </w:tcPr>
          <w:p w14:paraId="06DEEE3D" w14:textId="77777777" w:rsidR="00ED27EC" w:rsidRPr="009674F2" w:rsidRDefault="00ED27EC" w:rsidP="00ED27EC">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Общински центрове с нови възли за достъп до мрежи с много голям капацитет </w:t>
            </w:r>
          </w:p>
        </w:tc>
      </w:tr>
      <w:tr w:rsidR="00ED27EC" w:rsidRPr="005241FC" w14:paraId="75F45503" w14:textId="77777777" w:rsidTr="14D66C95">
        <w:trPr>
          <w:trHeight w:val="302"/>
          <w:jc w:val="center"/>
        </w:trPr>
        <w:tc>
          <w:tcPr>
            <w:tcW w:w="1207" w:type="dxa"/>
            <w:tcBorders>
              <w:top w:val="nil"/>
              <w:left w:val="single" w:sz="4" w:space="0" w:color="auto"/>
              <w:bottom w:val="single" w:sz="4" w:space="0" w:color="auto"/>
              <w:right w:val="single" w:sz="4" w:space="0" w:color="auto"/>
            </w:tcBorders>
            <w:shd w:val="clear" w:color="auto" w:fill="C6EFCE"/>
            <w:noWrap/>
          </w:tcPr>
          <w:p w14:paraId="3B0E0B49" w14:textId="77777777" w:rsidR="00ED27EC" w:rsidRPr="009674F2" w:rsidRDefault="00ED27EC" w:rsidP="00ED27EC">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145</w:t>
            </w:r>
          </w:p>
        </w:tc>
        <w:tc>
          <w:tcPr>
            <w:tcW w:w="4082" w:type="dxa"/>
            <w:tcBorders>
              <w:top w:val="nil"/>
              <w:left w:val="nil"/>
              <w:bottom w:val="single" w:sz="4" w:space="0" w:color="auto"/>
              <w:right w:val="single" w:sz="4" w:space="0" w:color="auto"/>
            </w:tcBorders>
            <w:shd w:val="clear" w:color="auto" w:fill="C6EFCE"/>
            <w:noWrap/>
          </w:tcPr>
          <w:p w14:paraId="24D3CD42" w14:textId="77777777" w:rsidR="00ED27EC" w:rsidRPr="009674F2" w:rsidRDefault="00ED27EC" w:rsidP="00ED27EC">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C7I1 Широкомащабно внедряване на цифрова инфраструктура</w:t>
            </w:r>
          </w:p>
        </w:tc>
        <w:tc>
          <w:tcPr>
            <w:tcW w:w="1559" w:type="dxa"/>
            <w:tcBorders>
              <w:top w:val="nil"/>
              <w:left w:val="nil"/>
              <w:bottom w:val="single" w:sz="4" w:space="0" w:color="auto"/>
              <w:right w:val="single" w:sz="4" w:space="0" w:color="auto"/>
            </w:tcBorders>
            <w:shd w:val="clear" w:color="auto" w:fill="C6EFCE"/>
            <w:noWrap/>
          </w:tcPr>
          <w:p w14:paraId="6C76195E" w14:textId="77777777" w:rsidR="00ED27EC" w:rsidRPr="009674F2" w:rsidRDefault="00ED27EC" w:rsidP="00ED27EC">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Цел</w:t>
            </w:r>
          </w:p>
        </w:tc>
        <w:tc>
          <w:tcPr>
            <w:tcW w:w="3447" w:type="dxa"/>
            <w:tcBorders>
              <w:top w:val="nil"/>
              <w:left w:val="nil"/>
              <w:bottom w:val="single" w:sz="4" w:space="0" w:color="auto"/>
              <w:right w:val="single" w:sz="4" w:space="0" w:color="auto"/>
            </w:tcBorders>
            <w:shd w:val="clear" w:color="auto" w:fill="C6EFCE"/>
            <w:noWrap/>
          </w:tcPr>
          <w:p w14:paraId="09B8146D" w14:textId="77777777" w:rsidR="00ED27EC" w:rsidRPr="009674F2" w:rsidRDefault="00ED27EC" w:rsidP="00ED27EC">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Население с достъп до мрежи с много голям капацитет със скорост от 1 Gbps или по-висока</w:t>
            </w:r>
          </w:p>
        </w:tc>
      </w:tr>
      <w:tr w:rsidR="00ED27EC" w:rsidRPr="005241FC" w14:paraId="2962F7AE" w14:textId="77777777" w:rsidTr="14D66C95">
        <w:trPr>
          <w:trHeight w:val="302"/>
          <w:jc w:val="center"/>
        </w:trPr>
        <w:tc>
          <w:tcPr>
            <w:tcW w:w="1207" w:type="dxa"/>
            <w:tcBorders>
              <w:top w:val="nil"/>
              <w:left w:val="single" w:sz="4" w:space="0" w:color="auto"/>
              <w:bottom w:val="single" w:sz="4" w:space="0" w:color="auto"/>
              <w:right w:val="single" w:sz="4" w:space="0" w:color="auto"/>
            </w:tcBorders>
            <w:shd w:val="clear" w:color="auto" w:fill="C6EFCE"/>
            <w:noWrap/>
          </w:tcPr>
          <w:p w14:paraId="396E55DE" w14:textId="77777777" w:rsidR="00ED27EC" w:rsidRPr="009674F2" w:rsidRDefault="00ED27EC" w:rsidP="00ED27EC">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150</w:t>
            </w:r>
          </w:p>
        </w:tc>
        <w:tc>
          <w:tcPr>
            <w:tcW w:w="4082" w:type="dxa"/>
            <w:tcBorders>
              <w:top w:val="nil"/>
              <w:left w:val="nil"/>
              <w:bottom w:val="single" w:sz="4" w:space="0" w:color="auto"/>
              <w:right w:val="single" w:sz="4" w:space="0" w:color="auto"/>
            </w:tcBorders>
            <w:shd w:val="clear" w:color="auto" w:fill="C6EFCE"/>
            <w:noWrap/>
          </w:tcPr>
          <w:p w14:paraId="58E0F033" w14:textId="77777777" w:rsidR="00ED27EC" w:rsidRPr="009674F2" w:rsidRDefault="00ED27EC" w:rsidP="00ED27EC">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C7I2 Изграждане, развитие и оптимизиране на цифровата система TETRA и радиорелейната мрежа</w:t>
            </w:r>
          </w:p>
        </w:tc>
        <w:tc>
          <w:tcPr>
            <w:tcW w:w="1559" w:type="dxa"/>
            <w:tcBorders>
              <w:top w:val="nil"/>
              <w:left w:val="nil"/>
              <w:bottom w:val="single" w:sz="4" w:space="0" w:color="auto"/>
              <w:right w:val="single" w:sz="4" w:space="0" w:color="auto"/>
            </w:tcBorders>
            <w:shd w:val="clear" w:color="auto" w:fill="C6EFCE"/>
            <w:noWrap/>
          </w:tcPr>
          <w:p w14:paraId="486BCA77" w14:textId="77777777" w:rsidR="00ED27EC" w:rsidRPr="009674F2" w:rsidRDefault="00ED27EC" w:rsidP="00ED27EC">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Цел</w:t>
            </w:r>
          </w:p>
        </w:tc>
        <w:tc>
          <w:tcPr>
            <w:tcW w:w="3447" w:type="dxa"/>
            <w:tcBorders>
              <w:top w:val="nil"/>
              <w:left w:val="nil"/>
              <w:bottom w:val="single" w:sz="4" w:space="0" w:color="auto"/>
              <w:right w:val="single" w:sz="4" w:space="0" w:color="auto"/>
            </w:tcBorders>
            <w:shd w:val="clear" w:color="auto" w:fill="C6EFCE"/>
            <w:noWrap/>
          </w:tcPr>
          <w:p w14:paraId="6A430D52" w14:textId="77777777" w:rsidR="00ED27EC" w:rsidRPr="009674F2" w:rsidRDefault="00ED27EC" w:rsidP="00ED27EC">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Доставени, инсталирани, интегрирани и пуснати в експлоатация нови стационарни, компактни и мобилни базови станции</w:t>
            </w:r>
          </w:p>
        </w:tc>
      </w:tr>
      <w:tr w:rsidR="00ED27EC" w:rsidRPr="005241FC" w14:paraId="5721E42F" w14:textId="77777777" w:rsidTr="14D66C95">
        <w:trPr>
          <w:trHeight w:val="302"/>
          <w:jc w:val="center"/>
        </w:trPr>
        <w:tc>
          <w:tcPr>
            <w:tcW w:w="1207" w:type="dxa"/>
            <w:tcBorders>
              <w:top w:val="nil"/>
              <w:left w:val="single" w:sz="4" w:space="0" w:color="auto"/>
              <w:bottom w:val="single" w:sz="4" w:space="0" w:color="auto"/>
              <w:right w:val="single" w:sz="4" w:space="0" w:color="auto"/>
            </w:tcBorders>
            <w:shd w:val="clear" w:color="auto" w:fill="C6EFCE"/>
            <w:noWrap/>
          </w:tcPr>
          <w:p w14:paraId="7C9BAFB6" w14:textId="77777777" w:rsidR="00ED27EC" w:rsidRPr="009674F2" w:rsidRDefault="00ED27EC" w:rsidP="00ED27EC">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165</w:t>
            </w:r>
          </w:p>
        </w:tc>
        <w:tc>
          <w:tcPr>
            <w:tcW w:w="4082" w:type="dxa"/>
            <w:tcBorders>
              <w:top w:val="nil"/>
              <w:left w:val="nil"/>
              <w:bottom w:val="single" w:sz="4" w:space="0" w:color="auto"/>
              <w:right w:val="single" w:sz="4" w:space="0" w:color="auto"/>
            </w:tcBorders>
            <w:shd w:val="clear" w:color="auto" w:fill="C6EFCE"/>
            <w:noWrap/>
          </w:tcPr>
          <w:p w14:paraId="7BB0DF4F" w14:textId="77777777" w:rsidR="00ED27EC" w:rsidRPr="009674F2" w:rsidRDefault="00ED27EC" w:rsidP="00ED27EC">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C8R1 Стратегическа рамка за транспорта</w:t>
            </w:r>
          </w:p>
        </w:tc>
        <w:tc>
          <w:tcPr>
            <w:tcW w:w="1559" w:type="dxa"/>
            <w:tcBorders>
              <w:top w:val="nil"/>
              <w:left w:val="nil"/>
              <w:bottom w:val="single" w:sz="4" w:space="0" w:color="auto"/>
              <w:right w:val="single" w:sz="4" w:space="0" w:color="auto"/>
            </w:tcBorders>
            <w:shd w:val="clear" w:color="auto" w:fill="C6EFCE"/>
            <w:noWrap/>
          </w:tcPr>
          <w:p w14:paraId="4B73E630" w14:textId="77777777" w:rsidR="00ED27EC" w:rsidRPr="009674F2" w:rsidRDefault="00ED27EC" w:rsidP="00ED27EC">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Ключов етап</w:t>
            </w:r>
          </w:p>
        </w:tc>
        <w:tc>
          <w:tcPr>
            <w:tcW w:w="3447" w:type="dxa"/>
            <w:tcBorders>
              <w:top w:val="nil"/>
              <w:left w:val="nil"/>
              <w:bottom w:val="single" w:sz="4" w:space="0" w:color="auto"/>
              <w:right w:val="single" w:sz="4" w:space="0" w:color="auto"/>
            </w:tcBorders>
            <w:shd w:val="clear" w:color="auto" w:fill="C6EFCE"/>
            <w:noWrap/>
          </w:tcPr>
          <w:p w14:paraId="3852AF75" w14:textId="77777777" w:rsidR="00ED27EC" w:rsidRPr="009674F2" w:rsidRDefault="00ED27EC" w:rsidP="00ED27EC">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Нов договор за обществена услуга (ДОУ) за железопътен превоз</w:t>
            </w:r>
          </w:p>
        </w:tc>
      </w:tr>
      <w:tr w:rsidR="00ED27EC" w:rsidRPr="005241FC" w14:paraId="4E51BDD8" w14:textId="77777777" w:rsidTr="14D66C95">
        <w:trPr>
          <w:trHeight w:val="302"/>
          <w:jc w:val="center"/>
        </w:trPr>
        <w:tc>
          <w:tcPr>
            <w:tcW w:w="1207" w:type="dxa"/>
            <w:tcBorders>
              <w:top w:val="nil"/>
              <w:left w:val="single" w:sz="4" w:space="0" w:color="auto"/>
              <w:bottom w:val="single" w:sz="4" w:space="0" w:color="auto"/>
              <w:right w:val="single" w:sz="4" w:space="0" w:color="auto"/>
            </w:tcBorders>
            <w:shd w:val="clear" w:color="auto" w:fill="C6EFCE"/>
            <w:noWrap/>
            <w:hideMark/>
          </w:tcPr>
          <w:p w14:paraId="4A3BC042" w14:textId="77777777" w:rsidR="00ED27EC" w:rsidRPr="009674F2" w:rsidRDefault="00ED27EC" w:rsidP="00ED27EC">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179</w:t>
            </w:r>
          </w:p>
        </w:tc>
        <w:tc>
          <w:tcPr>
            <w:tcW w:w="4082" w:type="dxa"/>
            <w:tcBorders>
              <w:top w:val="nil"/>
              <w:left w:val="nil"/>
              <w:bottom w:val="single" w:sz="4" w:space="0" w:color="auto"/>
              <w:right w:val="single" w:sz="4" w:space="0" w:color="auto"/>
            </w:tcBorders>
            <w:shd w:val="clear" w:color="auto" w:fill="C6EFCE"/>
            <w:noWrap/>
            <w:hideMark/>
          </w:tcPr>
          <w:p w14:paraId="714B6E01" w14:textId="77777777" w:rsidR="00ED27EC" w:rsidRPr="009674F2" w:rsidRDefault="00ED27EC" w:rsidP="00ED27EC">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C8R5 Електрическа мобилност</w:t>
            </w:r>
          </w:p>
        </w:tc>
        <w:tc>
          <w:tcPr>
            <w:tcW w:w="1559" w:type="dxa"/>
            <w:tcBorders>
              <w:top w:val="nil"/>
              <w:left w:val="nil"/>
              <w:bottom w:val="single" w:sz="4" w:space="0" w:color="auto"/>
              <w:right w:val="single" w:sz="4" w:space="0" w:color="auto"/>
            </w:tcBorders>
            <w:shd w:val="clear" w:color="auto" w:fill="C6EFCE"/>
            <w:noWrap/>
            <w:hideMark/>
          </w:tcPr>
          <w:p w14:paraId="75C807E2" w14:textId="77777777" w:rsidR="00ED27EC" w:rsidRPr="009674F2" w:rsidRDefault="00ED27EC" w:rsidP="00ED27EC">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Цел</w:t>
            </w:r>
          </w:p>
        </w:tc>
        <w:tc>
          <w:tcPr>
            <w:tcW w:w="3447" w:type="dxa"/>
            <w:tcBorders>
              <w:top w:val="nil"/>
              <w:left w:val="nil"/>
              <w:bottom w:val="single" w:sz="4" w:space="0" w:color="auto"/>
              <w:right w:val="single" w:sz="4" w:space="0" w:color="auto"/>
            </w:tcBorders>
            <w:shd w:val="clear" w:color="auto" w:fill="C6EFCE"/>
            <w:noWrap/>
            <w:hideMark/>
          </w:tcPr>
          <w:p w14:paraId="15E35C1F" w14:textId="77777777" w:rsidR="00ED27EC" w:rsidRPr="009674F2" w:rsidRDefault="00ED27EC" w:rsidP="00ED27EC">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Нови публични електрически зарядни станции</w:t>
            </w:r>
          </w:p>
        </w:tc>
      </w:tr>
      <w:tr w:rsidR="00ED27EC" w:rsidRPr="005241FC" w14:paraId="5D0E3836" w14:textId="77777777" w:rsidTr="14D66C95">
        <w:trPr>
          <w:trHeight w:val="302"/>
          <w:jc w:val="center"/>
        </w:trPr>
        <w:tc>
          <w:tcPr>
            <w:tcW w:w="1207" w:type="dxa"/>
            <w:tcBorders>
              <w:top w:val="nil"/>
              <w:left w:val="single" w:sz="4" w:space="0" w:color="auto"/>
              <w:bottom w:val="single" w:sz="4" w:space="0" w:color="auto"/>
              <w:right w:val="single" w:sz="4" w:space="0" w:color="auto"/>
            </w:tcBorders>
            <w:shd w:val="clear" w:color="auto" w:fill="C6EFCE"/>
            <w:noWrap/>
          </w:tcPr>
          <w:p w14:paraId="2C397EFC" w14:textId="77777777" w:rsidR="00ED27EC" w:rsidRPr="009674F2" w:rsidRDefault="00ED27EC" w:rsidP="00ED27EC">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197</w:t>
            </w:r>
          </w:p>
        </w:tc>
        <w:tc>
          <w:tcPr>
            <w:tcW w:w="4082" w:type="dxa"/>
            <w:tcBorders>
              <w:top w:val="nil"/>
              <w:left w:val="nil"/>
              <w:bottom w:val="single" w:sz="4" w:space="0" w:color="auto"/>
              <w:right w:val="single" w:sz="4" w:space="0" w:color="auto"/>
            </w:tcBorders>
            <w:shd w:val="clear" w:color="auto" w:fill="C6EFCE"/>
            <w:noWrap/>
          </w:tcPr>
          <w:p w14:paraId="34C961E3" w14:textId="77777777" w:rsidR="00ED27EC" w:rsidRPr="009674F2" w:rsidRDefault="00ED27EC" w:rsidP="00ED27EC">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C8I5 Безопасност на движението по пътищата</w:t>
            </w:r>
          </w:p>
          <w:p w14:paraId="2CBD213A" w14:textId="77777777" w:rsidR="00ED27EC" w:rsidRPr="008A0F8A" w:rsidRDefault="00ED27EC" w:rsidP="00ED27EC">
            <w:pPr>
              <w:spacing w:after="0" w:line="240" w:lineRule="auto"/>
              <w:jc w:val="both"/>
              <w:rPr>
                <w:rFonts w:ascii="Times New Roman" w:eastAsia="Times New Roman" w:hAnsi="Times New Roman" w:cs="Times New Roman"/>
                <w:noProof/>
                <w:color w:val="006100"/>
                <w:highlight w:val="yellow"/>
                <w:lang w:val="ru-RU" w:eastAsia="en-GB"/>
              </w:rPr>
            </w:pPr>
          </w:p>
          <w:p w14:paraId="6EB066CA" w14:textId="77777777" w:rsidR="00ED27EC" w:rsidRPr="008A0F8A" w:rsidRDefault="00ED27EC" w:rsidP="00ED27EC">
            <w:pPr>
              <w:spacing w:after="0" w:line="240" w:lineRule="auto"/>
              <w:jc w:val="both"/>
              <w:rPr>
                <w:rFonts w:ascii="Times New Roman" w:eastAsia="Times New Roman" w:hAnsi="Times New Roman" w:cs="Times New Roman"/>
                <w:noProof/>
                <w:color w:val="006100"/>
                <w:lang w:val="ru-RU" w:eastAsia="en-IE"/>
              </w:rPr>
            </w:pPr>
          </w:p>
        </w:tc>
        <w:tc>
          <w:tcPr>
            <w:tcW w:w="1559" w:type="dxa"/>
            <w:tcBorders>
              <w:top w:val="nil"/>
              <w:left w:val="nil"/>
              <w:bottom w:val="single" w:sz="4" w:space="0" w:color="auto"/>
              <w:right w:val="single" w:sz="4" w:space="0" w:color="auto"/>
            </w:tcBorders>
            <w:shd w:val="clear" w:color="auto" w:fill="C6EFCE"/>
            <w:noWrap/>
          </w:tcPr>
          <w:p w14:paraId="0064407C" w14:textId="77777777" w:rsidR="00ED27EC" w:rsidRPr="009674F2" w:rsidRDefault="00ED27EC" w:rsidP="00ED27EC">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Цел</w:t>
            </w:r>
          </w:p>
        </w:tc>
        <w:tc>
          <w:tcPr>
            <w:tcW w:w="3447" w:type="dxa"/>
            <w:tcBorders>
              <w:top w:val="nil"/>
              <w:left w:val="nil"/>
              <w:bottom w:val="single" w:sz="4" w:space="0" w:color="auto"/>
              <w:right w:val="single" w:sz="4" w:space="0" w:color="auto"/>
            </w:tcBorders>
            <w:shd w:val="clear" w:color="auto" w:fill="C6EFCE"/>
            <w:noWrap/>
          </w:tcPr>
          <w:p w14:paraId="210A7425" w14:textId="77777777" w:rsidR="00ED27EC" w:rsidRPr="009674F2" w:rsidRDefault="00ED27EC" w:rsidP="00ED27EC">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 xml:space="preserve">Софтуерно приложение и специализирани </w:t>
            </w:r>
          </w:p>
          <w:p w14:paraId="29167188" w14:textId="77777777" w:rsidR="00ED27EC" w:rsidRPr="009674F2" w:rsidRDefault="00ED27EC" w:rsidP="00ED27EC">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 xml:space="preserve">превозни средства, с които да може да се подобри управление на безопасността на движението по пътищата, включително оценка на пътната инфраструктура </w:t>
            </w:r>
          </w:p>
        </w:tc>
      </w:tr>
      <w:tr w:rsidR="00ED27EC" w:rsidRPr="005241FC" w14:paraId="14F92D5A" w14:textId="77777777" w:rsidTr="14D66C95">
        <w:trPr>
          <w:trHeight w:val="302"/>
          <w:jc w:val="center"/>
        </w:trPr>
        <w:tc>
          <w:tcPr>
            <w:tcW w:w="1207" w:type="dxa"/>
            <w:tcBorders>
              <w:top w:val="nil"/>
              <w:left w:val="single" w:sz="4" w:space="0" w:color="auto"/>
              <w:bottom w:val="single" w:sz="4" w:space="0" w:color="auto"/>
              <w:right w:val="single" w:sz="4" w:space="0" w:color="auto"/>
            </w:tcBorders>
            <w:shd w:val="clear" w:color="auto" w:fill="C6EFCE"/>
            <w:noWrap/>
          </w:tcPr>
          <w:p w14:paraId="058F463D" w14:textId="77777777" w:rsidR="00ED27EC" w:rsidRPr="009674F2" w:rsidRDefault="00ED27EC" w:rsidP="00ED27EC">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198</w:t>
            </w:r>
          </w:p>
        </w:tc>
        <w:tc>
          <w:tcPr>
            <w:tcW w:w="4082" w:type="dxa"/>
            <w:tcBorders>
              <w:top w:val="nil"/>
              <w:left w:val="nil"/>
              <w:bottom w:val="single" w:sz="4" w:space="0" w:color="auto"/>
              <w:right w:val="single" w:sz="4" w:space="0" w:color="auto"/>
            </w:tcBorders>
            <w:shd w:val="clear" w:color="auto" w:fill="C6EFCE"/>
            <w:noWrap/>
          </w:tcPr>
          <w:p w14:paraId="648644BC" w14:textId="77777777" w:rsidR="00ED27EC" w:rsidRPr="009674F2" w:rsidRDefault="00ED27EC" w:rsidP="00ED27EC">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C8I5 - Безопасност на движението по пътищата</w:t>
            </w:r>
          </w:p>
        </w:tc>
        <w:tc>
          <w:tcPr>
            <w:tcW w:w="1559" w:type="dxa"/>
            <w:tcBorders>
              <w:top w:val="nil"/>
              <w:left w:val="nil"/>
              <w:bottom w:val="single" w:sz="4" w:space="0" w:color="auto"/>
              <w:right w:val="single" w:sz="4" w:space="0" w:color="auto"/>
            </w:tcBorders>
            <w:shd w:val="clear" w:color="auto" w:fill="C6EFCE"/>
            <w:noWrap/>
          </w:tcPr>
          <w:p w14:paraId="0E07D171" w14:textId="77777777" w:rsidR="00ED27EC" w:rsidRPr="009674F2" w:rsidRDefault="00ED27EC" w:rsidP="00ED27EC">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Цел</w:t>
            </w:r>
          </w:p>
        </w:tc>
        <w:tc>
          <w:tcPr>
            <w:tcW w:w="3447" w:type="dxa"/>
            <w:tcBorders>
              <w:top w:val="nil"/>
              <w:left w:val="nil"/>
              <w:bottom w:val="single" w:sz="4" w:space="0" w:color="auto"/>
              <w:right w:val="single" w:sz="4" w:space="0" w:color="auto"/>
            </w:tcBorders>
            <w:shd w:val="clear" w:color="auto" w:fill="C6EFCE"/>
            <w:noWrap/>
          </w:tcPr>
          <w:p w14:paraId="5CFA9A2A" w14:textId="77777777" w:rsidR="00ED27EC" w:rsidRPr="009674F2" w:rsidRDefault="00ED27EC" w:rsidP="00ED27EC">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Цялостно проучване на безопасността на пътната мрежа</w:t>
            </w:r>
          </w:p>
        </w:tc>
      </w:tr>
      <w:tr w:rsidR="00ED27EC" w:rsidRPr="005241FC" w14:paraId="3F8E525D" w14:textId="77777777" w:rsidTr="14D66C95">
        <w:trPr>
          <w:trHeight w:val="302"/>
          <w:jc w:val="center"/>
        </w:trPr>
        <w:tc>
          <w:tcPr>
            <w:tcW w:w="1207" w:type="dxa"/>
            <w:tcBorders>
              <w:top w:val="nil"/>
              <w:left w:val="single" w:sz="4" w:space="0" w:color="auto"/>
              <w:bottom w:val="single" w:sz="4" w:space="0" w:color="auto"/>
              <w:right w:val="single" w:sz="4" w:space="0" w:color="auto"/>
            </w:tcBorders>
            <w:shd w:val="clear" w:color="auto" w:fill="C6EFCE"/>
            <w:noWrap/>
          </w:tcPr>
          <w:p w14:paraId="364DA558" w14:textId="77777777" w:rsidR="00ED27EC" w:rsidRPr="009674F2" w:rsidRDefault="00ED27EC" w:rsidP="00ED27EC">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200</w:t>
            </w:r>
          </w:p>
        </w:tc>
        <w:tc>
          <w:tcPr>
            <w:tcW w:w="4082" w:type="dxa"/>
            <w:tcBorders>
              <w:top w:val="nil"/>
              <w:left w:val="nil"/>
              <w:bottom w:val="single" w:sz="4" w:space="0" w:color="auto"/>
              <w:right w:val="single" w:sz="4" w:space="0" w:color="auto"/>
            </w:tcBorders>
            <w:shd w:val="clear" w:color="auto" w:fill="C6EFCE"/>
            <w:noWrap/>
          </w:tcPr>
          <w:p w14:paraId="5BCCFE07" w14:textId="77777777" w:rsidR="00ED27EC" w:rsidRPr="009674F2" w:rsidRDefault="00ED27EC" w:rsidP="00ED27EC">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C8I6 Линия 3 на метрото в София</w:t>
            </w:r>
          </w:p>
        </w:tc>
        <w:tc>
          <w:tcPr>
            <w:tcW w:w="1559" w:type="dxa"/>
            <w:tcBorders>
              <w:top w:val="nil"/>
              <w:left w:val="nil"/>
              <w:bottom w:val="single" w:sz="4" w:space="0" w:color="auto"/>
              <w:right w:val="single" w:sz="4" w:space="0" w:color="auto"/>
            </w:tcBorders>
            <w:shd w:val="clear" w:color="auto" w:fill="C6EFCE"/>
            <w:noWrap/>
          </w:tcPr>
          <w:p w14:paraId="623A434F" w14:textId="77777777" w:rsidR="00ED27EC" w:rsidRPr="009674F2" w:rsidRDefault="00ED27EC" w:rsidP="00ED27EC">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Цел</w:t>
            </w:r>
          </w:p>
        </w:tc>
        <w:tc>
          <w:tcPr>
            <w:tcW w:w="3447" w:type="dxa"/>
            <w:tcBorders>
              <w:top w:val="nil"/>
              <w:left w:val="nil"/>
              <w:bottom w:val="single" w:sz="4" w:space="0" w:color="auto"/>
              <w:right w:val="single" w:sz="4" w:space="0" w:color="auto"/>
            </w:tcBorders>
            <w:shd w:val="clear" w:color="auto" w:fill="C6EFCE"/>
            <w:noWrap/>
          </w:tcPr>
          <w:p w14:paraId="703515B2" w14:textId="77777777" w:rsidR="00ED27EC" w:rsidRPr="009674F2" w:rsidRDefault="00ED27EC" w:rsidP="00ED27EC">
            <w:pPr>
              <w:spacing w:after="0" w:line="240" w:lineRule="auto"/>
              <w:jc w:val="both"/>
              <w:rPr>
                <w:rFonts w:ascii="Times New Roman" w:eastAsia="Times New Roman" w:hAnsi="Times New Roman" w:cs="Times New Roman"/>
                <w:noProof/>
                <w:color w:val="006100"/>
              </w:rPr>
            </w:pPr>
            <w:r>
              <w:rPr>
                <w:rFonts w:ascii="Times New Roman" w:hAnsi="Times New Roman"/>
                <w:noProof/>
                <w:color w:val="385623"/>
              </w:rPr>
              <w:t>Напредък в завършването на нови участъци от линия 3 на метрото в София</w:t>
            </w:r>
          </w:p>
        </w:tc>
      </w:tr>
      <w:tr w:rsidR="00ED27EC" w:rsidRPr="005241FC" w14:paraId="7EC59948" w14:textId="77777777" w:rsidTr="14D66C95">
        <w:trPr>
          <w:trHeight w:val="302"/>
          <w:jc w:val="center"/>
        </w:trPr>
        <w:tc>
          <w:tcPr>
            <w:tcW w:w="1207" w:type="dxa"/>
            <w:tcBorders>
              <w:top w:val="nil"/>
              <w:left w:val="single" w:sz="4" w:space="0" w:color="auto"/>
              <w:bottom w:val="single" w:sz="4" w:space="0" w:color="auto"/>
              <w:right w:val="single" w:sz="4" w:space="0" w:color="auto"/>
            </w:tcBorders>
            <w:shd w:val="clear" w:color="auto" w:fill="C6EFCE"/>
            <w:noWrap/>
          </w:tcPr>
          <w:p w14:paraId="51FA87A3" w14:textId="77777777" w:rsidR="00ED27EC" w:rsidRPr="009674F2" w:rsidRDefault="00ED27EC" w:rsidP="00ED27EC">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204</w:t>
            </w:r>
          </w:p>
        </w:tc>
        <w:tc>
          <w:tcPr>
            <w:tcW w:w="4082" w:type="dxa"/>
            <w:tcBorders>
              <w:top w:val="nil"/>
              <w:left w:val="nil"/>
              <w:bottom w:val="single" w:sz="4" w:space="0" w:color="auto"/>
              <w:right w:val="single" w:sz="4" w:space="0" w:color="auto"/>
            </w:tcBorders>
            <w:shd w:val="clear" w:color="auto" w:fill="C6EFCE"/>
            <w:noWrap/>
          </w:tcPr>
          <w:p w14:paraId="1332477E" w14:textId="77777777" w:rsidR="00ED27EC" w:rsidRPr="009674F2" w:rsidRDefault="00ED27EC" w:rsidP="00ED27EC">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C8I7 Пилотна схема за устойчива градска мобилност</w:t>
            </w:r>
          </w:p>
        </w:tc>
        <w:tc>
          <w:tcPr>
            <w:tcW w:w="1559" w:type="dxa"/>
            <w:tcBorders>
              <w:top w:val="nil"/>
              <w:left w:val="nil"/>
              <w:bottom w:val="single" w:sz="4" w:space="0" w:color="auto"/>
              <w:right w:val="single" w:sz="4" w:space="0" w:color="auto"/>
            </w:tcBorders>
            <w:shd w:val="clear" w:color="auto" w:fill="C6EFCE"/>
            <w:noWrap/>
          </w:tcPr>
          <w:p w14:paraId="0AED66FF" w14:textId="77777777" w:rsidR="00ED27EC" w:rsidRPr="009674F2" w:rsidRDefault="00ED27EC" w:rsidP="00ED27EC">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Цел</w:t>
            </w:r>
          </w:p>
        </w:tc>
        <w:tc>
          <w:tcPr>
            <w:tcW w:w="3447" w:type="dxa"/>
            <w:tcBorders>
              <w:top w:val="nil"/>
              <w:left w:val="nil"/>
              <w:bottom w:val="single" w:sz="4" w:space="0" w:color="auto"/>
              <w:right w:val="single" w:sz="4" w:space="0" w:color="auto"/>
            </w:tcBorders>
            <w:shd w:val="clear" w:color="auto" w:fill="C6EFCE"/>
            <w:noWrap/>
          </w:tcPr>
          <w:p w14:paraId="5094FD48" w14:textId="77777777" w:rsidR="00ED27EC" w:rsidRPr="009674F2" w:rsidRDefault="00ED27EC" w:rsidP="00ED27EC">
            <w:pPr>
              <w:spacing w:after="0" w:line="240" w:lineRule="auto"/>
              <w:jc w:val="both"/>
              <w:rPr>
                <w:rFonts w:ascii="Times New Roman" w:eastAsia="Times New Roman" w:hAnsi="Times New Roman" w:cs="Times New Roman"/>
                <w:noProof/>
                <w:color w:val="385623"/>
              </w:rPr>
            </w:pPr>
            <w:r>
              <w:rPr>
                <w:rFonts w:ascii="Times New Roman" w:hAnsi="Times New Roman"/>
                <w:noProof/>
                <w:color w:val="006100"/>
              </w:rPr>
              <w:t xml:space="preserve">Зарядни станции за превозни средства за обществен транспорт </w:t>
            </w:r>
          </w:p>
        </w:tc>
      </w:tr>
      <w:tr w:rsidR="00ED27EC" w:rsidRPr="00F41C75" w14:paraId="387EA82F" w14:textId="77777777" w:rsidTr="14D66C95">
        <w:trPr>
          <w:trHeight w:val="302"/>
          <w:jc w:val="center"/>
        </w:trPr>
        <w:tc>
          <w:tcPr>
            <w:tcW w:w="1207" w:type="dxa"/>
            <w:tcBorders>
              <w:top w:val="nil"/>
              <w:left w:val="single" w:sz="4" w:space="0" w:color="auto"/>
              <w:bottom w:val="single" w:sz="4" w:space="0" w:color="auto"/>
              <w:right w:val="single" w:sz="4" w:space="0" w:color="auto"/>
            </w:tcBorders>
            <w:shd w:val="clear" w:color="auto" w:fill="C6EFCE"/>
            <w:noWrap/>
          </w:tcPr>
          <w:p w14:paraId="7D964F18" w14:textId="77777777" w:rsidR="00ED27EC" w:rsidRPr="009674F2" w:rsidRDefault="00ED27EC" w:rsidP="00ED27EC">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205</w:t>
            </w:r>
          </w:p>
        </w:tc>
        <w:tc>
          <w:tcPr>
            <w:tcW w:w="4082" w:type="dxa"/>
            <w:tcBorders>
              <w:top w:val="nil"/>
              <w:left w:val="nil"/>
              <w:bottom w:val="single" w:sz="4" w:space="0" w:color="auto"/>
              <w:right w:val="single" w:sz="4" w:space="0" w:color="auto"/>
            </w:tcBorders>
            <w:shd w:val="clear" w:color="auto" w:fill="C6EFCE"/>
            <w:noWrap/>
          </w:tcPr>
          <w:p w14:paraId="0A655A50" w14:textId="77777777" w:rsidR="00ED27EC" w:rsidRPr="009674F2" w:rsidRDefault="00ED27EC" w:rsidP="00ED27EC">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C8I7 Пилотна схема за устойчива градска мобилност</w:t>
            </w:r>
          </w:p>
        </w:tc>
        <w:tc>
          <w:tcPr>
            <w:tcW w:w="1559" w:type="dxa"/>
            <w:tcBorders>
              <w:top w:val="nil"/>
              <w:left w:val="nil"/>
              <w:bottom w:val="single" w:sz="4" w:space="0" w:color="auto"/>
              <w:right w:val="single" w:sz="4" w:space="0" w:color="auto"/>
            </w:tcBorders>
            <w:shd w:val="clear" w:color="auto" w:fill="C6EFCE"/>
            <w:noWrap/>
          </w:tcPr>
          <w:p w14:paraId="6D4655A6" w14:textId="77777777" w:rsidR="00ED27EC" w:rsidRPr="009674F2" w:rsidRDefault="00ED27EC" w:rsidP="00ED27EC">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Цел</w:t>
            </w:r>
          </w:p>
        </w:tc>
        <w:tc>
          <w:tcPr>
            <w:tcW w:w="3447" w:type="dxa"/>
            <w:tcBorders>
              <w:top w:val="nil"/>
              <w:left w:val="nil"/>
              <w:bottom w:val="single" w:sz="4" w:space="0" w:color="auto"/>
              <w:right w:val="single" w:sz="4" w:space="0" w:color="auto"/>
            </w:tcBorders>
            <w:shd w:val="clear" w:color="auto" w:fill="C6EFCE"/>
            <w:noWrap/>
          </w:tcPr>
          <w:p w14:paraId="3E50B00D" w14:textId="77777777" w:rsidR="00ED27EC" w:rsidRPr="009674F2" w:rsidRDefault="00ED27EC" w:rsidP="00ED27EC">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Интелигентни цифрови решения за транспорта в общините</w:t>
            </w:r>
          </w:p>
        </w:tc>
      </w:tr>
      <w:tr w:rsidR="00ED27EC" w:rsidRPr="005241FC" w14:paraId="78A999A7" w14:textId="77777777" w:rsidTr="14D66C95">
        <w:trPr>
          <w:trHeight w:val="302"/>
          <w:jc w:val="center"/>
        </w:trPr>
        <w:tc>
          <w:tcPr>
            <w:tcW w:w="1207" w:type="dxa"/>
            <w:tcBorders>
              <w:top w:val="nil"/>
              <w:left w:val="single" w:sz="4" w:space="0" w:color="auto"/>
              <w:bottom w:val="single" w:sz="4" w:space="0" w:color="auto"/>
              <w:right w:val="single" w:sz="4" w:space="0" w:color="auto"/>
            </w:tcBorders>
            <w:shd w:val="clear" w:color="auto" w:fill="C6EFCE"/>
            <w:noWrap/>
          </w:tcPr>
          <w:p w14:paraId="6E06D529" w14:textId="77777777" w:rsidR="00ED27EC" w:rsidRPr="009674F2" w:rsidRDefault="00ED27EC" w:rsidP="00ED27EC">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215</w:t>
            </w:r>
          </w:p>
        </w:tc>
        <w:tc>
          <w:tcPr>
            <w:tcW w:w="4082" w:type="dxa"/>
            <w:tcBorders>
              <w:top w:val="nil"/>
              <w:left w:val="nil"/>
              <w:bottom w:val="single" w:sz="4" w:space="0" w:color="auto"/>
              <w:right w:val="single" w:sz="4" w:space="0" w:color="auto"/>
            </w:tcBorders>
            <w:shd w:val="clear" w:color="auto" w:fill="C6EFCE"/>
            <w:noWrap/>
          </w:tcPr>
          <w:p w14:paraId="172C67AE" w14:textId="77777777" w:rsidR="00ED27EC" w:rsidRPr="009674F2" w:rsidRDefault="00ED27EC" w:rsidP="00ED27EC">
            <w:pPr>
              <w:spacing w:after="0" w:line="240" w:lineRule="auto"/>
              <w:jc w:val="both"/>
              <w:rPr>
                <w:rFonts w:ascii="Times New Roman" w:eastAsia="Times New Roman" w:hAnsi="Times New Roman" w:cs="Times New Roman"/>
                <w:noProof/>
                <w:color w:val="006100"/>
                <w:highlight w:val="yellow"/>
              </w:rPr>
            </w:pPr>
            <w:r>
              <w:rPr>
                <w:rFonts w:ascii="Times New Roman" w:hAnsi="Times New Roman"/>
                <w:noProof/>
                <w:color w:val="006100"/>
              </w:rPr>
              <w:t>C10R1 Достъпно, ефективно и предвидимо правосъдие</w:t>
            </w:r>
          </w:p>
        </w:tc>
        <w:tc>
          <w:tcPr>
            <w:tcW w:w="1559" w:type="dxa"/>
            <w:tcBorders>
              <w:top w:val="nil"/>
              <w:left w:val="nil"/>
              <w:bottom w:val="single" w:sz="4" w:space="0" w:color="auto"/>
              <w:right w:val="single" w:sz="4" w:space="0" w:color="auto"/>
            </w:tcBorders>
            <w:shd w:val="clear" w:color="auto" w:fill="C6EFCE"/>
            <w:noWrap/>
          </w:tcPr>
          <w:p w14:paraId="1D923356" w14:textId="77777777" w:rsidR="00ED27EC" w:rsidRPr="009674F2" w:rsidRDefault="00ED27EC" w:rsidP="00ED27EC">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Ключов етап</w:t>
            </w:r>
          </w:p>
        </w:tc>
        <w:tc>
          <w:tcPr>
            <w:tcW w:w="3447" w:type="dxa"/>
            <w:tcBorders>
              <w:top w:val="nil"/>
              <w:left w:val="nil"/>
              <w:bottom w:val="single" w:sz="4" w:space="0" w:color="auto"/>
              <w:right w:val="single" w:sz="4" w:space="0" w:color="auto"/>
            </w:tcBorders>
            <w:shd w:val="clear" w:color="auto" w:fill="C6EFCE"/>
            <w:noWrap/>
          </w:tcPr>
          <w:p w14:paraId="0CC83BC5" w14:textId="77777777" w:rsidR="00ED27EC" w:rsidRPr="009674F2" w:rsidRDefault="00ED27EC" w:rsidP="00ED27EC">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Влизане в сила на законодателните изменения на Административнопроцесуалния кодекс, с които се определя правната рамка за електронно правосъдие по административни дела</w:t>
            </w:r>
          </w:p>
        </w:tc>
      </w:tr>
      <w:tr w:rsidR="00ED27EC" w:rsidRPr="005241FC" w14:paraId="66350D8E" w14:textId="77777777" w:rsidTr="14D66C95">
        <w:trPr>
          <w:trHeight w:val="302"/>
          <w:jc w:val="center"/>
        </w:trPr>
        <w:tc>
          <w:tcPr>
            <w:tcW w:w="1207" w:type="dxa"/>
            <w:tcBorders>
              <w:top w:val="nil"/>
              <w:left w:val="single" w:sz="4" w:space="0" w:color="auto"/>
              <w:bottom w:val="single" w:sz="4" w:space="0" w:color="auto"/>
              <w:right w:val="single" w:sz="4" w:space="0" w:color="auto"/>
            </w:tcBorders>
            <w:shd w:val="clear" w:color="auto" w:fill="C6EFCE"/>
            <w:noWrap/>
          </w:tcPr>
          <w:p w14:paraId="1D789880" w14:textId="77777777" w:rsidR="00ED27EC" w:rsidRPr="009674F2" w:rsidRDefault="00ED27EC" w:rsidP="00ED27EC">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249</w:t>
            </w:r>
          </w:p>
        </w:tc>
        <w:tc>
          <w:tcPr>
            <w:tcW w:w="4082" w:type="dxa"/>
            <w:tcBorders>
              <w:top w:val="nil"/>
              <w:left w:val="nil"/>
              <w:bottom w:val="single" w:sz="4" w:space="0" w:color="auto"/>
              <w:right w:val="single" w:sz="4" w:space="0" w:color="auto"/>
            </w:tcBorders>
            <w:shd w:val="clear" w:color="auto" w:fill="C6EFCE"/>
            <w:noWrap/>
          </w:tcPr>
          <w:p w14:paraId="367F31A7" w14:textId="77777777" w:rsidR="00ED27EC" w:rsidRPr="009674F2" w:rsidRDefault="00ED27EC" w:rsidP="00ED27EC">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C10R10 Обществени поръчки</w:t>
            </w:r>
          </w:p>
        </w:tc>
        <w:tc>
          <w:tcPr>
            <w:tcW w:w="1559" w:type="dxa"/>
            <w:tcBorders>
              <w:top w:val="nil"/>
              <w:left w:val="nil"/>
              <w:bottom w:val="single" w:sz="4" w:space="0" w:color="auto"/>
              <w:right w:val="single" w:sz="4" w:space="0" w:color="auto"/>
            </w:tcBorders>
            <w:shd w:val="clear" w:color="auto" w:fill="C6EFCE"/>
            <w:noWrap/>
          </w:tcPr>
          <w:p w14:paraId="48A0B4A0" w14:textId="77777777" w:rsidR="00ED27EC" w:rsidRPr="009674F2" w:rsidRDefault="00ED27EC" w:rsidP="00ED27EC">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Цел</w:t>
            </w:r>
          </w:p>
        </w:tc>
        <w:tc>
          <w:tcPr>
            <w:tcW w:w="3447" w:type="dxa"/>
            <w:tcBorders>
              <w:top w:val="nil"/>
              <w:left w:val="nil"/>
              <w:bottom w:val="single" w:sz="4" w:space="0" w:color="auto"/>
              <w:right w:val="single" w:sz="4" w:space="0" w:color="auto"/>
            </w:tcBorders>
            <w:shd w:val="clear" w:color="auto" w:fill="C6EFCE"/>
            <w:noWrap/>
          </w:tcPr>
          <w:p w14:paraId="583E399C" w14:textId="77777777" w:rsidR="00ED27EC" w:rsidRPr="009674F2" w:rsidRDefault="00ED27EC" w:rsidP="00ED27EC">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Ограничаване прилагането на процедури на договаряне без предварително обявление</w:t>
            </w:r>
          </w:p>
        </w:tc>
      </w:tr>
      <w:tr w:rsidR="00ED27EC" w:rsidRPr="005241FC" w14:paraId="527AB2C4" w14:textId="77777777" w:rsidTr="14D66C95">
        <w:trPr>
          <w:trHeight w:val="302"/>
          <w:jc w:val="center"/>
        </w:trPr>
        <w:tc>
          <w:tcPr>
            <w:tcW w:w="1207" w:type="dxa"/>
            <w:tcBorders>
              <w:top w:val="nil"/>
              <w:left w:val="single" w:sz="4" w:space="0" w:color="auto"/>
              <w:bottom w:val="single" w:sz="4" w:space="0" w:color="auto"/>
              <w:right w:val="single" w:sz="4" w:space="0" w:color="auto"/>
            </w:tcBorders>
            <w:shd w:val="clear" w:color="auto" w:fill="C6EFCE"/>
            <w:noWrap/>
          </w:tcPr>
          <w:p w14:paraId="1C55F268" w14:textId="77777777" w:rsidR="00ED27EC" w:rsidRPr="009674F2" w:rsidRDefault="00ED27EC" w:rsidP="00ED27EC">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248</w:t>
            </w:r>
          </w:p>
        </w:tc>
        <w:tc>
          <w:tcPr>
            <w:tcW w:w="4082" w:type="dxa"/>
            <w:tcBorders>
              <w:top w:val="nil"/>
              <w:left w:val="nil"/>
              <w:bottom w:val="single" w:sz="4" w:space="0" w:color="auto"/>
              <w:right w:val="single" w:sz="4" w:space="0" w:color="auto"/>
            </w:tcBorders>
            <w:shd w:val="clear" w:color="auto" w:fill="C6EFCE"/>
            <w:noWrap/>
          </w:tcPr>
          <w:p w14:paraId="28412FE3" w14:textId="77777777" w:rsidR="00ED27EC" w:rsidRPr="009674F2" w:rsidRDefault="00ED27EC" w:rsidP="00ED27EC">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C10R10 Обществени поръчки</w:t>
            </w:r>
          </w:p>
        </w:tc>
        <w:tc>
          <w:tcPr>
            <w:tcW w:w="1559" w:type="dxa"/>
            <w:tcBorders>
              <w:top w:val="nil"/>
              <w:left w:val="nil"/>
              <w:bottom w:val="single" w:sz="4" w:space="0" w:color="auto"/>
              <w:right w:val="single" w:sz="4" w:space="0" w:color="auto"/>
            </w:tcBorders>
            <w:shd w:val="clear" w:color="auto" w:fill="C6EFCE"/>
            <w:noWrap/>
          </w:tcPr>
          <w:p w14:paraId="67D6E277" w14:textId="77777777" w:rsidR="00ED27EC" w:rsidRPr="009674F2" w:rsidRDefault="00ED27EC" w:rsidP="00ED27EC">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Цел</w:t>
            </w:r>
          </w:p>
        </w:tc>
        <w:tc>
          <w:tcPr>
            <w:tcW w:w="3447" w:type="dxa"/>
            <w:tcBorders>
              <w:top w:val="nil"/>
              <w:left w:val="nil"/>
              <w:bottom w:val="single" w:sz="4" w:space="0" w:color="auto"/>
              <w:right w:val="single" w:sz="4" w:space="0" w:color="auto"/>
            </w:tcBorders>
            <w:shd w:val="clear" w:color="auto" w:fill="C6EFCE"/>
            <w:noWrap/>
          </w:tcPr>
          <w:p w14:paraId="39BAE89D" w14:textId="77777777" w:rsidR="00ED27EC" w:rsidRPr="009674F2" w:rsidRDefault="00ED27EC" w:rsidP="00ED27EC">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Намаляване на дела на обществените поръчки, възложени въз основа на един-единствен оферент</w:t>
            </w:r>
          </w:p>
        </w:tc>
      </w:tr>
      <w:tr w:rsidR="00ED27EC" w:rsidRPr="005241FC" w14:paraId="49E94C08" w14:textId="77777777" w:rsidTr="14D66C95">
        <w:trPr>
          <w:trHeight w:val="302"/>
          <w:jc w:val="center"/>
        </w:trPr>
        <w:tc>
          <w:tcPr>
            <w:tcW w:w="1207" w:type="dxa"/>
            <w:tcBorders>
              <w:top w:val="nil"/>
              <w:left w:val="single" w:sz="4" w:space="0" w:color="auto"/>
              <w:bottom w:val="single" w:sz="4" w:space="0" w:color="auto"/>
              <w:right w:val="single" w:sz="4" w:space="0" w:color="auto"/>
            </w:tcBorders>
            <w:shd w:val="clear" w:color="auto" w:fill="C6EFCE"/>
            <w:noWrap/>
          </w:tcPr>
          <w:p w14:paraId="4828D9FA" w14:textId="77777777" w:rsidR="00ED27EC" w:rsidRPr="009674F2" w:rsidRDefault="00ED27EC" w:rsidP="00ED27EC">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260</w:t>
            </w:r>
          </w:p>
        </w:tc>
        <w:tc>
          <w:tcPr>
            <w:tcW w:w="4082" w:type="dxa"/>
            <w:tcBorders>
              <w:top w:val="nil"/>
              <w:left w:val="nil"/>
              <w:bottom w:val="single" w:sz="4" w:space="0" w:color="auto"/>
              <w:right w:val="single" w:sz="4" w:space="0" w:color="auto"/>
            </w:tcBorders>
            <w:shd w:val="clear" w:color="auto" w:fill="C6EFCE"/>
            <w:noWrap/>
          </w:tcPr>
          <w:p w14:paraId="623F1E51" w14:textId="77777777" w:rsidR="00ED27EC" w:rsidRPr="009674F2" w:rsidRDefault="00ED27EC" w:rsidP="00ED27EC">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C10I2 Цифровизация на ключови съдопроизводствени процеси в системата на административното правораздаване</w:t>
            </w:r>
          </w:p>
        </w:tc>
        <w:tc>
          <w:tcPr>
            <w:tcW w:w="1559" w:type="dxa"/>
            <w:tcBorders>
              <w:top w:val="nil"/>
              <w:left w:val="nil"/>
              <w:bottom w:val="single" w:sz="4" w:space="0" w:color="auto"/>
              <w:right w:val="single" w:sz="4" w:space="0" w:color="auto"/>
            </w:tcBorders>
            <w:shd w:val="clear" w:color="auto" w:fill="C6EFCE"/>
            <w:noWrap/>
          </w:tcPr>
          <w:p w14:paraId="2A7AE2BE" w14:textId="77777777" w:rsidR="00ED27EC" w:rsidRPr="009674F2" w:rsidRDefault="00ED27EC" w:rsidP="00ED27EC">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Ключов етап</w:t>
            </w:r>
          </w:p>
        </w:tc>
        <w:tc>
          <w:tcPr>
            <w:tcW w:w="3447" w:type="dxa"/>
            <w:tcBorders>
              <w:top w:val="nil"/>
              <w:left w:val="nil"/>
              <w:bottom w:val="single" w:sz="4" w:space="0" w:color="auto"/>
              <w:right w:val="single" w:sz="4" w:space="0" w:color="auto"/>
            </w:tcBorders>
            <w:shd w:val="clear" w:color="auto" w:fill="C6EFCE"/>
            <w:noWrap/>
          </w:tcPr>
          <w:p w14:paraId="47595A48" w14:textId="77777777" w:rsidR="00ED27EC" w:rsidRPr="009674F2" w:rsidRDefault="00ED27EC" w:rsidP="00ED27EC">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Въвеждане в действие на информационен модул, който дава възможност за цифрово дистанционно подаване и получаване на електронни документи по съдебни дела от страните и техните законни представители</w:t>
            </w:r>
          </w:p>
        </w:tc>
      </w:tr>
      <w:tr w:rsidR="00ED27EC" w:rsidRPr="005241FC" w14:paraId="3ABBF365" w14:textId="77777777" w:rsidTr="14D66C95">
        <w:trPr>
          <w:trHeight w:val="302"/>
          <w:jc w:val="center"/>
        </w:trPr>
        <w:tc>
          <w:tcPr>
            <w:tcW w:w="1207" w:type="dxa"/>
            <w:tcBorders>
              <w:top w:val="nil"/>
              <w:left w:val="single" w:sz="4" w:space="0" w:color="auto"/>
              <w:bottom w:val="single" w:sz="4" w:space="0" w:color="auto"/>
              <w:right w:val="single" w:sz="4" w:space="0" w:color="auto"/>
            </w:tcBorders>
            <w:shd w:val="clear" w:color="auto" w:fill="C6EFCE"/>
            <w:noWrap/>
          </w:tcPr>
          <w:p w14:paraId="16169A83" w14:textId="77777777" w:rsidR="00ED27EC" w:rsidRPr="009674F2" w:rsidRDefault="00ED27EC" w:rsidP="00ED27EC">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261</w:t>
            </w:r>
          </w:p>
        </w:tc>
        <w:tc>
          <w:tcPr>
            <w:tcW w:w="4082" w:type="dxa"/>
            <w:tcBorders>
              <w:top w:val="nil"/>
              <w:left w:val="nil"/>
              <w:bottom w:val="single" w:sz="4" w:space="0" w:color="auto"/>
              <w:right w:val="single" w:sz="4" w:space="0" w:color="auto"/>
            </w:tcBorders>
            <w:shd w:val="clear" w:color="auto" w:fill="C6EFCE"/>
            <w:noWrap/>
          </w:tcPr>
          <w:p w14:paraId="7C3251A1" w14:textId="77777777" w:rsidR="00ED27EC" w:rsidRPr="009674F2" w:rsidRDefault="00ED27EC" w:rsidP="00ED27EC">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C10I2 Цифровизация на ключови съдопроизводствени процеси в системата на административното правораздаване</w:t>
            </w:r>
          </w:p>
        </w:tc>
        <w:tc>
          <w:tcPr>
            <w:tcW w:w="1559" w:type="dxa"/>
            <w:tcBorders>
              <w:top w:val="nil"/>
              <w:left w:val="nil"/>
              <w:bottom w:val="single" w:sz="4" w:space="0" w:color="auto"/>
              <w:right w:val="single" w:sz="4" w:space="0" w:color="auto"/>
            </w:tcBorders>
            <w:shd w:val="clear" w:color="auto" w:fill="C6EFCE"/>
            <w:noWrap/>
          </w:tcPr>
          <w:p w14:paraId="3172769D" w14:textId="77777777" w:rsidR="00ED27EC" w:rsidRPr="009674F2" w:rsidRDefault="00ED27EC" w:rsidP="00ED27EC">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Ключов етап</w:t>
            </w:r>
          </w:p>
        </w:tc>
        <w:tc>
          <w:tcPr>
            <w:tcW w:w="3447" w:type="dxa"/>
            <w:tcBorders>
              <w:top w:val="nil"/>
              <w:left w:val="nil"/>
              <w:bottom w:val="single" w:sz="4" w:space="0" w:color="auto"/>
              <w:right w:val="single" w:sz="4" w:space="0" w:color="auto"/>
            </w:tcBorders>
            <w:shd w:val="clear" w:color="auto" w:fill="C6EFCE"/>
            <w:noWrap/>
          </w:tcPr>
          <w:p w14:paraId="0F3D38E2" w14:textId="77777777" w:rsidR="00ED27EC" w:rsidRPr="009674F2" w:rsidRDefault="00ED27EC" w:rsidP="00ED27EC">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 xml:space="preserve">Въвеждане в експлоатация на информационен модул за дистанционни съдебни заседания и осигуряване на необходимия хардуер за дистанционни съдебни заседания </w:t>
            </w:r>
          </w:p>
        </w:tc>
      </w:tr>
      <w:tr w:rsidR="00ED27EC" w:rsidRPr="005241FC" w14:paraId="5B7D2BBF" w14:textId="77777777" w:rsidTr="14D66C95">
        <w:trPr>
          <w:trHeight w:val="302"/>
          <w:jc w:val="center"/>
        </w:trPr>
        <w:tc>
          <w:tcPr>
            <w:tcW w:w="1207" w:type="dxa"/>
            <w:tcBorders>
              <w:top w:val="nil"/>
              <w:left w:val="single" w:sz="4" w:space="0" w:color="auto"/>
              <w:bottom w:val="single" w:sz="4" w:space="0" w:color="auto"/>
              <w:right w:val="single" w:sz="4" w:space="0" w:color="auto"/>
            </w:tcBorders>
            <w:shd w:val="clear" w:color="auto" w:fill="C6EFCE"/>
            <w:noWrap/>
          </w:tcPr>
          <w:p w14:paraId="5775337F" w14:textId="77777777" w:rsidR="00ED27EC" w:rsidRPr="009674F2" w:rsidRDefault="00ED27EC" w:rsidP="00ED27EC">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263</w:t>
            </w:r>
          </w:p>
        </w:tc>
        <w:tc>
          <w:tcPr>
            <w:tcW w:w="4082" w:type="dxa"/>
            <w:tcBorders>
              <w:top w:val="nil"/>
              <w:left w:val="nil"/>
              <w:bottom w:val="single" w:sz="4" w:space="0" w:color="auto"/>
              <w:right w:val="single" w:sz="4" w:space="0" w:color="auto"/>
            </w:tcBorders>
            <w:shd w:val="clear" w:color="auto" w:fill="C6EFCE"/>
            <w:noWrap/>
          </w:tcPr>
          <w:p w14:paraId="464565C1" w14:textId="77777777" w:rsidR="00ED27EC" w:rsidRPr="009674F2" w:rsidRDefault="00ED27EC" w:rsidP="00ED27EC">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C10I3 Трансформация на съществуващата в прокуратурата информационна и комуникационна инфраструктура</w:t>
            </w:r>
          </w:p>
        </w:tc>
        <w:tc>
          <w:tcPr>
            <w:tcW w:w="1559" w:type="dxa"/>
            <w:tcBorders>
              <w:top w:val="nil"/>
              <w:left w:val="nil"/>
              <w:bottom w:val="single" w:sz="4" w:space="0" w:color="auto"/>
              <w:right w:val="single" w:sz="4" w:space="0" w:color="auto"/>
            </w:tcBorders>
            <w:shd w:val="clear" w:color="auto" w:fill="C6EFCE"/>
            <w:noWrap/>
          </w:tcPr>
          <w:p w14:paraId="6F5D760D" w14:textId="77777777" w:rsidR="00ED27EC" w:rsidRPr="009674F2" w:rsidRDefault="00ED27EC" w:rsidP="00ED27EC">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Ключов етап</w:t>
            </w:r>
          </w:p>
        </w:tc>
        <w:tc>
          <w:tcPr>
            <w:tcW w:w="3447" w:type="dxa"/>
            <w:tcBorders>
              <w:top w:val="nil"/>
              <w:left w:val="nil"/>
              <w:bottom w:val="single" w:sz="4" w:space="0" w:color="auto"/>
              <w:right w:val="single" w:sz="4" w:space="0" w:color="auto"/>
            </w:tcBorders>
            <w:shd w:val="clear" w:color="auto" w:fill="C6EFCE"/>
            <w:noWrap/>
          </w:tcPr>
          <w:p w14:paraId="6F86C1DD" w14:textId="77777777" w:rsidR="00ED27EC" w:rsidRPr="009674F2" w:rsidRDefault="00ED27EC" w:rsidP="00ED27EC">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Актуализация на съществуващата в прокуратурата информационна и комуникационна инфраструктура</w:t>
            </w:r>
          </w:p>
          <w:p w14:paraId="1FC81FEB" w14:textId="77777777" w:rsidR="00ED27EC" w:rsidRPr="008A0F8A" w:rsidRDefault="00ED27EC" w:rsidP="00ED27EC">
            <w:pPr>
              <w:spacing w:after="0" w:line="240" w:lineRule="auto"/>
              <w:jc w:val="both"/>
              <w:rPr>
                <w:rFonts w:ascii="Times New Roman" w:eastAsia="Times New Roman" w:hAnsi="Times New Roman" w:cs="Times New Roman"/>
                <w:noProof/>
                <w:color w:val="006100"/>
                <w:lang w:val="ru-RU" w:eastAsia="en-GB"/>
              </w:rPr>
            </w:pPr>
          </w:p>
        </w:tc>
      </w:tr>
      <w:tr w:rsidR="00ED27EC" w:rsidRPr="005241FC" w14:paraId="4382BB48" w14:textId="77777777" w:rsidTr="14D66C95">
        <w:trPr>
          <w:trHeight w:val="302"/>
          <w:jc w:val="center"/>
        </w:trPr>
        <w:tc>
          <w:tcPr>
            <w:tcW w:w="1207" w:type="dxa"/>
            <w:tcBorders>
              <w:top w:val="nil"/>
              <w:left w:val="single" w:sz="4" w:space="0" w:color="auto"/>
              <w:bottom w:val="single" w:sz="4" w:space="0" w:color="auto"/>
              <w:right w:val="single" w:sz="4" w:space="0" w:color="auto"/>
            </w:tcBorders>
            <w:shd w:val="clear" w:color="auto" w:fill="C6EFCE"/>
            <w:noWrap/>
          </w:tcPr>
          <w:p w14:paraId="6C04331F" w14:textId="77777777" w:rsidR="00ED27EC" w:rsidRPr="009674F2" w:rsidRDefault="00ED27EC" w:rsidP="00ED27EC">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266</w:t>
            </w:r>
          </w:p>
        </w:tc>
        <w:tc>
          <w:tcPr>
            <w:tcW w:w="4082" w:type="dxa"/>
            <w:tcBorders>
              <w:top w:val="nil"/>
              <w:left w:val="nil"/>
              <w:bottom w:val="single" w:sz="4" w:space="0" w:color="auto"/>
              <w:right w:val="single" w:sz="4" w:space="0" w:color="auto"/>
            </w:tcBorders>
            <w:shd w:val="clear" w:color="auto" w:fill="C6EFCE"/>
            <w:noWrap/>
          </w:tcPr>
          <w:p w14:paraId="782A2C50" w14:textId="77777777" w:rsidR="00ED27EC" w:rsidRPr="009674F2" w:rsidRDefault="00ED27EC" w:rsidP="00ED27EC">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C10I4 Подобряване на качеството и устойчивостта на политиките в сферата на сигурността</w:t>
            </w:r>
          </w:p>
        </w:tc>
        <w:tc>
          <w:tcPr>
            <w:tcW w:w="1559" w:type="dxa"/>
            <w:tcBorders>
              <w:top w:val="nil"/>
              <w:left w:val="nil"/>
              <w:bottom w:val="single" w:sz="4" w:space="0" w:color="auto"/>
              <w:right w:val="single" w:sz="4" w:space="0" w:color="auto"/>
            </w:tcBorders>
            <w:shd w:val="clear" w:color="auto" w:fill="C6EFCE"/>
            <w:noWrap/>
          </w:tcPr>
          <w:p w14:paraId="04F2E33D" w14:textId="77777777" w:rsidR="00ED27EC" w:rsidRPr="009674F2" w:rsidRDefault="00ED27EC" w:rsidP="00ED27EC">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Цел</w:t>
            </w:r>
          </w:p>
        </w:tc>
        <w:tc>
          <w:tcPr>
            <w:tcW w:w="3447" w:type="dxa"/>
            <w:tcBorders>
              <w:top w:val="nil"/>
              <w:left w:val="nil"/>
              <w:bottom w:val="single" w:sz="4" w:space="0" w:color="auto"/>
              <w:right w:val="single" w:sz="4" w:space="0" w:color="auto"/>
            </w:tcBorders>
            <w:shd w:val="clear" w:color="auto" w:fill="C6EFCE"/>
            <w:noWrap/>
          </w:tcPr>
          <w:p w14:paraId="75045D78" w14:textId="77777777" w:rsidR="00ED27EC" w:rsidRPr="009674F2" w:rsidRDefault="00ED27EC" w:rsidP="00ED27EC">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Придобиване на полицейски автомобили със системи за видеонаблюдение за предотвратяване на корупционно поведение и практики</w:t>
            </w:r>
          </w:p>
        </w:tc>
      </w:tr>
      <w:tr w:rsidR="00ED27EC" w:rsidRPr="005241FC" w14:paraId="09E1A4B2" w14:textId="77777777" w:rsidTr="14D66C95">
        <w:trPr>
          <w:trHeight w:val="302"/>
          <w:jc w:val="center"/>
        </w:trPr>
        <w:tc>
          <w:tcPr>
            <w:tcW w:w="1207" w:type="dxa"/>
            <w:tcBorders>
              <w:top w:val="nil"/>
              <w:left w:val="single" w:sz="4" w:space="0" w:color="auto"/>
              <w:bottom w:val="single" w:sz="4" w:space="0" w:color="auto"/>
              <w:right w:val="single" w:sz="4" w:space="0" w:color="auto"/>
            </w:tcBorders>
            <w:shd w:val="clear" w:color="auto" w:fill="C6EFCE"/>
            <w:noWrap/>
          </w:tcPr>
          <w:p w14:paraId="09578836" w14:textId="77777777" w:rsidR="00ED27EC" w:rsidRPr="009674F2" w:rsidRDefault="00ED27EC" w:rsidP="00ED27EC">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267</w:t>
            </w:r>
          </w:p>
        </w:tc>
        <w:tc>
          <w:tcPr>
            <w:tcW w:w="4082" w:type="dxa"/>
            <w:tcBorders>
              <w:top w:val="nil"/>
              <w:left w:val="nil"/>
              <w:bottom w:val="single" w:sz="4" w:space="0" w:color="auto"/>
              <w:right w:val="single" w:sz="4" w:space="0" w:color="auto"/>
            </w:tcBorders>
            <w:shd w:val="clear" w:color="auto" w:fill="C6EFCE"/>
            <w:noWrap/>
          </w:tcPr>
          <w:p w14:paraId="7E1124EE" w14:textId="77777777" w:rsidR="00ED27EC" w:rsidRPr="009674F2" w:rsidRDefault="00ED27EC" w:rsidP="00ED27EC">
            <w:pPr>
              <w:spacing w:after="0" w:line="240" w:lineRule="auto"/>
              <w:jc w:val="both"/>
              <w:rPr>
                <w:rFonts w:ascii="Times New Roman" w:hAnsi="Times New Roman" w:cs="Times New Roman"/>
                <w:noProof/>
                <w:color w:val="006100"/>
              </w:rPr>
            </w:pPr>
            <w:r>
              <w:rPr>
                <w:rFonts w:ascii="Times New Roman" w:hAnsi="Times New Roman"/>
                <w:noProof/>
                <w:color w:val="006100"/>
              </w:rPr>
              <w:t>C10I4 Подобряване на качеството и устойчивостта на политиките в сферата на сигурността</w:t>
            </w:r>
          </w:p>
        </w:tc>
        <w:tc>
          <w:tcPr>
            <w:tcW w:w="1559" w:type="dxa"/>
            <w:tcBorders>
              <w:top w:val="nil"/>
              <w:left w:val="nil"/>
              <w:bottom w:val="single" w:sz="4" w:space="0" w:color="auto"/>
              <w:right w:val="single" w:sz="4" w:space="0" w:color="auto"/>
            </w:tcBorders>
            <w:shd w:val="clear" w:color="auto" w:fill="C6EFCE"/>
            <w:noWrap/>
          </w:tcPr>
          <w:p w14:paraId="72C2A9D5" w14:textId="77777777" w:rsidR="00ED27EC" w:rsidRPr="009674F2" w:rsidRDefault="00ED27EC" w:rsidP="00ED27EC">
            <w:pPr>
              <w:spacing w:after="0" w:line="240" w:lineRule="auto"/>
              <w:jc w:val="center"/>
              <w:rPr>
                <w:rFonts w:ascii="Times New Roman" w:hAnsi="Times New Roman" w:cs="Times New Roman"/>
                <w:noProof/>
                <w:color w:val="006100"/>
              </w:rPr>
            </w:pPr>
            <w:r>
              <w:rPr>
                <w:rFonts w:ascii="Times New Roman" w:hAnsi="Times New Roman"/>
                <w:noProof/>
                <w:color w:val="006100"/>
              </w:rPr>
              <w:t>Цел</w:t>
            </w:r>
          </w:p>
        </w:tc>
        <w:tc>
          <w:tcPr>
            <w:tcW w:w="3447" w:type="dxa"/>
            <w:tcBorders>
              <w:top w:val="nil"/>
              <w:left w:val="nil"/>
              <w:bottom w:val="single" w:sz="4" w:space="0" w:color="auto"/>
              <w:right w:val="single" w:sz="4" w:space="0" w:color="auto"/>
            </w:tcBorders>
            <w:shd w:val="clear" w:color="auto" w:fill="C6EFCE"/>
            <w:noWrap/>
          </w:tcPr>
          <w:p w14:paraId="30FA3575" w14:textId="77777777" w:rsidR="00ED27EC" w:rsidRPr="009674F2" w:rsidRDefault="00ED27EC" w:rsidP="00ED27EC">
            <w:pPr>
              <w:spacing w:after="0" w:line="240" w:lineRule="auto"/>
              <w:jc w:val="both"/>
              <w:rPr>
                <w:rFonts w:ascii="Times New Roman" w:hAnsi="Times New Roman" w:cs="Times New Roman"/>
                <w:noProof/>
                <w:color w:val="006100"/>
              </w:rPr>
            </w:pPr>
            <w:r>
              <w:rPr>
                <w:rFonts w:ascii="Times New Roman" w:hAnsi="Times New Roman"/>
                <w:noProof/>
                <w:color w:val="006100"/>
              </w:rPr>
              <w:t xml:space="preserve">Снабдяване на полицейските служители с телесни камери. </w:t>
            </w:r>
          </w:p>
        </w:tc>
      </w:tr>
      <w:tr w:rsidR="00ED27EC" w:rsidRPr="005241FC" w14:paraId="2C3581CA" w14:textId="77777777" w:rsidTr="14D66C95">
        <w:trPr>
          <w:trHeight w:val="302"/>
          <w:jc w:val="center"/>
        </w:trPr>
        <w:tc>
          <w:tcPr>
            <w:tcW w:w="1207" w:type="dxa"/>
            <w:tcBorders>
              <w:top w:val="nil"/>
              <w:left w:val="single" w:sz="4" w:space="0" w:color="auto"/>
              <w:bottom w:val="single" w:sz="4" w:space="0" w:color="auto"/>
              <w:right w:val="single" w:sz="4" w:space="0" w:color="auto"/>
            </w:tcBorders>
            <w:shd w:val="clear" w:color="auto" w:fill="C6EFCE"/>
            <w:noWrap/>
          </w:tcPr>
          <w:p w14:paraId="3077F650" w14:textId="77777777" w:rsidR="00ED27EC" w:rsidRPr="009674F2" w:rsidRDefault="00ED27EC" w:rsidP="00ED27EC">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289</w:t>
            </w:r>
          </w:p>
        </w:tc>
        <w:tc>
          <w:tcPr>
            <w:tcW w:w="4082" w:type="dxa"/>
            <w:tcBorders>
              <w:top w:val="nil"/>
              <w:left w:val="nil"/>
              <w:bottom w:val="single" w:sz="4" w:space="0" w:color="auto"/>
              <w:right w:val="single" w:sz="4" w:space="0" w:color="auto"/>
            </w:tcBorders>
            <w:shd w:val="clear" w:color="auto" w:fill="C6EFCE"/>
            <w:noWrap/>
          </w:tcPr>
          <w:p w14:paraId="05313701" w14:textId="77777777" w:rsidR="00ED27EC" w:rsidRPr="009674F2" w:rsidRDefault="00ED27EC" w:rsidP="00ED27EC">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C11R1 Реформа на схемата за минимален доход</w:t>
            </w:r>
          </w:p>
        </w:tc>
        <w:tc>
          <w:tcPr>
            <w:tcW w:w="1559" w:type="dxa"/>
            <w:tcBorders>
              <w:top w:val="nil"/>
              <w:left w:val="nil"/>
              <w:bottom w:val="single" w:sz="4" w:space="0" w:color="auto"/>
              <w:right w:val="single" w:sz="4" w:space="0" w:color="auto"/>
            </w:tcBorders>
            <w:shd w:val="clear" w:color="auto" w:fill="C6EFCE"/>
            <w:noWrap/>
          </w:tcPr>
          <w:p w14:paraId="4C17CFF8" w14:textId="77777777" w:rsidR="00ED27EC" w:rsidRPr="009674F2" w:rsidRDefault="00ED27EC" w:rsidP="00ED27EC">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Цел</w:t>
            </w:r>
          </w:p>
        </w:tc>
        <w:tc>
          <w:tcPr>
            <w:tcW w:w="3447" w:type="dxa"/>
            <w:tcBorders>
              <w:top w:val="nil"/>
              <w:left w:val="nil"/>
              <w:bottom w:val="single" w:sz="4" w:space="0" w:color="auto"/>
              <w:right w:val="single" w:sz="4" w:space="0" w:color="auto"/>
            </w:tcBorders>
            <w:shd w:val="clear" w:color="auto" w:fill="C6EFCE"/>
            <w:noWrap/>
          </w:tcPr>
          <w:p w14:paraId="4892362F" w14:textId="77777777" w:rsidR="00ED27EC" w:rsidRPr="009674F2" w:rsidRDefault="00ED27EC" w:rsidP="00ED27EC">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Бенефициери на подпомагане за месечен минимален доход</w:t>
            </w:r>
          </w:p>
        </w:tc>
      </w:tr>
      <w:tr w:rsidR="00ED27EC" w:rsidRPr="005241FC" w14:paraId="3E18140B" w14:textId="77777777" w:rsidTr="14D66C95">
        <w:trPr>
          <w:trHeight w:val="302"/>
          <w:jc w:val="center"/>
        </w:trPr>
        <w:tc>
          <w:tcPr>
            <w:tcW w:w="1207" w:type="dxa"/>
            <w:tcBorders>
              <w:top w:val="nil"/>
              <w:left w:val="single" w:sz="4" w:space="0" w:color="auto"/>
              <w:bottom w:val="single" w:sz="4" w:space="0" w:color="auto"/>
              <w:right w:val="single" w:sz="4" w:space="0" w:color="auto"/>
            </w:tcBorders>
            <w:shd w:val="clear" w:color="auto" w:fill="C6EFCE"/>
            <w:noWrap/>
          </w:tcPr>
          <w:p w14:paraId="1BC0FE9F" w14:textId="77777777" w:rsidR="00ED27EC" w:rsidRPr="009674F2" w:rsidRDefault="00ED27EC" w:rsidP="00ED27EC">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306</w:t>
            </w:r>
          </w:p>
        </w:tc>
        <w:tc>
          <w:tcPr>
            <w:tcW w:w="4082" w:type="dxa"/>
            <w:tcBorders>
              <w:top w:val="nil"/>
              <w:left w:val="nil"/>
              <w:bottom w:val="single" w:sz="4" w:space="0" w:color="auto"/>
              <w:right w:val="single" w:sz="4" w:space="0" w:color="auto"/>
            </w:tcBorders>
            <w:shd w:val="clear" w:color="auto" w:fill="C6EFCE"/>
            <w:noWrap/>
          </w:tcPr>
          <w:p w14:paraId="55F4E43D" w14:textId="77777777" w:rsidR="00ED27EC" w:rsidRPr="009674F2" w:rsidRDefault="00ED27EC" w:rsidP="00ED27EC">
            <w:pPr>
              <w:spacing w:after="0" w:line="240" w:lineRule="auto"/>
              <w:jc w:val="both"/>
              <w:rPr>
                <w:rFonts w:ascii="Times New Roman" w:hAnsi="Times New Roman" w:cs="Times New Roman"/>
                <w:noProof/>
                <w:color w:val="006100"/>
              </w:rPr>
            </w:pPr>
            <w:r>
              <w:rPr>
                <w:rFonts w:ascii="Times New Roman" w:hAnsi="Times New Roman"/>
                <w:noProof/>
                <w:color w:val="006100"/>
              </w:rPr>
              <w:t>C11I5 Модернизиране на Агенцията по заетостта</w:t>
            </w:r>
          </w:p>
        </w:tc>
        <w:tc>
          <w:tcPr>
            <w:tcW w:w="1559" w:type="dxa"/>
            <w:tcBorders>
              <w:top w:val="nil"/>
              <w:left w:val="nil"/>
              <w:bottom w:val="single" w:sz="4" w:space="0" w:color="auto"/>
              <w:right w:val="single" w:sz="4" w:space="0" w:color="auto"/>
            </w:tcBorders>
            <w:shd w:val="clear" w:color="auto" w:fill="C6EFCE"/>
            <w:noWrap/>
          </w:tcPr>
          <w:p w14:paraId="2EE4E721" w14:textId="77777777" w:rsidR="00ED27EC" w:rsidRPr="009674F2" w:rsidRDefault="00ED27EC" w:rsidP="00ED27EC">
            <w:pPr>
              <w:spacing w:after="0" w:line="240" w:lineRule="auto"/>
              <w:jc w:val="center"/>
              <w:rPr>
                <w:rFonts w:ascii="Times New Roman" w:hAnsi="Times New Roman" w:cs="Times New Roman"/>
                <w:noProof/>
                <w:color w:val="006100"/>
              </w:rPr>
            </w:pPr>
            <w:r>
              <w:rPr>
                <w:rFonts w:ascii="Times New Roman" w:hAnsi="Times New Roman"/>
                <w:noProof/>
                <w:color w:val="006100"/>
              </w:rPr>
              <w:t>Ключов етап</w:t>
            </w:r>
          </w:p>
        </w:tc>
        <w:tc>
          <w:tcPr>
            <w:tcW w:w="3447" w:type="dxa"/>
            <w:tcBorders>
              <w:top w:val="nil"/>
              <w:left w:val="nil"/>
              <w:bottom w:val="single" w:sz="4" w:space="0" w:color="auto"/>
              <w:right w:val="single" w:sz="4" w:space="0" w:color="auto"/>
            </w:tcBorders>
            <w:shd w:val="clear" w:color="auto" w:fill="C6EFCE"/>
            <w:noWrap/>
          </w:tcPr>
          <w:p w14:paraId="1E83B734" w14:textId="77777777" w:rsidR="00ED27EC" w:rsidRPr="009674F2" w:rsidRDefault="00ED27EC" w:rsidP="00ED27EC">
            <w:pPr>
              <w:spacing w:after="0" w:line="240" w:lineRule="auto"/>
              <w:jc w:val="both"/>
              <w:rPr>
                <w:rFonts w:ascii="Times New Roman" w:hAnsi="Times New Roman" w:cs="Times New Roman"/>
                <w:noProof/>
                <w:color w:val="006100"/>
              </w:rPr>
            </w:pPr>
            <w:r>
              <w:rPr>
                <w:rFonts w:ascii="Times New Roman" w:hAnsi="Times New Roman"/>
                <w:noProof/>
                <w:color w:val="006100"/>
              </w:rPr>
              <w:t>ИТ среда на Агенцията по заетостта</w:t>
            </w:r>
          </w:p>
        </w:tc>
      </w:tr>
      <w:tr w:rsidR="00ED27EC" w:rsidRPr="005241FC" w14:paraId="7EC7E3B8" w14:textId="77777777" w:rsidTr="14D66C95">
        <w:trPr>
          <w:trHeight w:val="302"/>
          <w:jc w:val="center"/>
        </w:trPr>
        <w:tc>
          <w:tcPr>
            <w:tcW w:w="1207" w:type="dxa"/>
            <w:tcBorders>
              <w:top w:val="nil"/>
              <w:left w:val="single" w:sz="4" w:space="0" w:color="auto"/>
              <w:bottom w:val="single" w:sz="4" w:space="0" w:color="auto"/>
              <w:right w:val="single" w:sz="4" w:space="0" w:color="auto"/>
            </w:tcBorders>
            <w:shd w:val="clear" w:color="auto" w:fill="C6EFCE"/>
            <w:noWrap/>
          </w:tcPr>
          <w:p w14:paraId="3CC5AEC8" w14:textId="77777777" w:rsidR="00ED27EC" w:rsidRPr="009674F2" w:rsidRDefault="00ED27EC" w:rsidP="00ED27EC">
            <w:pPr>
              <w:spacing w:after="0" w:line="240" w:lineRule="auto"/>
              <w:jc w:val="center"/>
              <w:rPr>
                <w:rFonts w:ascii="Times New Roman" w:hAnsi="Times New Roman" w:cs="Times New Roman"/>
                <w:noProof/>
                <w:color w:val="006100"/>
              </w:rPr>
            </w:pPr>
            <w:r>
              <w:rPr>
                <w:rFonts w:ascii="Times New Roman" w:hAnsi="Times New Roman"/>
                <w:noProof/>
                <w:color w:val="006100"/>
              </w:rPr>
              <w:t>313</w:t>
            </w:r>
          </w:p>
        </w:tc>
        <w:tc>
          <w:tcPr>
            <w:tcW w:w="4082" w:type="dxa"/>
            <w:tcBorders>
              <w:top w:val="nil"/>
              <w:left w:val="nil"/>
              <w:bottom w:val="single" w:sz="4" w:space="0" w:color="auto"/>
              <w:right w:val="single" w:sz="4" w:space="0" w:color="auto"/>
            </w:tcBorders>
            <w:shd w:val="clear" w:color="auto" w:fill="C6EFCE"/>
            <w:noWrap/>
          </w:tcPr>
          <w:p w14:paraId="06CEFEC2" w14:textId="77777777" w:rsidR="00ED27EC" w:rsidRPr="009674F2" w:rsidRDefault="00ED27EC" w:rsidP="00ED27EC">
            <w:pPr>
              <w:spacing w:after="0"/>
              <w:rPr>
                <w:rFonts w:ascii="Times New Roman" w:hAnsi="Times New Roman" w:cs="Times New Roman"/>
                <w:noProof/>
                <w:color w:val="006100"/>
              </w:rPr>
            </w:pPr>
            <w:r>
              <w:rPr>
                <w:rFonts w:ascii="Times New Roman" w:hAnsi="Times New Roman"/>
                <w:noProof/>
                <w:color w:val="006100"/>
              </w:rPr>
              <w:t>C11I7 Цифровизация на музейни колекции, библиотеки и архиви</w:t>
            </w:r>
          </w:p>
        </w:tc>
        <w:tc>
          <w:tcPr>
            <w:tcW w:w="1559" w:type="dxa"/>
            <w:tcBorders>
              <w:top w:val="nil"/>
              <w:left w:val="nil"/>
              <w:bottom w:val="single" w:sz="4" w:space="0" w:color="auto"/>
              <w:right w:val="single" w:sz="4" w:space="0" w:color="auto"/>
            </w:tcBorders>
            <w:shd w:val="clear" w:color="auto" w:fill="C6EFCE"/>
            <w:noWrap/>
          </w:tcPr>
          <w:p w14:paraId="4E10129F" w14:textId="77777777" w:rsidR="00ED27EC" w:rsidRPr="009674F2" w:rsidRDefault="00ED27EC" w:rsidP="00ED27EC">
            <w:pPr>
              <w:spacing w:after="0" w:line="240" w:lineRule="auto"/>
              <w:jc w:val="center"/>
              <w:rPr>
                <w:rFonts w:ascii="Times New Roman" w:hAnsi="Times New Roman" w:cs="Times New Roman"/>
                <w:noProof/>
                <w:color w:val="006100"/>
              </w:rPr>
            </w:pPr>
            <w:r>
              <w:rPr>
                <w:rFonts w:ascii="Times New Roman" w:hAnsi="Times New Roman"/>
                <w:noProof/>
                <w:color w:val="006100"/>
              </w:rPr>
              <w:t>Ключов етап</w:t>
            </w:r>
          </w:p>
        </w:tc>
        <w:tc>
          <w:tcPr>
            <w:tcW w:w="3447" w:type="dxa"/>
            <w:tcBorders>
              <w:top w:val="nil"/>
              <w:left w:val="nil"/>
              <w:bottom w:val="single" w:sz="4" w:space="0" w:color="auto"/>
              <w:right w:val="single" w:sz="4" w:space="0" w:color="auto"/>
            </w:tcBorders>
            <w:shd w:val="clear" w:color="auto" w:fill="C6EFCE"/>
            <w:noWrap/>
          </w:tcPr>
          <w:p w14:paraId="59A735CD" w14:textId="77777777" w:rsidR="00ED27EC" w:rsidRPr="009674F2" w:rsidRDefault="00ED27EC" w:rsidP="00ED27EC">
            <w:pPr>
              <w:spacing w:after="0" w:line="240" w:lineRule="auto"/>
              <w:jc w:val="both"/>
              <w:rPr>
                <w:rFonts w:ascii="Times New Roman" w:hAnsi="Times New Roman" w:cs="Times New Roman"/>
                <w:noProof/>
                <w:color w:val="006100"/>
              </w:rPr>
            </w:pPr>
            <w:r>
              <w:rPr>
                <w:rFonts w:ascii="Times New Roman" w:hAnsi="Times New Roman"/>
                <w:noProof/>
                <w:color w:val="006100"/>
              </w:rPr>
              <w:t xml:space="preserve">Електронна платформа за културното наследство </w:t>
            </w:r>
          </w:p>
        </w:tc>
      </w:tr>
      <w:tr w:rsidR="00ED27EC" w:rsidRPr="005241FC" w14:paraId="5EB0E2C7" w14:textId="77777777" w:rsidTr="14D66C95">
        <w:trPr>
          <w:trHeight w:val="302"/>
          <w:jc w:val="center"/>
        </w:trPr>
        <w:tc>
          <w:tcPr>
            <w:tcW w:w="1207" w:type="dxa"/>
            <w:tcBorders>
              <w:top w:val="nil"/>
              <w:left w:val="single" w:sz="4" w:space="0" w:color="auto"/>
              <w:bottom w:val="single" w:sz="4" w:space="0" w:color="auto"/>
              <w:right w:val="single" w:sz="4" w:space="0" w:color="auto"/>
            </w:tcBorders>
            <w:shd w:val="clear" w:color="auto" w:fill="C6EFCE"/>
            <w:noWrap/>
          </w:tcPr>
          <w:p w14:paraId="5577F969" w14:textId="77777777" w:rsidR="00ED27EC" w:rsidRPr="009674F2" w:rsidRDefault="00ED27EC" w:rsidP="00ED27EC">
            <w:pPr>
              <w:spacing w:after="0" w:line="240" w:lineRule="auto"/>
              <w:jc w:val="center"/>
              <w:rPr>
                <w:rFonts w:ascii="Times New Roman" w:hAnsi="Times New Roman" w:cs="Times New Roman"/>
                <w:noProof/>
                <w:color w:val="006100"/>
              </w:rPr>
            </w:pPr>
            <w:r>
              <w:rPr>
                <w:rFonts w:ascii="Times New Roman" w:hAnsi="Times New Roman"/>
                <w:noProof/>
                <w:color w:val="006100"/>
              </w:rPr>
              <w:t>329</w:t>
            </w:r>
          </w:p>
        </w:tc>
        <w:tc>
          <w:tcPr>
            <w:tcW w:w="4082" w:type="dxa"/>
            <w:tcBorders>
              <w:top w:val="nil"/>
              <w:left w:val="nil"/>
              <w:bottom w:val="single" w:sz="4" w:space="0" w:color="auto"/>
              <w:right w:val="single" w:sz="4" w:space="0" w:color="auto"/>
            </w:tcBorders>
            <w:shd w:val="clear" w:color="auto" w:fill="C6EFCE"/>
            <w:noWrap/>
          </w:tcPr>
          <w:p w14:paraId="76A81CD0" w14:textId="77777777" w:rsidR="00ED27EC" w:rsidRPr="009674F2" w:rsidRDefault="00ED27EC" w:rsidP="00ED27EC">
            <w:pPr>
              <w:spacing w:after="0"/>
              <w:rPr>
                <w:rFonts w:ascii="Times New Roman" w:hAnsi="Times New Roman" w:cs="Times New Roman"/>
                <w:noProof/>
                <w:color w:val="006100"/>
              </w:rPr>
            </w:pPr>
            <w:r>
              <w:rPr>
                <w:rFonts w:ascii="Times New Roman" w:hAnsi="Times New Roman"/>
                <w:noProof/>
                <w:color w:val="006100"/>
              </w:rPr>
              <w:t>C12I1 Модернизиране на болничните заведения</w:t>
            </w:r>
          </w:p>
        </w:tc>
        <w:tc>
          <w:tcPr>
            <w:tcW w:w="1559" w:type="dxa"/>
            <w:tcBorders>
              <w:top w:val="nil"/>
              <w:left w:val="nil"/>
              <w:bottom w:val="single" w:sz="4" w:space="0" w:color="auto"/>
              <w:right w:val="single" w:sz="4" w:space="0" w:color="auto"/>
            </w:tcBorders>
            <w:shd w:val="clear" w:color="auto" w:fill="C6EFCE"/>
            <w:noWrap/>
          </w:tcPr>
          <w:p w14:paraId="2A665871" w14:textId="77777777" w:rsidR="00ED27EC" w:rsidRPr="009674F2" w:rsidRDefault="00ED27EC" w:rsidP="00ED27EC">
            <w:pPr>
              <w:spacing w:after="0" w:line="240" w:lineRule="auto"/>
              <w:jc w:val="center"/>
              <w:rPr>
                <w:rFonts w:ascii="Times New Roman" w:hAnsi="Times New Roman" w:cs="Times New Roman"/>
                <w:noProof/>
                <w:color w:val="006100"/>
              </w:rPr>
            </w:pPr>
            <w:r>
              <w:rPr>
                <w:rFonts w:ascii="Times New Roman" w:hAnsi="Times New Roman"/>
                <w:noProof/>
                <w:color w:val="006100"/>
              </w:rPr>
              <w:t>Ключов етап</w:t>
            </w:r>
          </w:p>
        </w:tc>
        <w:tc>
          <w:tcPr>
            <w:tcW w:w="3447" w:type="dxa"/>
            <w:tcBorders>
              <w:top w:val="nil"/>
              <w:left w:val="nil"/>
              <w:bottom w:val="single" w:sz="4" w:space="0" w:color="auto"/>
              <w:right w:val="single" w:sz="4" w:space="0" w:color="auto"/>
            </w:tcBorders>
            <w:shd w:val="clear" w:color="auto" w:fill="C6EFCE"/>
            <w:noWrap/>
          </w:tcPr>
          <w:p w14:paraId="335BAAB6" w14:textId="77777777" w:rsidR="00ED27EC" w:rsidRPr="009674F2" w:rsidRDefault="00ED27EC" w:rsidP="00ED27EC">
            <w:pPr>
              <w:spacing w:after="0" w:line="240" w:lineRule="auto"/>
              <w:jc w:val="both"/>
              <w:rPr>
                <w:rFonts w:ascii="Times New Roman" w:hAnsi="Times New Roman" w:cs="Times New Roman"/>
                <w:noProof/>
                <w:color w:val="006100"/>
              </w:rPr>
            </w:pPr>
            <w:r>
              <w:rPr>
                <w:rFonts w:ascii="Times New Roman" w:hAnsi="Times New Roman"/>
                <w:noProof/>
                <w:color w:val="006100"/>
              </w:rPr>
              <w:t>Сключване на договори за предоставяне на медицинско оборудване на болнични заведения</w:t>
            </w:r>
          </w:p>
        </w:tc>
      </w:tr>
      <w:tr w:rsidR="00ED27EC" w:rsidRPr="005241FC" w14:paraId="52F7F0CB" w14:textId="77777777" w:rsidTr="14D66C95">
        <w:trPr>
          <w:trHeight w:val="302"/>
          <w:jc w:val="center"/>
        </w:trPr>
        <w:tc>
          <w:tcPr>
            <w:tcW w:w="1207" w:type="dxa"/>
            <w:tcBorders>
              <w:top w:val="nil"/>
              <w:left w:val="single" w:sz="4" w:space="0" w:color="auto"/>
              <w:bottom w:val="single" w:sz="4" w:space="0" w:color="auto"/>
              <w:right w:val="single" w:sz="4" w:space="0" w:color="auto"/>
            </w:tcBorders>
            <w:shd w:val="clear" w:color="auto" w:fill="C6EFCE"/>
            <w:noWrap/>
          </w:tcPr>
          <w:p w14:paraId="42F8E441" w14:textId="77777777" w:rsidR="00ED27EC" w:rsidRPr="009674F2" w:rsidRDefault="00ED27EC" w:rsidP="00ED27EC">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342</w:t>
            </w:r>
          </w:p>
        </w:tc>
        <w:tc>
          <w:tcPr>
            <w:tcW w:w="4082" w:type="dxa"/>
            <w:tcBorders>
              <w:top w:val="nil"/>
              <w:left w:val="nil"/>
              <w:bottom w:val="single" w:sz="4" w:space="0" w:color="auto"/>
              <w:right w:val="single" w:sz="4" w:space="0" w:color="auto"/>
            </w:tcBorders>
            <w:shd w:val="clear" w:color="auto" w:fill="C6EFCE"/>
            <w:noWrap/>
          </w:tcPr>
          <w:p w14:paraId="61596408" w14:textId="77777777" w:rsidR="00ED27EC" w:rsidRPr="009674F2" w:rsidRDefault="00ED27EC" w:rsidP="00ED27EC">
            <w:pPr>
              <w:spacing w:after="0"/>
              <w:jc w:val="both"/>
              <w:rPr>
                <w:rFonts w:ascii="Times New Roman" w:hAnsi="Times New Roman" w:cs="Times New Roman"/>
                <w:noProof/>
                <w:color w:val="006100"/>
              </w:rPr>
            </w:pPr>
            <w:r>
              <w:rPr>
                <w:rFonts w:ascii="Times New Roman" w:hAnsi="Times New Roman"/>
                <w:noProof/>
                <w:color w:val="006100"/>
              </w:rPr>
              <w:t>C12I6 Подобряване на националната система за спешни комуникации на номер 112</w:t>
            </w:r>
          </w:p>
        </w:tc>
        <w:tc>
          <w:tcPr>
            <w:tcW w:w="1559" w:type="dxa"/>
            <w:tcBorders>
              <w:top w:val="nil"/>
              <w:left w:val="nil"/>
              <w:bottom w:val="single" w:sz="4" w:space="0" w:color="auto"/>
              <w:right w:val="single" w:sz="4" w:space="0" w:color="auto"/>
            </w:tcBorders>
            <w:shd w:val="clear" w:color="auto" w:fill="C6EFCE"/>
            <w:noWrap/>
          </w:tcPr>
          <w:p w14:paraId="3D5F7F9E" w14:textId="77777777" w:rsidR="00ED27EC" w:rsidRPr="009674F2" w:rsidRDefault="00ED27EC" w:rsidP="00ED27EC">
            <w:pPr>
              <w:spacing w:after="0" w:line="240" w:lineRule="auto"/>
              <w:jc w:val="center"/>
              <w:rPr>
                <w:rFonts w:ascii="Times New Roman" w:hAnsi="Times New Roman" w:cs="Times New Roman"/>
                <w:noProof/>
                <w:color w:val="006100"/>
              </w:rPr>
            </w:pPr>
            <w:r>
              <w:rPr>
                <w:rFonts w:ascii="Times New Roman" w:hAnsi="Times New Roman"/>
                <w:noProof/>
                <w:color w:val="006100"/>
              </w:rPr>
              <w:t>Ключов етап</w:t>
            </w:r>
          </w:p>
        </w:tc>
        <w:tc>
          <w:tcPr>
            <w:tcW w:w="3447" w:type="dxa"/>
            <w:tcBorders>
              <w:top w:val="nil"/>
              <w:left w:val="nil"/>
              <w:bottom w:val="single" w:sz="4" w:space="0" w:color="auto"/>
              <w:right w:val="single" w:sz="4" w:space="0" w:color="auto"/>
            </w:tcBorders>
            <w:shd w:val="clear" w:color="auto" w:fill="C6EFCE"/>
            <w:noWrap/>
          </w:tcPr>
          <w:p w14:paraId="13AF9BC8" w14:textId="77777777" w:rsidR="00ED27EC" w:rsidRPr="009674F2" w:rsidRDefault="00ED27EC" w:rsidP="00ED27EC">
            <w:pPr>
              <w:spacing w:after="0" w:line="240" w:lineRule="auto"/>
              <w:jc w:val="both"/>
              <w:rPr>
                <w:rFonts w:ascii="Times New Roman" w:hAnsi="Times New Roman" w:cs="Times New Roman"/>
                <w:noProof/>
                <w:color w:val="006100"/>
              </w:rPr>
            </w:pPr>
            <w:r>
              <w:rPr>
                <w:rFonts w:ascii="Times New Roman" w:hAnsi="Times New Roman"/>
                <w:noProof/>
                <w:color w:val="006100"/>
              </w:rPr>
              <w:t>Модернизиране на Националната система за комуникация за спешни комуникации на номер 112</w:t>
            </w:r>
          </w:p>
        </w:tc>
      </w:tr>
      <w:tr w:rsidR="00ED27EC" w:rsidRPr="005241FC" w14:paraId="15585A78" w14:textId="77777777" w:rsidTr="14D66C95">
        <w:trPr>
          <w:trHeight w:val="302"/>
          <w:jc w:val="center"/>
        </w:trPr>
        <w:tc>
          <w:tcPr>
            <w:tcW w:w="1207" w:type="dxa"/>
            <w:tcBorders>
              <w:top w:val="nil"/>
              <w:left w:val="single" w:sz="4" w:space="0" w:color="auto"/>
              <w:bottom w:val="single" w:sz="4" w:space="0" w:color="auto"/>
              <w:right w:val="single" w:sz="4" w:space="0" w:color="auto"/>
            </w:tcBorders>
            <w:shd w:val="clear" w:color="auto" w:fill="C6EFCE"/>
            <w:noWrap/>
          </w:tcPr>
          <w:p w14:paraId="0CDD6AE0" w14:textId="77777777" w:rsidR="00ED27EC" w:rsidRPr="009674F2" w:rsidRDefault="00ED27EC" w:rsidP="00ED27EC">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344</w:t>
            </w:r>
          </w:p>
        </w:tc>
        <w:tc>
          <w:tcPr>
            <w:tcW w:w="4082" w:type="dxa"/>
            <w:tcBorders>
              <w:top w:val="nil"/>
              <w:left w:val="nil"/>
              <w:bottom w:val="single" w:sz="4" w:space="0" w:color="auto"/>
              <w:right w:val="single" w:sz="4" w:space="0" w:color="auto"/>
            </w:tcBorders>
            <w:shd w:val="clear" w:color="auto" w:fill="C6EFCE"/>
            <w:noWrap/>
          </w:tcPr>
          <w:p w14:paraId="2559BFA9" w14:textId="77777777" w:rsidR="00ED27EC" w:rsidRPr="009674F2" w:rsidRDefault="00ED27EC" w:rsidP="00ED27EC">
            <w:pPr>
              <w:spacing w:after="0"/>
              <w:jc w:val="both"/>
              <w:rPr>
                <w:rFonts w:ascii="Times New Roman" w:hAnsi="Times New Roman" w:cs="Times New Roman"/>
                <w:noProof/>
                <w:color w:val="006100"/>
              </w:rPr>
            </w:pPr>
            <w:r>
              <w:rPr>
                <w:rFonts w:ascii="Times New Roman" w:hAnsi="Times New Roman"/>
                <w:noProof/>
                <w:color w:val="006100"/>
              </w:rPr>
              <w:t>C12I7 Развитие на амбулаторните грижи</w:t>
            </w:r>
          </w:p>
        </w:tc>
        <w:tc>
          <w:tcPr>
            <w:tcW w:w="1559" w:type="dxa"/>
            <w:tcBorders>
              <w:top w:val="nil"/>
              <w:left w:val="nil"/>
              <w:bottom w:val="single" w:sz="4" w:space="0" w:color="auto"/>
              <w:right w:val="single" w:sz="4" w:space="0" w:color="auto"/>
            </w:tcBorders>
            <w:shd w:val="clear" w:color="auto" w:fill="C6EFCE"/>
            <w:noWrap/>
          </w:tcPr>
          <w:p w14:paraId="7F1A7747" w14:textId="77777777" w:rsidR="00ED27EC" w:rsidRPr="009674F2" w:rsidRDefault="00ED27EC" w:rsidP="00ED27EC">
            <w:pPr>
              <w:spacing w:after="0" w:line="240" w:lineRule="auto"/>
              <w:jc w:val="center"/>
              <w:rPr>
                <w:rFonts w:ascii="Times New Roman" w:hAnsi="Times New Roman" w:cs="Times New Roman"/>
                <w:noProof/>
                <w:color w:val="006100"/>
                <w:highlight w:val="yellow"/>
              </w:rPr>
            </w:pPr>
            <w:r>
              <w:rPr>
                <w:rFonts w:ascii="Times New Roman" w:hAnsi="Times New Roman"/>
                <w:noProof/>
                <w:color w:val="006100"/>
              </w:rPr>
              <w:t>Цел</w:t>
            </w:r>
          </w:p>
        </w:tc>
        <w:tc>
          <w:tcPr>
            <w:tcW w:w="3447" w:type="dxa"/>
            <w:tcBorders>
              <w:top w:val="nil"/>
              <w:left w:val="nil"/>
              <w:bottom w:val="single" w:sz="4" w:space="0" w:color="auto"/>
              <w:right w:val="single" w:sz="4" w:space="0" w:color="auto"/>
            </w:tcBorders>
            <w:shd w:val="clear" w:color="auto" w:fill="C6EFCE"/>
            <w:noWrap/>
          </w:tcPr>
          <w:p w14:paraId="355EEA89" w14:textId="77777777" w:rsidR="00ED27EC" w:rsidRPr="009674F2" w:rsidRDefault="00ED27EC" w:rsidP="00ED27EC">
            <w:pPr>
              <w:spacing w:after="0" w:line="240" w:lineRule="auto"/>
              <w:jc w:val="both"/>
              <w:rPr>
                <w:rFonts w:ascii="Times New Roman" w:hAnsi="Times New Roman" w:cs="Times New Roman"/>
                <w:noProof/>
                <w:color w:val="006100"/>
                <w:highlight w:val="yellow"/>
              </w:rPr>
            </w:pPr>
            <w:r>
              <w:rPr>
                <w:rFonts w:ascii="Times New Roman" w:hAnsi="Times New Roman"/>
                <w:noProof/>
                <w:color w:val="006100"/>
              </w:rPr>
              <w:t>Строителни/ремонтни работи, оборудване и осигуряване на персонал за амбулатории в отдалечени населени места в цялата страна</w:t>
            </w:r>
          </w:p>
        </w:tc>
      </w:tr>
      <w:tr w:rsidR="00ED27EC" w:rsidRPr="00F41C75" w14:paraId="46E943BB" w14:textId="77777777" w:rsidTr="14D66C95">
        <w:trPr>
          <w:trHeight w:val="302"/>
          <w:jc w:val="center"/>
        </w:trPr>
        <w:tc>
          <w:tcPr>
            <w:tcW w:w="1207" w:type="dxa"/>
            <w:tcBorders>
              <w:top w:val="single" w:sz="4" w:space="0" w:color="auto"/>
              <w:left w:val="single" w:sz="4" w:space="0" w:color="auto"/>
              <w:bottom w:val="single" w:sz="4" w:space="0" w:color="auto"/>
              <w:right w:val="single" w:sz="4" w:space="0" w:color="auto"/>
            </w:tcBorders>
            <w:shd w:val="clear" w:color="auto" w:fill="C6EFCE"/>
            <w:noWrap/>
          </w:tcPr>
          <w:p w14:paraId="7993791E" w14:textId="77777777" w:rsidR="00ED27EC" w:rsidRPr="008A0F8A" w:rsidRDefault="00ED27EC" w:rsidP="00ED27EC">
            <w:pPr>
              <w:spacing w:after="0" w:line="240" w:lineRule="auto"/>
              <w:jc w:val="center"/>
              <w:rPr>
                <w:rFonts w:ascii="Times New Roman" w:eastAsia="Times New Roman" w:hAnsi="Times New Roman" w:cs="Times New Roman"/>
                <w:noProof/>
                <w:color w:val="006100"/>
                <w:lang w:val="ru-RU" w:eastAsia="en-GB"/>
              </w:rPr>
            </w:pPr>
          </w:p>
        </w:tc>
        <w:tc>
          <w:tcPr>
            <w:tcW w:w="4082" w:type="dxa"/>
            <w:tcBorders>
              <w:top w:val="single" w:sz="4" w:space="0" w:color="auto"/>
              <w:left w:val="nil"/>
              <w:bottom w:val="single" w:sz="4" w:space="0" w:color="auto"/>
              <w:right w:val="single" w:sz="4" w:space="0" w:color="auto"/>
            </w:tcBorders>
            <w:shd w:val="clear" w:color="auto" w:fill="C6EFCE"/>
            <w:noWrap/>
            <w:vAlign w:val="bottom"/>
          </w:tcPr>
          <w:p w14:paraId="299A77B3" w14:textId="77777777" w:rsidR="00ED27EC" w:rsidRPr="008A0F8A" w:rsidRDefault="00ED27EC" w:rsidP="00ED27EC">
            <w:pPr>
              <w:spacing w:after="0" w:line="240" w:lineRule="auto"/>
              <w:jc w:val="both"/>
              <w:rPr>
                <w:rFonts w:ascii="Times New Roman" w:eastAsia="Times New Roman" w:hAnsi="Times New Roman" w:cs="Times New Roman"/>
                <w:noProof/>
                <w:color w:val="006100"/>
                <w:lang w:val="ru-RU" w:eastAsia="en-GB"/>
              </w:rPr>
            </w:pPr>
          </w:p>
        </w:tc>
        <w:tc>
          <w:tcPr>
            <w:tcW w:w="1559" w:type="dxa"/>
            <w:tcBorders>
              <w:top w:val="single" w:sz="4" w:space="0" w:color="auto"/>
              <w:left w:val="nil"/>
              <w:bottom w:val="single" w:sz="4" w:space="0" w:color="auto"/>
              <w:right w:val="single" w:sz="4" w:space="0" w:color="auto"/>
            </w:tcBorders>
            <w:shd w:val="clear" w:color="auto" w:fill="C6EFCE"/>
            <w:noWrap/>
            <w:vAlign w:val="bottom"/>
          </w:tcPr>
          <w:p w14:paraId="25EED4FD" w14:textId="77777777" w:rsidR="00ED27EC" w:rsidRPr="009674F2" w:rsidRDefault="00ED27EC" w:rsidP="00ED27EC">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Размер на вноската</w:t>
            </w:r>
          </w:p>
        </w:tc>
        <w:tc>
          <w:tcPr>
            <w:tcW w:w="3447" w:type="dxa"/>
            <w:tcBorders>
              <w:top w:val="single" w:sz="4" w:space="0" w:color="auto"/>
              <w:left w:val="nil"/>
              <w:bottom w:val="single" w:sz="4" w:space="0" w:color="auto"/>
              <w:right w:val="single" w:sz="4" w:space="0" w:color="auto"/>
            </w:tcBorders>
            <w:shd w:val="clear" w:color="auto" w:fill="C6EFCE"/>
            <w:noWrap/>
            <w:vAlign w:val="bottom"/>
          </w:tcPr>
          <w:p w14:paraId="566DA1E9" w14:textId="2CD58421" w:rsidR="00ED27EC" w:rsidRPr="00B34264" w:rsidRDefault="28709293" w:rsidP="00ED27EC">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 xml:space="preserve">523 714 227 EUR </w:t>
            </w:r>
          </w:p>
        </w:tc>
      </w:tr>
    </w:tbl>
    <w:p w14:paraId="7DD83FD6" w14:textId="77777777" w:rsidR="00D21D80" w:rsidRPr="00F41C75" w:rsidRDefault="00D21D80" w:rsidP="00D21D80">
      <w:pPr>
        <w:spacing w:before="120" w:after="120" w:line="240" w:lineRule="auto"/>
        <w:ind w:left="850"/>
        <w:jc w:val="both"/>
        <w:rPr>
          <w:rFonts w:ascii="Times New Roman" w:eastAsia="Calibri" w:hAnsi="Times New Roman" w:cs="Times New Roman"/>
          <w:noProof/>
          <w:lang w:val="en-GB"/>
        </w:rPr>
      </w:pPr>
    </w:p>
    <w:p w14:paraId="6C15EBF3" w14:textId="77777777" w:rsidR="00D21D80" w:rsidRPr="00F41C75" w:rsidRDefault="00D21D80" w:rsidP="00D21D80">
      <w:pPr>
        <w:numPr>
          <w:ilvl w:val="1"/>
          <w:numId w:val="1"/>
        </w:numPr>
        <w:spacing w:before="120" w:after="120" w:line="240" w:lineRule="auto"/>
        <w:jc w:val="both"/>
        <w:rPr>
          <w:rFonts w:ascii="Times New Roman" w:eastAsia="Calibri" w:hAnsi="Times New Roman" w:cs="Times New Roman"/>
          <w:noProof/>
        </w:rPr>
      </w:pPr>
      <w:r>
        <w:rPr>
          <w:rFonts w:ascii="Times New Roman" w:hAnsi="Times New Roman"/>
          <w:noProof/>
        </w:rPr>
        <w:t xml:space="preserve">Седма вноска (безвъзмездна подкрепа): </w:t>
      </w:r>
    </w:p>
    <w:tbl>
      <w:tblPr>
        <w:tblW w:w="10277" w:type="dxa"/>
        <w:jc w:val="center"/>
        <w:tblLook w:val="04A0" w:firstRow="1" w:lastRow="0" w:firstColumn="1" w:lastColumn="0" w:noHBand="0" w:noVBand="1"/>
      </w:tblPr>
      <w:tblGrid>
        <w:gridCol w:w="1207"/>
        <w:gridCol w:w="4073"/>
        <w:gridCol w:w="1559"/>
        <w:gridCol w:w="3438"/>
      </w:tblGrid>
      <w:tr w:rsidR="00D21D80" w:rsidRPr="00F41C75" w14:paraId="160B3BD8" w14:textId="77777777" w:rsidTr="008E333E">
        <w:trPr>
          <w:trHeight w:val="906"/>
          <w:tblHeader/>
          <w:jc w:val="center"/>
        </w:trPr>
        <w:tc>
          <w:tcPr>
            <w:tcW w:w="120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009C92F" w14:textId="77777777" w:rsidR="00D21D80" w:rsidRPr="00F41C75" w:rsidRDefault="00D21D80" w:rsidP="00C955DB">
            <w:pPr>
              <w:spacing w:after="0" w:line="240" w:lineRule="auto"/>
              <w:jc w:val="center"/>
              <w:rPr>
                <w:rFonts w:ascii="Times New Roman" w:eastAsia="Times New Roman" w:hAnsi="Times New Roman" w:cs="Times New Roman"/>
                <w:b/>
                <w:noProof/>
              </w:rPr>
            </w:pPr>
            <w:r>
              <w:rPr>
                <w:rFonts w:ascii="Times New Roman" w:hAnsi="Times New Roman"/>
                <w:b/>
                <w:noProof/>
              </w:rPr>
              <w:t>Пореден номер</w:t>
            </w:r>
          </w:p>
        </w:tc>
        <w:tc>
          <w:tcPr>
            <w:tcW w:w="407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277C5F3" w14:textId="77777777" w:rsidR="00D21D80" w:rsidRPr="00F41C75" w:rsidRDefault="00D21D80" w:rsidP="00C955DB">
            <w:pPr>
              <w:spacing w:after="0" w:line="240" w:lineRule="auto"/>
              <w:jc w:val="center"/>
              <w:rPr>
                <w:rFonts w:ascii="Times New Roman" w:eastAsia="Times New Roman" w:hAnsi="Times New Roman" w:cs="Times New Roman"/>
                <w:b/>
                <w:noProof/>
              </w:rPr>
            </w:pPr>
            <w:r>
              <w:rPr>
                <w:rFonts w:ascii="Times New Roman" w:hAnsi="Times New Roman"/>
                <w:b/>
                <w:noProof/>
              </w:rPr>
              <w:t>Свързана мярка (реформа или инвестиция)</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7F1C5C2" w14:textId="77777777" w:rsidR="00D21D80" w:rsidRPr="00F41C75" w:rsidRDefault="00D21D80" w:rsidP="00C955DB">
            <w:pPr>
              <w:spacing w:after="0" w:line="240" w:lineRule="auto"/>
              <w:jc w:val="center"/>
              <w:rPr>
                <w:rFonts w:ascii="Times New Roman" w:eastAsia="Times New Roman" w:hAnsi="Times New Roman" w:cs="Times New Roman"/>
                <w:b/>
                <w:noProof/>
              </w:rPr>
            </w:pPr>
            <w:r>
              <w:rPr>
                <w:rFonts w:ascii="Times New Roman" w:hAnsi="Times New Roman"/>
                <w:b/>
                <w:noProof/>
              </w:rPr>
              <w:t>Ключов етап / Цел</w:t>
            </w:r>
          </w:p>
        </w:tc>
        <w:tc>
          <w:tcPr>
            <w:tcW w:w="343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13C6C15" w14:textId="77777777" w:rsidR="00D21D80" w:rsidRPr="00F41C75" w:rsidRDefault="00D21D80" w:rsidP="00C955DB">
            <w:pPr>
              <w:spacing w:after="0" w:line="240" w:lineRule="auto"/>
              <w:jc w:val="center"/>
              <w:rPr>
                <w:rFonts w:ascii="Times New Roman" w:eastAsia="Times New Roman" w:hAnsi="Times New Roman" w:cs="Times New Roman"/>
                <w:b/>
                <w:noProof/>
              </w:rPr>
            </w:pPr>
            <w:r>
              <w:rPr>
                <w:rFonts w:ascii="Times New Roman" w:hAnsi="Times New Roman"/>
                <w:b/>
                <w:noProof/>
              </w:rPr>
              <w:t>Наименование</w:t>
            </w:r>
          </w:p>
        </w:tc>
      </w:tr>
      <w:tr w:rsidR="00D21D80" w:rsidRPr="00F41C75" w14:paraId="52FD71A1" w14:textId="77777777" w:rsidTr="008E333E">
        <w:trPr>
          <w:trHeight w:val="450"/>
          <w:jc w:val="center"/>
        </w:trPr>
        <w:tc>
          <w:tcPr>
            <w:tcW w:w="1207" w:type="dxa"/>
            <w:vMerge/>
            <w:tcBorders>
              <w:top w:val="single" w:sz="4" w:space="0" w:color="auto"/>
              <w:left w:val="single" w:sz="4" w:space="0" w:color="auto"/>
              <w:bottom w:val="single" w:sz="4" w:space="0" w:color="auto"/>
              <w:right w:val="single" w:sz="4" w:space="0" w:color="auto"/>
            </w:tcBorders>
            <w:vAlign w:val="center"/>
            <w:hideMark/>
          </w:tcPr>
          <w:p w14:paraId="48039B9E" w14:textId="77777777" w:rsidR="00D21D80" w:rsidRPr="00F41C75" w:rsidRDefault="00D21D80" w:rsidP="00C955DB">
            <w:pPr>
              <w:spacing w:after="0" w:line="240" w:lineRule="auto"/>
              <w:jc w:val="center"/>
              <w:rPr>
                <w:rFonts w:ascii="Times New Roman" w:eastAsia="Times New Roman" w:hAnsi="Times New Roman" w:cs="Times New Roman"/>
                <w:b/>
                <w:bCs/>
                <w:noProof/>
                <w:lang w:val="en-GB" w:eastAsia="en-GB"/>
              </w:rPr>
            </w:pPr>
          </w:p>
        </w:tc>
        <w:tc>
          <w:tcPr>
            <w:tcW w:w="4073" w:type="dxa"/>
            <w:vMerge/>
            <w:tcBorders>
              <w:top w:val="single" w:sz="4" w:space="0" w:color="auto"/>
              <w:left w:val="single" w:sz="4" w:space="0" w:color="auto"/>
              <w:bottom w:val="single" w:sz="4" w:space="0" w:color="auto"/>
              <w:right w:val="single" w:sz="4" w:space="0" w:color="auto"/>
            </w:tcBorders>
            <w:vAlign w:val="center"/>
            <w:hideMark/>
          </w:tcPr>
          <w:p w14:paraId="4D75E78C" w14:textId="77777777" w:rsidR="00D21D80" w:rsidRPr="00F41C75" w:rsidRDefault="00D21D80" w:rsidP="00C955DB">
            <w:pPr>
              <w:spacing w:after="0" w:line="240" w:lineRule="auto"/>
              <w:jc w:val="both"/>
              <w:rPr>
                <w:rFonts w:ascii="Times New Roman" w:eastAsia="Times New Roman" w:hAnsi="Times New Roman" w:cs="Times New Roman"/>
                <w:b/>
                <w:bCs/>
                <w:noProof/>
                <w:lang w:val="en-GB" w:eastAsia="en-GB"/>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F40B5F5" w14:textId="77777777" w:rsidR="00D21D80" w:rsidRPr="00F41C75" w:rsidRDefault="00D21D80" w:rsidP="00C955DB">
            <w:pPr>
              <w:spacing w:after="0" w:line="240" w:lineRule="auto"/>
              <w:jc w:val="both"/>
              <w:rPr>
                <w:rFonts w:ascii="Times New Roman" w:eastAsia="Times New Roman" w:hAnsi="Times New Roman" w:cs="Times New Roman"/>
                <w:b/>
                <w:bCs/>
                <w:noProof/>
                <w:lang w:val="en-GB" w:eastAsia="en-GB"/>
              </w:rPr>
            </w:pPr>
          </w:p>
        </w:tc>
        <w:tc>
          <w:tcPr>
            <w:tcW w:w="3438" w:type="dxa"/>
            <w:vMerge/>
            <w:tcBorders>
              <w:top w:val="single" w:sz="4" w:space="0" w:color="auto"/>
              <w:left w:val="single" w:sz="4" w:space="0" w:color="auto"/>
              <w:bottom w:val="single" w:sz="4" w:space="0" w:color="auto"/>
              <w:right w:val="single" w:sz="4" w:space="0" w:color="auto"/>
            </w:tcBorders>
            <w:vAlign w:val="center"/>
            <w:hideMark/>
          </w:tcPr>
          <w:p w14:paraId="30915883" w14:textId="77777777" w:rsidR="00D21D80" w:rsidRPr="00F41C75" w:rsidRDefault="00D21D80" w:rsidP="00C955DB">
            <w:pPr>
              <w:spacing w:after="0" w:line="240" w:lineRule="auto"/>
              <w:jc w:val="both"/>
              <w:rPr>
                <w:rFonts w:ascii="Times New Roman" w:eastAsia="Times New Roman" w:hAnsi="Times New Roman" w:cs="Times New Roman"/>
                <w:b/>
                <w:bCs/>
                <w:noProof/>
                <w:lang w:val="en-GB" w:eastAsia="en-GB"/>
              </w:rPr>
            </w:pPr>
          </w:p>
        </w:tc>
      </w:tr>
      <w:tr w:rsidR="00D21D80" w:rsidRPr="005241FC" w14:paraId="6BF25429" w14:textId="77777777" w:rsidTr="008E333E">
        <w:trPr>
          <w:trHeight w:val="302"/>
          <w:jc w:val="center"/>
        </w:trPr>
        <w:tc>
          <w:tcPr>
            <w:tcW w:w="1207" w:type="dxa"/>
            <w:tcBorders>
              <w:top w:val="single" w:sz="4" w:space="0" w:color="auto"/>
              <w:left w:val="single" w:sz="4" w:space="0" w:color="auto"/>
              <w:bottom w:val="single" w:sz="4" w:space="0" w:color="auto"/>
              <w:right w:val="single" w:sz="4" w:space="0" w:color="auto"/>
            </w:tcBorders>
            <w:shd w:val="clear" w:color="auto" w:fill="C6EFCE"/>
            <w:noWrap/>
          </w:tcPr>
          <w:p w14:paraId="5FFD17BC"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22</w:t>
            </w:r>
          </w:p>
        </w:tc>
        <w:tc>
          <w:tcPr>
            <w:tcW w:w="4073" w:type="dxa"/>
            <w:tcBorders>
              <w:top w:val="single" w:sz="4" w:space="0" w:color="auto"/>
              <w:left w:val="nil"/>
              <w:bottom w:val="single" w:sz="4" w:space="0" w:color="auto"/>
              <w:right w:val="single" w:sz="4" w:space="0" w:color="auto"/>
            </w:tcBorders>
            <w:shd w:val="clear" w:color="auto" w:fill="C6EFCE"/>
            <w:noWrap/>
          </w:tcPr>
          <w:p w14:paraId="0B8476DE" w14:textId="77777777" w:rsidR="00D21D80" w:rsidRPr="009674F2" w:rsidRDefault="00D21D80" w:rsidP="00C955DB">
            <w:pPr>
              <w:spacing w:after="0" w:line="240" w:lineRule="auto"/>
              <w:jc w:val="both"/>
              <w:rPr>
                <w:rFonts w:ascii="Times New Roman" w:hAnsi="Times New Roman" w:cs="Times New Roman"/>
                <w:noProof/>
                <w:color w:val="006100"/>
              </w:rPr>
            </w:pPr>
            <w:r>
              <w:rPr>
                <w:rFonts w:ascii="Times New Roman" w:hAnsi="Times New Roman"/>
                <w:noProof/>
                <w:color w:val="006100"/>
              </w:rPr>
              <w:t>C1I4 Младежки центрове</w:t>
            </w:r>
          </w:p>
        </w:tc>
        <w:tc>
          <w:tcPr>
            <w:tcW w:w="1559" w:type="dxa"/>
            <w:tcBorders>
              <w:top w:val="single" w:sz="4" w:space="0" w:color="auto"/>
              <w:left w:val="nil"/>
              <w:bottom w:val="single" w:sz="4" w:space="0" w:color="auto"/>
              <w:right w:val="single" w:sz="4" w:space="0" w:color="auto"/>
            </w:tcBorders>
            <w:shd w:val="clear" w:color="auto" w:fill="C6EFCE"/>
            <w:noWrap/>
          </w:tcPr>
          <w:p w14:paraId="73D0E7E1" w14:textId="77777777" w:rsidR="00D21D80" w:rsidRPr="009674F2" w:rsidRDefault="00D21D80" w:rsidP="00C955DB">
            <w:pPr>
              <w:spacing w:after="0" w:line="240" w:lineRule="auto"/>
              <w:jc w:val="both"/>
              <w:rPr>
                <w:rFonts w:ascii="Times New Roman" w:hAnsi="Times New Roman" w:cs="Times New Roman"/>
                <w:noProof/>
                <w:color w:val="006100"/>
              </w:rPr>
            </w:pPr>
            <w:r>
              <w:rPr>
                <w:rFonts w:ascii="Times New Roman" w:hAnsi="Times New Roman"/>
                <w:noProof/>
                <w:color w:val="006100"/>
              </w:rPr>
              <w:t>Цел</w:t>
            </w:r>
          </w:p>
        </w:tc>
        <w:tc>
          <w:tcPr>
            <w:tcW w:w="3438" w:type="dxa"/>
            <w:tcBorders>
              <w:top w:val="single" w:sz="4" w:space="0" w:color="auto"/>
              <w:left w:val="nil"/>
              <w:bottom w:val="single" w:sz="4" w:space="0" w:color="auto"/>
              <w:right w:val="single" w:sz="4" w:space="0" w:color="auto"/>
            </w:tcBorders>
            <w:shd w:val="clear" w:color="auto" w:fill="C6EFCE"/>
            <w:noWrap/>
          </w:tcPr>
          <w:p w14:paraId="305C9CA6" w14:textId="77777777" w:rsidR="00D21D80" w:rsidRPr="009674F2" w:rsidRDefault="00D21D80" w:rsidP="00C955DB">
            <w:pPr>
              <w:spacing w:after="0" w:line="240" w:lineRule="auto"/>
              <w:rPr>
                <w:rFonts w:ascii="Times New Roman" w:hAnsi="Times New Roman" w:cs="Times New Roman"/>
                <w:noProof/>
                <w:color w:val="006100"/>
              </w:rPr>
            </w:pPr>
            <w:r>
              <w:rPr>
                <w:rFonts w:ascii="Times New Roman" w:hAnsi="Times New Roman"/>
                <w:noProof/>
                <w:color w:val="006100"/>
              </w:rPr>
              <w:t>Приключване на построяването и обновяването на младежки центрове и на национален координационен център</w:t>
            </w:r>
          </w:p>
        </w:tc>
      </w:tr>
      <w:tr w:rsidR="00D21D80" w:rsidRPr="005241FC" w14:paraId="48A7981E" w14:textId="77777777" w:rsidTr="43634750">
        <w:trPr>
          <w:trHeight w:val="302"/>
          <w:jc w:val="center"/>
        </w:trPr>
        <w:tc>
          <w:tcPr>
            <w:tcW w:w="1207" w:type="dxa"/>
            <w:tcBorders>
              <w:top w:val="nil"/>
              <w:left w:val="single" w:sz="4" w:space="0" w:color="auto"/>
              <w:bottom w:val="single" w:sz="4" w:space="0" w:color="auto"/>
              <w:right w:val="single" w:sz="4" w:space="0" w:color="auto"/>
            </w:tcBorders>
            <w:shd w:val="clear" w:color="auto" w:fill="C6EFCE"/>
            <w:noWrap/>
          </w:tcPr>
          <w:p w14:paraId="4A938A27"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44</w:t>
            </w:r>
          </w:p>
        </w:tc>
        <w:tc>
          <w:tcPr>
            <w:tcW w:w="4073" w:type="dxa"/>
            <w:tcBorders>
              <w:top w:val="nil"/>
              <w:left w:val="nil"/>
              <w:bottom w:val="single" w:sz="4" w:space="0" w:color="auto"/>
              <w:right w:val="single" w:sz="4" w:space="0" w:color="auto"/>
            </w:tcBorders>
            <w:shd w:val="clear" w:color="auto" w:fill="C6EFCE"/>
            <w:noWrap/>
          </w:tcPr>
          <w:p w14:paraId="1927CB51" w14:textId="77777777" w:rsidR="00D21D80" w:rsidRPr="009674F2" w:rsidRDefault="00D21D80" w:rsidP="00C955DB">
            <w:pPr>
              <w:spacing w:after="0" w:line="240" w:lineRule="auto"/>
              <w:jc w:val="both"/>
              <w:rPr>
                <w:rFonts w:ascii="Times New Roman" w:hAnsi="Times New Roman" w:cs="Times New Roman"/>
                <w:noProof/>
                <w:color w:val="006100"/>
              </w:rPr>
            </w:pPr>
            <w:r>
              <w:rPr>
                <w:rFonts w:ascii="Times New Roman" w:hAnsi="Times New Roman"/>
                <w:noProof/>
                <w:color w:val="006100"/>
              </w:rPr>
              <w:t xml:space="preserve">C3I2.1.б Капиталови инструменти за растеж </w:t>
            </w:r>
          </w:p>
        </w:tc>
        <w:tc>
          <w:tcPr>
            <w:tcW w:w="1559" w:type="dxa"/>
            <w:tcBorders>
              <w:top w:val="nil"/>
              <w:left w:val="nil"/>
              <w:bottom w:val="single" w:sz="4" w:space="0" w:color="auto"/>
              <w:right w:val="single" w:sz="4" w:space="0" w:color="auto"/>
            </w:tcBorders>
            <w:shd w:val="clear" w:color="auto" w:fill="C6EFCE"/>
            <w:noWrap/>
          </w:tcPr>
          <w:p w14:paraId="26AFB167" w14:textId="77777777" w:rsidR="00D21D80" w:rsidRPr="00C256DE" w:rsidRDefault="00D21D80" w:rsidP="00C955DB">
            <w:pPr>
              <w:spacing w:after="0" w:line="240" w:lineRule="auto"/>
              <w:jc w:val="both"/>
              <w:rPr>
                <w:rFonts w:ascii="Times New Roman" w:hAnsi="Times New Roman" w:cs="Times New Roman"/>
                <w:noProof/>
                <w:color w:val="006100"/>
              </w:rPr>
            </w:pPr>
            <w:r>
              <w:rPr>
                <w:rFonts w:ascii="Times New Roman" w:hAnsi="Times New Roman"/>
                <w:noProof/>
                <w:color w:val="006100"/>
              </w:rPr>
              <w:t>Цел</w:t>
            </w:r>
          </w:p>
        </w:tc>
        <w:tc>
          <w:tcPr>
            <w:tcW w:w="3438" w:type="dxa"/>
            <w:tcBorders>
              <w:top w:val="nil"/>
              <w:left w:val="nil"/>
              <w:bottom w:val="single" w:sz="4" w:space="0" w:color="auto"/>
              <w:right w:val="single" w:sz="4" w:space="0" w:color="auto"/>
            </w:tcBorders>
            <w:shd w:val="clear" w:color="auto" w:fill="C6EFCE"/>
            <w:noWrap/>
          </w:tcPr>
          <w:p w14:paraId="3D358121" w14:textId="77777777" w:rsidR="00D21D80" w:rsidRPr="009674F2" w:rsidRDefault="00D21D80" w:rsidP="00C955DB">
            <w:pPr>
              <w:spacing w:after="0" w:line="240" w:lineRule="auto"/>
              <w:rPr>
                <w:rFonts w:ascii="Times New Roman" w:hAnsi="Times New Roman" w:cs="Times New Roman"/>
                <w:noProof/>
                <w:color w:val="006100"/>
              </w:rPr>
            </w:pPr>
            <w:r>
              <w:rPr>
                <w:rFonts w:ascii="Times New Roman" w:hAnsi="Times New Roman"/>
                <w:noProof/>
                <w:color w:val="006100"/>
              </w:rPr>
              <w:t>Операции в размер на 50 % от общото предвидено финансиране, одобрено от инвестиционния комитет</w:t>
            </w:r>
          </w:p>
        </w:tc>
      </w:tr>
      <w:tr w:rsidR="00D21D80" w:rsidRPr="005241FC" w14:paraId="4392A922" w14:textId="77777777" w:rsidTr="43634750">
        <w:trPr>
          <w:trHeight w:val="302"/>
          <w:jc w:val="center"/>
        </w:trPr>
        <w:tc>
          <w:tcPr>
            <w:tcW w:w="1207" w:type="dxa"/>
            <w:tcBorders>
              <w:top w:val="nil"/>
              <w:left w:val="single" w:sz="4" w:space="0" w:color="auto"/>
              <w:bottom w:val="single" w:sz="4" w:space="0" w:color="auto"/>
              <w:right w:val="single" w:sz="4" w:space="0" w:color="auto"/>
            </w:tcBorders>
            <w:shd w:val="clear" w:color="auto" w:fill="C6EFCE"/>
            <w:noWrap/>
          </w:tcPr>
          <w:p w14:paraId="60839B87"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51</w:t>
            </w:r>
          </w:p>
        </w:tc>
        <w:tc>
          <w:tcPr>
            <w:tcW w:w="4073" w:type="dxa"/>
            <w:tcBorders>
              <w:top w:val="nil"/>
              <w:left w:val="nil"/>
              <w:bottom w:val="single" w:sz="4" w:space="0" w:color="auto"/>
              <w:right w:val="single" w:sz="4" w:space="0" w:color="auto"/>
            </w:tcBorders>
            <w:shd w:val="clear" w:color="auto" w:fill="C6EFCE"/>
            <w:noWrap/>
          </w:tcPr>
          <w:p w14:paraId="33F261B6" w14:textId="77777777" w:rsidR="00D21D80" w:rsidRPr="00C256DE" w:rsidRDefault="00D21D80" w:rsidP="00C955DB">
            <w:pPr>
              <w:spacing w:after="0" w:line="240" w:lineRule="auto"/>
              <w:jc w:val="both"/>
              <w:rPr>
                <w:rFonts w:ascii="Times New Roman" w:hAnsi="Times New Roman" w:cs="Times New Roman"/>
                <w:noProof/>
                <w:color w:val="006100"/>
              </w:rPr>
            </w:pPr>
            <w:r>
              <w:rPr>
                <w:rFonts w:ascii="Times New Roman" w:hAnsi="Times New Roman"/>
                <w:noProof/>
                <w:color w:val="006100"/>
              </w:rPr>
              <w:t>C3I2.1.д — Иновационен фонд (капиталов инструмент за иновации)</w:t>
            </w:r>
          </w:p>
        </w:tc>
        <w:tc>
          <w:tcPr>
            <w:tcW w:w="1559" w:type="dxa"/>
            <w:tcBorders>
              <w:top w:val="nil"/>
              <w:left w:val="nil"/>
              <w:bottom w:val="single" w:sz="4" w:space="0" w:color="auto"/>
              <w:right w:val="single" w:sz="4" w:space="0" w:color="auto"/>
            </w:tcBorders>
            <w:shd w:val="clear" w:color="auto" w:fill="C6EFCE"/>
            <w:noWrap/>
          </w:tcPr>
          <w:p w14:paraId="749B4A85" w14:textId="77777777" w:rsidR="00D21D80" w:rsidRPr="00C256DE" w:rsidRDefault="00D21D80" w:rsidP="00C955DB">
            <w:pPr>
              <w:spacing w:after="0" w:line="240" w:lineRule="auto"/>
              <w:jc w:val="both"/>
              <w:rPr>
                <w:rFonts w:ascii="Times New Roman" w:hAnsi="Times New Roman" w:cs="Times New Roman"/>
                <w:noProof/>
                <w:color w:val="006100"/>
              </w:rPr>
            </w:pPr>
            <w:r>
              <w:rPr>
                <w:rFonts w:ascii="Times New Roman" w:hAnsi="Times New Roman"/>
                <w:noProof/>
                <w:color w:val="006100"/>
              </w:rPr>
              <w:t>Цел</w:t>
            </w:r>
          </w:p>
        </w:tc>
        <w:tc>
          <w:tcPr>
            <w:tcW w:w="3438" w:type="dxa"/>
            <w:tcBorders>
              <w:top w:val="nil"/>
              <w:left w:val="nil"/>
              <w:bottom w:val="single" w:sz="4" w:space="0" w:color="auto"/>
              <w:right w:val="single" w:sz="4" w:space="0" w:color="auto"/>
            </w:tcBorders>
            <w:shd w:val="clear" w:color="auto" w:fill="C6EFCE"/>
            <w:noWrap/>
          </w:tcPr>
          <w:p w14:paraId="0486D47E" w14:textId="77777777" w:rsidR="00D21D80" w:rsidRPr="00C256DE" w:rsidRDefault="00D21D80" w:rsidP="00C955DB">
            <w:pPr>
              <w:spacing w:after="0" w:line="240" w:lineRule="auto"/>
              <w:rPr>
                <w:rFonts w:ascii="Times New Roman" w:hAnsi="Times New Roman" w:cs="Times New Roman"/>
                <w:noProof/>
                <w:color w:val="006100"/>
              </w:rPr>
            </w:pPr>
            <w:r>
              <w:rPr>
                <w:rFonts w:ascii="Times New Roman" w:hAnsi="Times New Roman"/>
                <w:noProof/>
                <w:color w:val="006100"/>
              </w:rPr>
              <w:t>Операции в размер на 50 % от общото предвидено финансиране, одобрено от инвестиционния комитет</w:t>
            </w:r>
          </w:p>
        </w:tc>
      </w:tr>
      <w:tr w:rsidR="00D21D80" w:rsidRPr="005241FC" w14:paraId="6114A74F" w14:textId="77777777" w:rsidTr="43634750">
        <w:trPr>
          <w:trHeight w:val="302"/>
          <w:jc w:val="center"/>
        </w:trPr>
        <w:tc>
          <w:tcPr>
            <w:tcW w:w="1207" w:type="dxa"/>
            <w:tcBorders>
              <w:top w:val="nil"/>
              <w:left w:val="single" w:sz="4" w:space="0" w:color="auto"/>
              <w:bottom w:val="single" w:sz="4" w:space="0" w:color="auto"/>
              <w:right w:val="single" w:sz="4" w:space="0" w:color="auto"/>
            </w:tcBorders>
            <w:shd w:val="clear" w:color="auto" w:fill="C6EFCE"/>
            <w:noWrap/>
          </w:tcPr>
          <w:p w14:paraId="6C6F6281" w14:textId="77777777" w:rsidR="00D21D80" w:rsidRPr="009674F2" w:rsidRDefault="00D21D80" w:rsidP="00C955DB">
            <w:pPr>
              <w:spacing w:after="0" w:line="240" w:lineRule="auto"/>
              <w:jc w:val="center"/>
              <w:rPr>
                <w:rFonts w:ascii="Times New Roman" w:hAnsi="Times New Roman" w:cs="Times New Roman"/>
                <w:noProof/>
                <w:color w:val="006100"/>
              </w:rPr>
            </w:pPr>
            <w:r>
              <w:rPr>
                <w:rFonts w:ascii="Times New Roman" w:hAnsi="Times New Roman"/>
                <w:noProof/>
                <w:color w:val="006100"/>
              </w:rPr>
              <w:t>54</w:t>
            </w:r>
          </w:p>
        </w:tc>
        <w:tc>
          <w:tcPr>
            <w:tcW w:w="4073" w:type="dxa"/>
            <w:tcBorders>
              <w:top w:val="nil"/>
              <w:left w:val="nil"/>
              <w:bottom w:val="single" w:sz="4" w:space="0" w:color="auto"/>
              <w:right w:val="single" w:sz="4" w:space="0" w:color="auto"/>
            </w:tcBorders>
            <w:shd w:val="clear" w:color="auto" w:fill="C6EFCE"/>
            <w:noWrap/>
            <w:vAlign w:val="center"/>
          </w:tcPr>
          <w:p w14:paraId="0822D0F3" w14:textId="77777777" w:rsidR="00D21D80" w:rsidRPr="009674F2" w:rsidRDefault="00D21D80" w:rsidP="00C955DB">
            <w:pPr>
              <w:spacing w:after="0" w:line="240" w:lineRule="auto"/>
              <w:jc w:val="both"/>
              <w:rPr>
                <w:rFonts w:ascii="Times New Roman" w:hAnsi="Times New Roman" w:cs="Times New Roman"/>
                <w:noProof/>
                <w:color w:val="006100"/>
              </w:rPr>
            </w:pPr>
            <w:r>
              <w:rPr>
                <w:rFonts w:ascii="Times New Roman" w:hAnsi="Times New Roman"/>
                <w:noProof/>
                <w:color w:val="006100"/>
              </w:rPr>
              <w:t>C3I2.2.а Схема за безвъзмездни средства за съчетаване на възобновяеми източници на електроенергия със съхранение на място</w:t>
            </w:r>
          </w:p>
        </w:tc>
        <w:tc>
          <w:tcPr>
            <w:tcW w:w="1559" w:type="dxa"/>
            <w:tcBorders>
              <w:top w:val="nil"/>
              <w:left w:val="nil"/>
              <w:bottom w:val="single" w:sz="4" w:space="0" w:color="auto"/>
              <w:right w:val="single" w:sz="4" w:space="0" w:color="auto"/>
            </w:tcBorders>
            <w:shd w:val="clear" w:color="auto" w:fill="C6EFCE"/>
            <w:noWrap/>
            <w:vAlign w:val="center"/>
          </w:tcPr>
          <w:p w14:paraId="3AB6A4EA" w14:textId="77777777" w:rsidR="00D21D80" w:rsidRPr="009674F2" w:rsidRDefault="00D21D80" w:rsidP="00C955DB">
            <w:pPr>
              <w:spacing w:after="0" w:line="240" w:lineRule="auto"/>
              <w:jc w:val="both"/>
              <w:rPr>
                <w:rFonts w:ascii="Times New Roman" w:hAnsi="Times New Roman" w:cs="Times New Roman"/>
                <w:noProof/>
                <w:color w:val="006100"/>
              </w:rPr>
            </w:pPr>
            <w:r>
              <w:rPr>
                <w:rFonts w:ascii="Times New Roman" w:hAnsi="Times New Roman"/>
                <w:noProof/>
                <w:color w:val="006100"/>
              </w:rPr>
              <w:t>Цел</w:t>
            </w:r>
          </w:p>
        </w:tc>
        <w:tc>
          <w:tcPr>
            <w:tcW w:w="3438" w:type="dxa"/>
            <w:tcBorders>
              <w:top w:val="nil"/>
              <w:left w:val="nil"/>
              <w:bottom w:val="single" w:sz="4" w:space="0" w:color="auto"/>
              <w:right w:val="single" w:sz="4" w:space="0" w:color="auto"/>
            </w:tcBorders>
            <w:shd w:val="clear" w:color="auto" w:fill="C6EFCE"/>
            <w:noWrap/>
            <w:vAlign w:val="center"/>
          </w:tcPr>
          <w:p w14:paraId="0BE1660D" w14:textId="77777777" w:rsidR="00D21D80" w:rsidRPr="009674F2" w:rsidRDefault="00D21D80" w:rsidP="00C955DB">
            <w:pPr>
              <w:spacing w:after="0" w:line="240" w:lineRule="auto"/>
              <w:jc w:val="both"/>
              <w:rPr>
                <w:rFonts w:ascii="Times New Roman" w:hAnsi="Times New Roman" w:cs="Times New Roman"/>
                <w:noProof/>
                <w:color w:val="006100"/>
              </w:rPr>
            </w:pPr>
            <w:r>
              <w:rPr>
                <w:rFonts w:ascii="Times New Roman" w:hAnsi="Times New Roman"/>
                <w:noProof/>
                <w:color w:val="006100"/>
              </w:rPr>
              <w:t>Оперативен капацитет на инсталирани съоръжения за съхранение</w:t>
            </w:r>
          </w:p>
        </w:tc>
      </w:tr>
      <w:tr w:rsidR="00D21D80" w:rsidRPr="00F41C75" w14:paraId="2917B234" w14:textId="77777777" w:rsidTr="43634750">
        <w:trPr>
          <w:trHeight w:val="302"/>
          <w:jc w:val="center"/>
        </w:trPr>
        <w:tc>
          <w:tcPr>
            <w:tcW w:w="1207" w:type="dxa"/>
            <w:tcBorders>
              <w:top w:val="nil"/>
              <w:left w:val="single" w:sz="4" w:space="0" w:color="auto"/>
              <w:bottom w:val="single" w:sz="4" w:space="0" w:color="auto"/>
              <w:right w:val="single" w:sz="4" w:space="0" w:color="auto"/>
            </w:tcBorders>
            <w:shd w:val="clear" w:color="auto" w:fill="C6EFCE"/>
            <w:noWrap/>
          </w:tcPr>
          <w:p w14:paraId="70637071"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81</w:t>
            </w:r>
          </w:p>
        </w:tc>
        <w:tc>
          <w:tcPr>
            <w:tcW w:w="4073" w:type="dxa"/>
            <w:tcBorders>
              <w:top w:val="nil"/>
              <w:left w:val="nil"/>
              <w:bottom w:val="single" w:sz="4" w:space="0" w:color="auto"/>
              <w:right w:val="single" w:sz="4" w:space="0" w:color="auto"/>
            </w:tcBorders>
            <w:shd w:val="clear" w:color="auto" w:fill="C6EFCE"/>
            <w:noWrap/>
          </w:tcPr>
          <w:p w14:paraId="31DD8AB9"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C4I3 Подкрепа за енергийно ефективни системи за улично осветление</w:t>
            </w:r>
          </w:p>
        </w:tc>
        <w:tc>
          <w:tcPr>
            <w:tcW w:w="1559" w:type="dxa"/>
            <w:tcBorders>
              <w:top w:val="nil"/>
              <w:left w:val="nil"/>
              <w:bottom w:val="single" w:sz="4" w:space="0" w:color="auto"/>
              <w:right w:val="single" w:sz="4" w:space="0" w:color="auto"/>
            </w:tcBorders>
            <w:shd w:val="clear" w:color="auto" w:fill="C6EFCE"/>
            <w:noWrap/>
          </w:tcPr>
          <w:p w14:paraId="1B1FB5CC"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Цел</w:t>
            </w:r>
          </w:p>
        </w:tc>
        <w:tc>
          <w:tcPr>
            <w:tcW w:w="3438" w:type="dxa"/>
            <w:tcBorders>
              <w:top w:val="nil"/>
              <w:left w:val="nil"/>
              <w:bottom w:val="single" w:sz="4" w:space="0" w:color="auto"/>
              <w:right w:val="single" w:sz="4" w:space="0" w:color="auto"/>
            </w:tcBorders>
            <w:shd w:val="clear" w:color="auto" w:fill="C6EFCE"/>
            <w:noWrap/>
          </w:tcPr>
          <w:p w14:paraId="2A8E1DBD"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 xml:space="preserve">Намаляване на потреблението на енергия </w:t>
            </w:r>
          </w:p>
        </w:tc>
      </w:tr>
      <w:tr w:rsidR="00D21D80" w:rsidRPr="005241FC" w14:paraId="3D057C9F" w14:textId="77777777" w:rsidTr="43634750">
        <w:trPr>
          <w:trHeight w:val="302"/>
          <w:jc w:val="center"/>
        </w:trPr>
        <w:tc>
          <w:tcPr>
            <w:tcW w:w="1207" w:type="dxa"/>
            <w:tcBorders>
              <w:top w:val="nil"/>
              <w:left w:val="single" w:sz="4" w:space="0" w:color="auto"/>
              <w:bottom w:val="single" w:sz="4" w:space="0" w:color="auto"/>
              <w:right w:val="single" w:sz="4" w:space="0" w:color="auto"/>
            </w:tcBorders>
            <w:shd w:val="clear" w:color="auto" w:fill="C6EFCE"/>
            <w:noWrap/>
          </w:tcPr>
          <w:p w14:paraId="0D1C46DE"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88</w:t>
            </w:r>
          </w:p>
        </w:tc>
        <w:tc>
          <w:tcPr>
            <w:tcW w:w="4073" w:type="dxa"/>
            <w:tcBorders>
              <w:top w:val="nil"/>
              <w:left w:val="nil"/>
              <w:bottom w:val="single" w:sz="4" w:space="0" w:color="auto"/>
              <w:right w:val="single" w:sz="4" w:space="0" w:color="auto"/>
            </w:tcBorders>
            <w:shd w:val="clear" w:color="auto" w:fill="C6EFCE"/>
            <w:noWrap/>
          </w:tcPr>
          <w:p w14:paraId="10D75B30"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C4I4 Цифрова трансформация на електропреносната мрежа</w:t>
            </w:r>
          </w:p>
        </w:tc>
        <w:tc>
          <w:tcPr>
            <w:tcW w:w="1559" w:type="dxa"/>
            <w:tcBorders>
              <w:top w:val="nil"/>
              <w:left w:val="nil"/>
              <w:bottom w:val="single" w:sz="4" w:space="0" w:color="auto"/>
              <w:right w:val="single" w:sz="4" w:space="0" w:color="auto"/>
            </w:tcBorders>
            <w:shd w:val="clear" w:color="auto" w:fill="C6EFCE"/>
            <w:noWrap/>
          </w:tcPr>
          <w:p w14:paraId="30D1FE2E"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Цел</w:t>
            </w:r>
          </w:p>
        </w:tc>
        <w:tc>
          <w:tcPr>
            <w:tcW w:w="3438" w:type="dxa"/>
            <w:tcBorders>
              <w:top w:val="nil"/>
              <w:left w:val="nil"/>
              <w:bottom w:val="single" w:sz="4" w:space="0" w:color="auto"/>
              <w:right w:val="single" w:sz="4" w:space="0" w:color="auto"/>
            </w:tcBorders>
            <w:shd w:val="clear" w:color="auto" w:fill="C6EFCE"/>
            <w:noWrap/>
          </w:tcPr>
          <w:p w14:paraId="0310F7F7"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Увеличение на нетния трансграничен преносен капацитет с допълнителни 600 MW</w:t>
            </w:r>
          </w:p>
        </w:tc>
      </w:tr>
      <w:tr w:rsidR="00D21D80" w:rsidRPr="005241FC" w14:paraId="34561E51" w14:textId="77777777" w:rsidTr="43634750">
        <w:trPr>
          <w:trHeight w:val="302"/>
          <w:jc w:val="center"/>
        </w:trPr>
        <w:tc>
          <w:tcPr>
            <w:tcW w:w="1207" w:type="dxa"/>
            <w:tcBorders>
              <w:top w:val="nil"/>
              <w:left w:val="single" w:sz="4" w:space="0" w:color="auto"/>
              <w:bottom w:val="single" w:sz="4" w:space="0" w:color="auto"/>
              <w:right w:val="single" w:sz="4" w:space="0" w:color="auto"/>
            </w:tcBorders>
            <w:shd w:val="clear" w:color="auto" w:fill="C6EFCE"/>
            <w:noWrap/>
          </w:tcPr>
          <w:p w14:paraId="168ABAF4"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119</w:t>
            </w:r>
          </w:p>
        </w:tc>
        <w:tc>
          <w:tcPr>
            <w:tcW w:w="4073" w:type="dxa"/>
            <w:tcBorders>
              <w:top w:val="nil"/>
              <w:left w:val="nil"/>
              <w:bottom w:val="single" w:sz="4" w:space="0" w:color="auto"/>
              <w:right w:val="single" w:sz="4" w:space="0" w:color="auto"/>
            </w:tcBorders>
            <w:shd w:val="clear" w:color="auto" w:fill="C6EFCE"/>
            <w:noWrap/>
          </w:tcPr>
          <w:p w14:paraId="6332EF4A" w14:textId="77777777" w:rsidR="00D21D80" w:rsidRPr="009674F2" w:rsidRDefault="00D21D80" w:rsidP="00C955DB">
            <w:pPr>
              <w:spacing w:after="0" w:line="240" w:lineRule="auto"/>
              <w:jc w:val="both"/>
              <w:rPr>
                <w:rFonts w:ascii="Times New Roman" w:hAnsi="Times New Roman" w:cs="Times New Roman"/>
                <w:noProof/>
                <w:color w:val="006100"/>
                <w:highlight w:val="yellow"/>
              </w:rPr>
            </w:pPr>
            <w:r>
              <w:rPr>
                <w:rFonts w:ascii="Times New Roman" w:hAnsi="Times New Roman"/>
                <w:noProof/>
                <w:color w:val="006100"/>
              </w:rPr>
              <w:t>C4R10 Декарбонизация на енергийния сектор</w:t>
            </w:r>
          </w:p>
        </w:tc>
        <w:tc>
          <w:tcPr>
            <w:tcW w:w="1559" w:type="dxa"/>
            <w:tcBorders>
              <w:top w:val="nil"/>
              <w:left w:val="nil"/>
              <w:bottom w:val="single" w:sz="4" w:space="0" w:color="auto"/>
              <w:right w:val="single" w:sz="4" w:space="0" w:color="auto"/>
            </w:tcBorders>
            <w:shd w:val="clear" w:color="auto" w:fill="C6EFCE"/>
            <w:noWrap/>
          </w:tcPr>
          <w:p w14:paraId="3412E31E" w14:textId="77777777" w:rsidR="00D21D80" w:rsidRPr="009674F2" w:rsidRDefault="00D21D80" w:rsidP="00C955DB">
            <w:pPr>
              <w:spacing w:after="0" w:line="240" w:lineRule="auto"/>
              <w:jc w:val="both"/>
              <w:rPr>
                <w:rFonts w:ascii="Times New Roman" w:hAnsi="Times New Roman" w:cs="Times New Roman"/>
                <w:noProof/>
                <w:color w:val="006100"/>
                <w:highlight w:val="yellow"/>
              </w:rPr>
            </w:pPr>
            <w:r>
              <w:rPr>
                <w:rFonts w:ascii="Times New Roman" w:hAnsi="Times New Roman"/>
                <w:noProof/>
                <w:color w:val="006100"/>
              </w:rPr>
              <w:t>Цел</w:t>
            </w:r>
          </w:p>
        </w:tc>
        <w:tc>
          <w:tcPr>
            <w:tcW w:w="3438" w:type="dxa"/>
            <w:tcBorders>
              <w:top w:val="nil"/>
              <w:left w:val="nil"/>
              <w:bottom w:val="single" w:sz="4" w:space="0" w:color="auto"/>
              <w:right w:val="single" w:sz="4" w:space="0" w:color="auto"/>
            </w:tcBorders>
            <w:shd w:val="clear" w:color="auto" w:fill="C6EFCE"/>
            <w:noWrap/>
          </w:tcPr>
          <w:p w14:paraId="539FCBB1" w14:textId="77777777" w:rsidR="00D21D80" w:rsidRPr="009674F2" w:rsidRDefault="00D21D80" w:rsidP="00C955DB">
            <w:pPr>
              <w:spacing w:after="0" w:line="240" w:lineRule="auto"/>
              <w:jc w:val="both"/>
              <w:rPr>
                <w:rFonts w:ascii="Times New Roman" w:hAnsi="Times New Roman" w:cs="Times New Roman"/>
                <w:noProof/>
                <w:color w:val="006100"/>
              </w:rPr>
            </w:pPr>
            <w:r>
              <w:rPr>
                <w:rFonts w:ascii="Times New Roman" w:hAnsi="Times New Roman"/>
                <w:noProof/>
                <w:color w:val="006100"/>
              </w:rPr>
              <w:t>Намаляване на емисиите на въглероден диоксид от енергийния сектор (III)</w:t>
            </w:r>
          </w:p>
        </w:tc>
      </w:tr>
      <w:tr w:rsidR="00D21D80" w:rsidRPr="005241FC" w14:paraId="4208595D" w14:textId="77777777" w:rsidTr="43634750">
        <w:trPr>
          <w:trHeight w:val="302"/>
          <w:jc w:val="center"/>
        </w:trPr>
        <w:tc>
          <w:tcPr>
            <w:tcW w:w="1207" w:type="dxa"/>
            <w:tcBorders>
              <w:top w:val="nil"/>
              <w:left w:val="single" w:sz="4" w:space="0" w:color="auto"/>
              <w:bottom w:val="single" w:sz="4" w:space="0" w:color="auto"/>
              <w:right w:val="single" w:sz="4" w:space="0" w:color="auto"/>
            </w:tcBorders>
            <w:shd w:val="clear" w:color="auto" w:fill="C6EFCE"/>
            <w:noWrap/>
          </w:tcPr>
          <w:p w14:paraId="66D5DB2C" w14:textId="77777777" w:rsidR="00D21D80" w:rsidRPr="009674F2" w:rsidRDefault="00D21D80" w:rsidP="00C955DB">
            <w:pPr>
              <w:spacing w:after="0" w:line="240" w:lineRule="auto"/>
              <w:jc w:val="center"/>
              <w:rPr>
                <w:rFonts w:ascii="Times New Roman" w:hAnsi="Times New Roman" w:cs="Times New Roman"/>
                <w:noProof/>
                <w:color w:val="006100"/>
              </w:rPr>
            </w:pPr>
            <w:r>
              <w:rPr>
                <w:rFonts w:ascii="Times New Roman" w:hAnsi="Times New Roman"/>
                <w:noProof/>
                <w:color w:val="006100"/>
              </w:rPr>
              <w:t>121</w:t>
            </w:r>
          </w:p>
        </w:tc>
        <w:tc>
          <w:tcPr>
            <w:tcW w:w="4073" w:type="dxa"/>
            <w:tcBorders>
              <w:top w:val="nil"/>
              <w:left w:val="nil"/>
              <w:bottom w:val="single" w:sz="4" w:space="0" w:color="auto"/>
              <w:right w:val="single" w:sz="4" w:space="0" w:color="auto"/>
            </w:tcBorders>
            <w:shd w:val="clear" w:color="auto" w:fill="C6EFCE"/>
            <w:noWrap/>
          </w:tcPr>
          <w:p w14:paraId="35460758" w14:textId="77777777" w:rsidR="00D21D80" w:rsidRPr="009674F2" w:rsidRDefault="00D21D80" w:rsidP="00C955DB">
            <w:pPr>
              <w:spacing w:after="0" w:line="240" w:lineRule="auto"/>
              <w:jc w:val="both"/>
              <w:rPr>
                <w:rFonts w:ascii="Times New Roman" w:hAnsi="Times New Roman" w:cs="Times New Roman"/>
                <w:noProof/>
                <w:color w:val="006100"/>
              </w:rPr>
            </w:pPr>
            <w:r>
              <w:rPr>
                <w:rFonts w:ascii="Times New Roman" w:hAnsi="Times New Roman"/>
                <w:noProof/>
                <w:color w:val="006100"/>
              </w:rPr>
              <w:t>C4R10 Декарбонизация на енергийния сектор</w:t>
            </w:r>
          </w:p>
        </w:tc>
        <w:tc>
          <w:tcPr>
            <w:tcW w:w="1559" w:type="dxa"/>
            <w:tcBorders>
              <w:top w:val="nil"/>
              <w:left w:val="nil"/>
              <w:bottom w:val="single" w:sz="4" w:space="0" w:color="auto"/>
              <w:right w:val="single" w:sz="4" w:space="0" w:color="auto"/>
            </w:tcBorders>
            <w:shd w:val="clear" w:color="auto" w:fill="C6EFCE"/>
            <w:noWrap/>
          </w:tcPr>
          <w:p w14:paraId="5A948512" w14:textId="77777777" w:rsidR="00D21D80" w:rsidRPr="009674F2" w:rsidRDefault="00D21D80" w:rsidP="00C955DB">
            <w:pPr>
              <w:spacing w:after="0" w:line="240" w:lineRule="auto"/>
              <w:jc w:val="both"/>
              <w:rPr>
                <w:rFonts w:ascii="Times New Roman" w:hAnsi="Times New Roman" w:cs="Times New Roman"/>
                <w:noProof/>
                <w:color w:val="006100"/>
              </w:rPr>
            </w:pPr>
            <w:r>
              <w:rPr>
                <w:rFonts w:ascii="Times New Roman" w:hAnsi="Times New Roman"/>
                <w:noProof/>
                <w:color w:val="006100"/>
              </w:rPr>
              <w:t>Ключов етап</w:t>
            </w:r>
          </w:p>
        </w:tc>
        <w:tc>
          <w:tcPr>
            <w:tcW w:w="3438" w:type="dxa"/>
            <w:tcBorders>
              <w:top w:val="nil"/>
              <w:left w:val="nil"/>
              <w:bottom w:val="single" w:sz="4" w:space="0" w:color="auto"/>
              <w:right w:val="single" w:sz="4" w:space="0" w:color="auto"/>
            </w:tcBorders>
            <w:shd w:val="clear" w:color="auto" w:fill="C6EFCE"/>
            <w:noWrap/>
          </w:tcPr>
          <w:p w14:paraId="0EC1F608" w14:textId="77777777" w:rsidR="00D21D80" w:rsidRPr="009674F2" w:rsidRDefault="00D21D80" w:rsidP="00C955DB">
            <w:pPr>
              <w:spacing w:after="0" w:line="240" w:lineRule="auto"/>
              <w:jc w:val="both"/>
              <w:rPr>
                <w:rFonts w:ascii="Times New Roman" w:hAnsi="Times New Roman" w:cs="Times New Roman"/>
                <w:noProof/>
                <w:color w:val="006100"/>
              </w:rPr>
            </w:pPr>
            <w:r>
              <w:rPr>
                <w:rFonts w:ascii="Times New Roman" w:hAnsi="Times New Roman"/>
                <w:noProof/>
                <w:color w:val="006100"/>
              </w:rPr>
              <w:t>Влизане в сила на решението на регулатора, което налага годишни пределни стойности на въглеродните емисии за отделните инсталации</w:t>
            </w:r>
          </w:p>
        </w:tc>
      </w:tr>
      <w:tr w:rsidR="00D21D80" w:rsidRPr="00F41C75" w14:paraId="7DCE5FE4" w14:textId="77777777" w:rsidTr="43634750">
        <w:trPr>
          <w:trHeight w:val="302"/>
          <w:jc w:val="center"/>
        </w:trPr>
        <w:tc>
          <w:tcPr>
            <w:tcW w:w="1207" w:type="dxa"/>
            <w:tcBorders>
              <w:top w:val="nil"/>
              <w:left w:val="single" w:sz="4" w:space="0" w:color="auto"/>
              <w:bottom w:val="single" w:sz="4" w:space="0" w:color="auto"/>
              <w:right w:val="single" w:sz="4" w:space="0" w:color="auto"/>
            </w:tcBorders>
            <w:shd w:val="clear" w:color="auto" w:fill="C6EFCE"/>
            <w:noWrap/>
            <w:hideMark/>
          </w:tcPr>
          <w:p w14:paraId="13CD8111"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128</w:t>
            </w:r>
          </w:p>
        </w:tc>
        <w:tc>
          <w:tcPr>
            <w:tcW w:w="4073" w:type="dxa"/>
            <w:tcBorders>
              <w:top w:val="nil"/>
              <w:left w:val="nil"/>
              <w:bottom w:val="single" w:sz="4" w:space="0" w:color="auto"/>
              <w:right w:val="single" w:sz="4" w:space="0" w:color="auto"/>
            </w:tcBorders>
            <w:shd w:val="clear" w:color="auto" w:fill="C6EFCE"/>
            <w:noWrap/>
            <w:vAlign w:val="bottom"/>
            <w:hideMark/>
          </w:tcPr>
          <w:p w14:paraId="4DDD29EA"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C5I1 Интегриране на екосистемния подход и прилагане на природосъобразни решения при защитата на обекти от Натура 2000</w:t>
            </w:r>
          </w:p>
        </w:tc>
        <w:tc>
          <w:tcPr>
            <w:tcW w:w="1559" w:type="dxa"/>
            <w:tcBorders>
              <w:top w:val="nil"/>
              <w:left w:val="nil"/>
              <w:bottom w:val="single" w:sz="4" w:space="0" w:color="auto"/>
              <w:right w:val="single" w:sz="4" w:space="0" w:color="auto"/>
            </w:tcBorders>
            <w:shd w:val="clear" w:color="auto" w:fill="C6EFCE"/>
            <w:noWrap/>
            <w:vAlign w:val="bottom"/>
            <w:hideMark/>
          </w:tcPr>
          <w:p w14:paraId="389DCD73"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 Цел</w:t>
            </w:r>
          </w:p>
        </w:tc>
        <w:tc>
          <w:tcPr>
            <w:tcW w:w="3438" w:type="dxa"/>
            <w:tcBorders>
              <w:top w:val="nil"/>
              <w:left w:val="nil"/>
              <w:bottom w:val="single" w:sz="4" w:space="0" w:color="auto"/>
              <w:right w:val="single" w:sz="4" w:space="0" w:color="auto"/>
            </w:tcBorders>
            <w:shd w:val="clear" w:color="auto" w:fill="C6EFCE"/>
            <w:noWrap/>
            <w:vAlign w:val="bottom"/>
            <w:hideMark/>
          </w:tcPr>
          <w:p w14:paraId="18DF8DA5"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 xml:space="preserve">Възстановяване на свързаните с климата </w:t>
            </w:r>
          </w:p>
          <w:p w14:paraId="5349B6C0"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 xml:space="preserve">екосистеми </w:t>
            </w:r>
          </w:p>
          <w:p w14:paraId="4DF4CC59"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 xml:space="preserve">посредством природосъобразни </w:t>
            </w:r>
          </w:p>
          <w:p w14:paraId="4350620D"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решения</w:t>
            </w:r>
          </w:p>
        </w:tc>
      </w:tr>
      <w:tr w:rsidR="00D21D80" w:rsidRPr="005241FC" w14:paraId="74AAFF9B" w14:textId="77777777" w:rsidTr="43634750">
        <w:trPr>
          <w:trHeight w:val="302"/>
          <w:jc w:val="center"/>
        </w:trPr>
        <w:tc>
          <w:tcPr>
            <w:tcW w:w="1207" w:type="dxa"/>
            <w:tcBorders>
              <w:top w:val="nil"/>
              <w:left w:val="single" w:sz="4" w:space="0" w:color="auto"/>
              <w:bottom w:val="single" w:sz="4" w:space="0" w:color="auto"/>
              <w:right w:val="single" w:sz="4" w:space="0" w:color="auto"/>
            </w:tcBorders>
            <w:shd w:val="clear" w:color="auto" w:fill="C6EFCE"/>
            <w:noWrap/>
            <w:hideMark/>
          </w:tcPr>
          <w:p w14:paraId="71419F7E"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174</w:t>
            </w:r>
          </w:p>
        </w:tc>
        <w:tc>
          <w:tcPr>
            <w:tcW w:w="4073" w:type="dxa"/>
            <w:tcBorders>
              <w:top w:val="nil"/>
              <w:left w:val="nil"/>
              <w:bottom w:val="single" w:sz="4" w:space="0" w:color="auto"/>
              <w:right w:val="single" w:sz="4" w:space="0" w:color="auto"/>
            </w:tcBorders>
            <w:shd w:val="clear" w:color="auto" w:fill="C6EFCE"/>
            <w:noWrap/>
            <w:hideMark/>
          </w:tcPr>
          <w:p w14:paraId="7D9093BD"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C8R3 Устойчива градска мобилност</w:t>
            </w:r>
          </w:p>
        </w:tc>
        <w:tc>
          <w:tcPr>
            <w:tcW w:w="1559" w:type="dxa"/>
            <w:tcBorders>
              <w:top w:val="nil"/>
              <w:left w:val="nil"/>
              <w:bottom w:val="single" w:sz="4" w:space="0" w:color="auto"/>
              <w:right w:val="single" w:sz="4" w:space="0" w:color="auto"/>
            </w:tcBorders>
            <w:shd w:val="clear" w:color="auto" w:fill="C6EFCE"/>
            <w:noWrap/>
            <w:hideMark/>
          </w:tcPr>
          <w:p w14:paraId="2E80BA50"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Ключов етап</w:t>
            </w:r>
          </w:p>
        </w:tc>
        <w:tc>
          <w:tcPr>
            <w:tcW w:w="3438" w:type="dxa"/>
            <w:tcBorders>
              <w:top w:val="nil"/>
              <w:left w:val="nil"/>
              <w:bottom w:val="single" w:sz="4" w:space="0" w:color="auto"/>
              <w:right w:val="single" w:sz="4" w:space="0" w:color="auto"/>
            </w:tcBorders>
            <w:shd w:val="clear" w:color="auto" w:fill="C6EFCE"/>
            <w:noWrap/>
            <w:hideMark/>
          </w:tcPr>
          <w:p w14:paraId="1B786442"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Оценка на изпълнението на плановете за устойчива градска мобилност</w:t>
            </w:r>
          </w:p>
        </w:tc>
      </w:tr>
      <w:tr w:rsidR="00D21D80" w:rsidRPr="00F41C75" w14:paraId="781F7D2B" w14:textId="77777777" w:rsidTr="43634750">
        <w:trPr>
          <w:trHeight w:val="302"/>
          <w:jc w:val="center"/>
        </w:trPr>
        <w:tc>
          <w:tcPr>
            <w:tcW w:w="1207" w:type="dxa"/>
            <w:tcBorders>
              <w:top w:val="nil"/>
              <w:left w:val="single" w:sz="4" w:space="0" w:color="auto"/>
              <w:bottom w:val="single" w:sz="4" w:space="0" w:color="auto"/>
              <w:right w:val="single" w:sz="4" w:space="0" w:color="auto"/>
            </w:tcBorders>
            <w:shd w:val="clear" w:color="auto" w:fill="C6EFCE"/>
            <w:noWrap/>
          </w:tcPr>
          <w:p w14:paraId="5F1CD006"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181</w:t>
            </w:r>
          </w:p>
        </w:tc>
        <w:tc>
          <w:tcPr>
            <w:tcW w:w="4073" w:type="dxa"/>
            <w:tcBorders>
              <w:top w:val="nil"/>
              <w:left w:val="nil"/>
              <w:bottom w:val="single" w:sz="4" w:space="0" w:color="auto"/>
              <w:right w:val="single" w:sz="4" w:space="0" w:color="auto"/>
            </w:tcBorders>
            <w:shd w:val="clear" w:color="auto" w:fill="C6EFCE"/>
            <w:noWrap/>
          </w:tcPr>
          <w:p w14:paraId="6F65539D"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C8R5 Електрическа мобилност</w:t>
            </w:r>
          </w:p>
        </w:tc>
        <w:tc>
          <w:tcPr>
            <w:tcW w:w="1559" w:type="dxa"/>
            <w:tcBorders>
              <w:top w:val="nil"/>
              <w:left w:val="nil"/>
              <w:bottom w:val="single" w:sz="4" w:space="0" w:color="auto"/>
              <w:right w:val="single" w:sz="4" w:space="0" w:color="auto"/>
            </w:tcBorders>
            <w:shd w:val="clear" w:color="auto" w:fill="C6EFCE"/>
            <w:noWrap/>
          </w:tcPr>
          <w:p w14:paraId="1D459B48"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Цел</w:t>
            </w:r>
          </w:p>
        </w:tc>
        <w:tc>
          <w:tcPr>
            <w:tcW w:w="3438" w:type="dxa"/>
            <w:tcBorders>
              <w:top w:val="nil"/>
              <w:left w:val="nil"/>
              <w:bottom w:val="single" w:sz="4" w:space="0" w:color="auto"/>
              <w:right w:val="single" w:sz="4" w:space="0" w:color="auto"/>
            </w:tcBorders>
            <w:shd w:val="clear" w:color="auto" w:fill="C6EFCE"/>
            <w:noWrap/>
          </w:tcPr>
          <w:p w14:paraId="1262ECB4"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385623"/>
              </w:rPr>
              <w:t>Зони с ниски емисии</w:t>
            </w:r>
          </w:p>
        </w:tc>
      </w:tr>
      <w:tr w:rsidR="00D21D80" w:rsidRPr="005241FC" w14:paraId="2453375B" w14:textId="77777777" w:rsidTr="43634750">
        <w:trPr>
          <w:trHeight w:val="302"/>
          <w:jc w:val="center"/>
        </w:trPr>
        <w:tc>
          <w:tcPr>
            <w:tcW w:w="1207" w:type="dxa"/>
            <w:tcBorders>
              <w:top w:val="nil"/>
              <w:left w:val="single" w:sz="4" w:space="0" w:color="auto"/>
              <w:bottom w:val="single" w:sz="4" w:space="0" w:color="auto"/>
              <w:right w:val="single" w:sz="4" w:space="0" w:color="auto"/>
            </w:tcBorders>
            <w:shd w:val="clear" w:color="auto" w:fill="C6EFCE"/>
            <w:noWrap/>
          </w:tcPr>
          <w:p w14:paraId="6B11DB45"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185</w:t>
            </w:r>
          </w:p>
        </w:tc>
        <w:tc>
          <w:tcPr>
            <w:tcW w:w="4073" w:type="dxa"/>
            <w:tcBorders>
              <w:top w:val="nil"/>
              <w:left w:val="nil"/>
              <w:bottom w:val="single" w:sz="4" w:space="0" w:color="auto"/>
              <w:right w:val="single" w:sz="4" w:space="0" w:color="auto"/>
            </w:tcBorders>
            <w:shd w:val="clear" w:color="auto" w:fill="C6EFCE"/>
            <w:noWrap/>
          </w:tcPr>
          <w:p w14:paraId="2715E1A0"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C8I1 Железопътен подвижен състав</w:t>
            </w:r>
          </w:p>
        </w:tc>
        <w:tc>
          <w:tcPr>
            <w:tcW w:w="1559" w:type="dxa"/>
            <w:tcBorders>
              <w:top w:val="nil"/>
              <w:left w:val="nil"/>
              <w:bottom w:val="single" w:sz="4" w:space="0" w:color="auto"/>
              <w:right w:val="single" w:sz="4" w:space="0" w:color="auto"/>
            </w:tcBorders>
            <w:shd w:val="clear" w:color="auto" w:fill="C6EFCE"/>
            <w:noWrap/>
          </w:tcPr>
          <w:p w14:paraId="0D7D7ED6"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Цел</w:t>
            </w:r>
          </w:p>
        </w:tc>
        <w:tc>
          <w:tcPr>
            <w:tcW w:w="3438" w:type="dxa"/>
            <w:tcBorders>
              <w:top w:val="nil"/>
              <w:left w:val="nil"/>
              <w:bottom w:val="single" w:sz="4" w:space="0" w:color="auto"/>
              <w:right w:val="single" w:sz="4" w:space="0" w:color="auto"/>
            </w:tcBorders>
            <w:shd w:val="clear" w:color="auto" w:fill="C6EFCE"/>
            <w:noWrap/>
          </w:tcPr>
          <w:p w14:paraId="227784B4" w14:textId="77777777" w:rsidR="00D21D80" w:rsidRPr="009674F2" w:rsidRDefault="00D21D80" w:rsidP="00C955DB">
            <w:pPr>
              <w:spacing w:after="0" w:line="240" w:lineRule="auto"/>
              <w:jc w:val="both"/>
              <w:rPr>
                <w:rFonts w:ascii="Times New Roman" w:eastAsia="Times New Roman" w:hAnsi="Times New Roman" w:cs="Times New Roman"/>
                <w:noProof/>
                <w:color w:val="FF0000"/>
              </w:rPr>
            </w:pPr>
            <w:r>
              <w:rPr>
                <w:rFonts w:ascii="Times New Roman" w:hAnsi="Times New Roman"/>
                <w:noProof/>
                <w:color w:val="006100"/>
              </w:rPr>
              <w:t>Въвеждане в експлоатация на нов железопътен подвижен състав с нулеви емисии (I)</w:t>
            </w:r>
          </w:p>
          <w:p w14:paraId="5E2AA044" w14:textId="77777777" w:rsidR="00D21D80" w:rsidRPr="008A0F8A" w:rsidRDefault="00D21D80" w:rsidP="00C955DB">
            <w:pPr>
              <w:spacing w:after="0" w:line="240" w:lineRule="auto"/>
              <w:jc w:val="both"/>
              <w:rPr>
                <w:rFonts w:ascii="Times New Roman" w:eastAsia="Times New Roman" w:hAnsi="Times New Roman" w:cs="Times New Roman"/>
                <w:noProof/>
                <w:color w:val="385623"/>
                <w:lang w:val="ru-RU" w:eastAsia="en-GB"/>
              </w:rPr>
            </w:pPr>
          </w:p>
        </w:tc>
      </w:tr>
      <w:tr w:rsidR="006F75E7" w:rsidRPr="005241FC" w14:paraId="3BEBC2E6" w14:textId="77777777" w:rsidTr="43634750">
        <w:trPr>
          <w:trHeight w:val="302"/>
          <w:jc w:val="center"/>
        </w:trPr>
        <w:tc>
          <w:tcPr>
            <w:tcW w:w="1207" w:type="dxa"/>
            <w:tcBorders>
              <w:top w:val="nil"/>
              <w:left w:val="single" w:sz="4" w:space="0" w:color="auto"/>
              <w:bottom w:val="single" w:sz="4" w:space="0" w:color="auto"/>
              <w:right w:val="single" w:sz="4" w:space="0" w:color="auto"/>
            </w:tcBorders>
            <w:shd w:val="clear" w:color="auto" w:fill="C6EFCE"/>
            <w:noWrap/>
          </w:tcPr>
          <w:p w14:paraId="7848BF70" w14:textId="7A3BDEE8" w:rsidR="006F75E7" w:rsidRPr="009674F2" w:rsidRDefault="006F75E7" w:rsidP="006F75E7">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189</w:t>
            </w:r>
          </w:p>
        </w:tc>
        <w:tc>
          <w:tcPr>
            <w:tcW w:w="4073" w:type="dxa"/>
            <w:tcBorders>
              <w:top w:val="nil"/>
              <w:left w:val="nil"/>
              <w:bottom w:val="single" w:sz="4" w:space="0" w:color="auto"/>
              <w:right w:val="single" w:sz="4" w:space="0" w:color="auto"/>
            </w:tcBorders>
            <w:shd w:val="clear" w:color="auto" w:fill="C6EFCE"/>
            <w:noWrap/>
          </w:tcPr>
          <w:p w14:paraId="19E514F7" w14:textId="65E371F9" w:rsidR="006F75E7" w:rsidRPr="009674F2" w:rsidRDefault="006F75E7" w:rsidP="006F75E7">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C8I2 Бордово оборудване за Европейската система за управление на влаковете</w:t>
            </w:r>
          </w:p>
        </w:tc>
        <w:tc>
          <w:tcPr>
            <w:tcW w:w="1559" w:type="dxa"/>
            <w:tcBorders>
              <w:top w:val="nil"/>
              <w:left w:val="nil"/>
              <w:bottom w:val="single" w:sz="4" w:space="0" w:color="auto"/>
              <w:right w:val="single" w:sz="4" w:space="0" w:color="auto"/>
            </w:tcBorders>
            <w:shd w:val="clear" w:color="auto" w:fill="C6EFCE"/>
            <w:noWrap/>
          </w:tcPr>
          <w:p w14:paraId="61985BDC" w14:textId="77777777" w:rsidR="006F75E7" w:rsidRPr="008A0F8A" w:rsidRDefault="006F75E7" w:rsidP="006F75E7">
            <w:pPr>
              <w:spacing w:after="0" w:line="240" w:lineRule="auto"/>
              <w:jc w:val="center"/>
              <w:rPr>
                <w:rFonts w:ascii="Times New Roman" w:eastAsia="Times New Roman" w:hAnsi="Times New Roman" w:cs="Times New Roman"/>
                <w:noProof/>
                <w:color w:val="006100"/>
                <w:lang w:val="ru-RU" w:eastAsia="en-IE"/>
              </w:rPr>
            </w:pPr>
          </w:p>
          <w:p w14:paraId="04620327" w14:textId="2D08F12C" w:rsidR="006F75E7" w:rsidRPr="009674F2" w:rsidRDefault="006F75E7" w:rsidP="006F75E7">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Цел</w:t>
            </w:r>
          </w:p>
        </w:tc>
        <w:tc>
          <w:tcPr>
            <w:tcW w:w="3438" w:type="dxa"/>
            <w:tcBorders>
              <w:top w:val="nil"/>
              <w:left w:val="nil"/>
              <w:bottom w:val="single" w:sz="4" w:space="0" w:color="auto"/>
              <w:right w:val="single" w:sz="4" w:space="0" w:color="auto"/>
            </w:tcBorders>
            <w:shd w:val="clear" w:color="auto" w:fill="C6EFCE"/>
            <w:noWrap/>
          </w:tcPr>
          <w:p w14:paraId="3F1FA438" w14:textId="4B18EE30" w:rsidR="006F75E7" w:rsidRPr="009674F2" w:rsidRDefault="006F75E7" w:rsidP="006F75E7">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Доставка и инсталиране на бордовото оборудване за ERTMS/ETCS</w:t>
            </w:r>
          </w:p>
        </w:tc>
      </w:tr>
      <w:tr w:rsidR="006F75E7" w:rsidRPr="005241FC" w14:paraId="23611CB1" w14:textId="77777777" w:rsidTr="43634750">
        <w:trPr>
          <w:trHeight w:val="302"/>
          <w:jc w:val="center"/>
        </w:trPr>
        <w:tc>
          <w:tcPr>
            <w:tcW w:w="1207" w:type="dxa"/>
            <w:tcBorders>
              <w:top w:val="nil"/>
              <w:left w:val="single" w:sz="4" w:space="0" w:color="auto"/>
              <w:bottom w:val="single" w:sz="4" w:space="0" w:color="auto"/>
              <w:right w:val="single" w:sz="4" w:space="0" w:color="auto"/>
            </w:tcBorders>
            <w:shd w:val="clear" w:color="auto" w:fill="C6EFCE"/>
            <w:noWrap/>
          </w:tcPr>
          <w:p w14:paraId="277F720E" w14:textId="77777777" w:rsidR="006F75E7" w:rsidRPr="009674F2" w:rsidRDefault="006F75E7" w:rsidP="006F75E7">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225</w:t>
            </w:r>
          </w:p>
        </w:tc>
        <w:tc>
          <w:tcPr>
            <w:tcW w:w="4073" w:type="dxa"/>
            <w:tcBorders>
              <w:top w:val="nil"/>
              <w:left w:val="nil"/>
              <w:bottom w:val="single" w:sz="4" w:space="0" w:color="auto"/>
              <w:right w:val="single" w:sz="4" w:space="0" w:color="auto"/>
            </w:tcBorders>
            <w:shd w:val="clear" w:color="auto" w:fill="C6EFCE"/>
            <w:noWrap/>
          </w:tcPr>
          <w:p w14:paraId="5F474E50" w14:textId="77777777" w:rsidR="006F75E7" w:rsidRPr="009674F2" w:rsidRDefault="006F75E7" w:rsidP="006F75E7">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C10R2 Противодействие на корупцията</w:t>
            </w:r>
          </w:p>
        </w:tc>
        <w:tc>
          <w:tcPr>
            <w:tcW w:w="1559" w:type="dxa"/>
            <w:tcBorders>
              <w:top w:val="nil"/>
              <w:left w:val="nil"/>
              <w:bottom w:val="single" w:sz="4" w:space="0" w:color="auto"/>
              <w:right w:val="single" w:sz="4" w:space="0" w:color="auto"/>
            </w:tcBorders>
            <w:shd w:val="clear" w:color="auto" w:fill="C6EFCE"/>
            <w:noWrap/>
          </w:tcPr>
          <w:p w14:paraId="4D943AFD" w14:textId="77777777" w:rsidR="006F75E7" w:rsidRPr="009674F2" w:rsidRDefault="006F75E7" w:rsidP="006F75E7">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Ключов етап</w:t>
            </w:r>
          </w:p>
        </w:tc>
        <w:tc>
          <w:tcPr>
            <w:tcW w:w="3438" w:type="dxa"/>
            <w:tcBorders>
              <w:top w:val="nil"/>
              <w:left w:val="nil"/>
              <w:bottom w:val="single" w:sz="4" w:space="0" w:color="auto"/>
              <w:right w:val="single" w:sz="4" w:space="0" w:color="auto"/>
            </w:tcBorders>
            <w:shd w:val="clear" w:color="auto" w:fill="C6EFCE"/>
            <w:noWrap/>
          </w:tcPr>
          <w:p w14:paraId="4AA7D347" w14:textId="77777777" w:rsidR="006F75E7" w:rsidRPr="009674F2" w:rsidRDefault="006F75E7" w:rsidP="006F75E7">
            <w:pPr>
              <w:spacing w:after="0" w:line="240" w:lineRule="auto"/>
              <w:jc w:val="both"/>
              <w:rPr>
                <w:rFonts w:ascii="Times New Roman" w:eastAsia="Times New Roman" w:hAnsi="Times New Roman" w:cs="Times New Roman"/>
                <w:noProof/>
                <w:color w:val="385623"/>
              </w:rPr>
            </w:pPr>
            <w:r>
              <w:rPr>
                <w:rFonts w:ascii="Times New Roman" w:hAnsi="Times New Roman"/>
                <w:noProof/>
                <w:color w:val="006100"/>
              </w:rPr>
              <w:t>Действащ механизъм за проверка с оглед повишаване на интегритета на държавните служители</w:t>
            </w:r>
          </w:p>
        </w:tc>
      </w:tr>
      <w:tr w:rsidR="006F75E7" w:rsidRPr="005241FC" w14:paraId="02F622E7" w14:textId="77777777" w:rsidTr="43634750">
        <w:trPr>
          <w:trHeight w:val="302"/>
          <w:jc w:val="center"/>
        </w:trPr>
        <w:tc>
          <w:tcPr>
            <w:tcW w:w="1207" w:type="dxa"/>
            <w:tcBorders>
              <w:top w:val="nil"/>
              <w:left w:val="single" w:sz="4" w:space="0" w:color="auto"/>
              <w:bottom w:val="single" w:sz="4" w:space="0" w:color="auto"/>
              <w:right w:val="single" w:sz="4" w:space="0" w:color="auto"/>
            </w:tcBorders>
            <w:shd w:val="clear" w:color="auto" w:fill="C6EFCE"/>
            <w:noWrap/>
          </w:tcPr>
          <w:p w14:paraId="5F967A3B" w14:textId="77777777" w:rsidR="006F75E7" w:rsidRPr="009674F2" w:rsidRDefault="006F75E7" w:rsidP="006F75E7">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300</w:t>
            </w:r>
          </w:p>
        </w:tc>
        <w:tc>
          <w:tcPr>
            <w:tcW w:w="4073" w:type="dxa"/>
            <w:tcBorders>
              <w:top w:val="nil"/>
              <w:left w:val="nil"/>
              <w:bottom w:val="single" w:sz="4" w:space="0" w:color="auto"/>
              <w:right w:val="single" w:sz="4" w:space="0" w:color="auto"/>
            </w:tcBorders>
            <w:shd w:val="clear" w:color="auto" w:fill="C6EFCE"/>
            <w:noWrap/>
          </w:tcPr>
          <w:p w14:paraId="2ADC11A9" w14:textId="77777777" w:rsidR="006F75E7" w:rsidRPr="009674F2" w:rsidRDefault="006F75E7" w:rsidP="006F75E7">
            <w:pPr>
              <w:spacing w:after="0" w:line="240" w:lineRule="auto"/>
              <w:jc w:val="both"/>
              <w:rPr>
                <w:rFonts w:ascii="Times New Roman" w:hAnsi="Times New Roman" w:cs="Times New Roman"/>
                <w:noProof/>
                <w:color w:val="006100"/>
              </w:rPr>
            </w:pPr>
            <w:r>
              <w:rPr>
                <w:rFonts w:ascii="Times New Roman" w:hAnsi="Times New Roman"/>
                <w:noProof/>
                <w:color w:val="006100"/>
              </w:rPr>
              <w:t>C11I3 Развитие на социалната икономика</w:t>
            </w:r>
          </w:p>
        </w:tc>
        <w:tc>
          <w:tcPr>
            <w:tcW w:w="1559" w:type="dxa"/>
            <w:tcBorders>
              <w:top w:val="nil"/>
              <w:left w:val="nil"/>
              <w:bottom w:val="single" w:sz="4" w:space="0" w:color="auto"/>
              <w:right w:val="single" w:sz="4" w:space="0" w:color="auto"/>
            </w:tcBorders>
            <w:shd w:val="clear" w:color="auto" w:fill="C6EFCE"/>
            <w:noWrap/>
          </w:tcPr>
          <w:p w14:paraId="579E4D45" w14:textId="77777777" w:rsidR="006F75E7" w:rsidRPr="009674F2" w:rsidRDefault="006F75E7" w:rsidP="006F75E7">
            <w:pPr>
              <w:spacing w:after="0" w:line="240" w:lineRule="auto"/>
              <w:jc w:val="both"/>
              <w:rPr>
                <w:rFonts w:ascii="Times New Roman" w:hAnsi="Times New Roman" w:cs="Times New Roman"/>
                <w:noProof/>
                <w:color w:val="006100"/>
              </w:rPr>
            </w:pPr>
            <w:r>
              <w:rPr>
                <w:rFonts w:ascii="Times New Roman" w:hAnsi="Times New Roman"/>
                <w:noProof/>
                <w:color w:val="006100"/>
              </w:rPr>
              <w:t>Ключов етап</w:t>
            </w:r>
          </w:p>
        </w:tc>
        <w:tc>
          <w:tcPr>
            <w:tcW w:w="3438" w:type="dxa"/>
            <w:tcBorders>
              <w:top w:val="nil"/>
              <w:left w:val="nil"/>
              <w:bottom w:val="single" w:sz="4" w:space="0" w:color="auto"/>
              <w:right w:val="single" w:sz="4" w:space="0" w:color="auto"/>
            </w:tcBorders>
            <w:shd w:val="clear" w:color="auto" w:fill="C6EFCE"/>
            <w:noWrap/>
          </w:tcPr>
          <w:p w14:paraId="6F0737D7" w14:textId="77777777" w:rsidR="006F75E7" w:rsidRPr="009674F2" w:rsidRDefault="006F75E7" w:rsidP="006F75E7">
            <w:pPr>
              <w:spacing w:after="0" w:line="240" w:lineRule="auto"/>
              <w:jc w:val="both"/>
              <w:rPr>
                <w:rFonts w:ascii="Times New Roman" w:hAnsi="Times New Roman" w:cs="Times New Roman"/>
                <w:noProof/>
                <w:color w:val="006100"/>
              </w:rPr>
            </w:pPr>
            <w:r>
              <w:rPr>
                <w:rFonts w:ascii="Times New Roman" w:hAnsi="Times New Roman"/>
                <w:noProof/>
                <w:color w:val="006100"/>
              </w:rPr>
              <w:t>Цифрова платформа за социалната икономика</w:t>
            </w:r>
          </w:p>
        </w:tc>
      </w:tr>
      <w:tr w:rsidR="006F75E7" w:rsidRPr="005241FC" w14:paraId="269F3911" w14:textId="77777777" w:rsidTr="43634750">
        <w:trPr>
          <w:trHeight w:val="302"/>
          <w:jc w:val="center"/>
        </w:trPr>
        <w:tc>
          <w:tcPr>
            <w:tcW w:w="1207" w:type="dxa"/>
            <w:tcBorders>
              <w:top w:val="nil"/>
              <w:left w:val="single" w:sz="4" w:space="0" w:color="auto"/>
              <w:bottom w:val="single" w:sz="4" w:space="0" w:color="auto"/>
              <w:right w:val="single" w:sz="4" w:space="0" w:color="auto"/>
            </w:tcBorders>
            <w:shd w:val="clear" w:color="auto" w:fill="C6EFCE"/>
            <w:noWrap/>
          </w:tcPr>
          <w:p w14:paraId="37A5ABB2" w14:textId="77777777" w:rsidR="006F75E7" w:rsidRPr="009674F2" w:rsidRDefault="006F75E7" w:rsidP="006F75E7">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311</w:t>
            </w:r>
          </w:p>
        </w:tc>
        <w:tc>
          <w:tcPr>
            <w:tcW w:w="4073" w:type="dxa"/>
            <w:tcBorders>
              <w:top w:val="nil"/>
              <w:left w:val="nil"/>
              <w:bottom w:val="single" w:sz="4" w:space="0" w:color="auto"/>
              <w:right w:val="single" w:sz="4" w:space="0" w:color="auto"/>
            </w:tcBorders>
            <w:shd w:val="clear" w:color="auto" w:fill="C6EFCE"/>
            <w:noWrap/>
          </w:tcPr>
          <w:p w14:paraId="69B892D9" w14:textId="77777777" w:rsidR="006F75E7" w:rsidRPr="009674F2" w:rsidRDefault="006F75E7" w:rsidP="006F75E7">
            <w:pPr>
              <w:spacing w:after="0" w:line="240" w:lineRule="auto"/>
              <w:jc w:val="both"/>
              <w:rPr>
                <w:rFonts w:ascii="Times New Roman" w:hAnsi="Times New Roman" w:cs="Times New Roman"/>
                <w:noProof/>
                <w:color w:val="006100"/>
              </w:rPr>
            </w:pPr>
            <w:r>
              <w:rPr>
                <w:rFonts w:ascii="Times New Roman" w:hAnsi="Times New Roman"/>
                <w:noProof/>
                <w:color w:val="006100"/>
              </w:rPr>
              <w:t>C11I6 Развитие на културния и творческия сектори</w:t>
            </w:r>
          </w:p>
        </w:tc>
        <w:tc>
          <w:tcPr>
            <w:tcW w:w="1559" w:type="dxa"/>
            <w:tcBorders>
              <w:top w:val="nil"/>
              <w:left w:val="nil"/>
              <w:bottom w:val="single" w:sz="4" w:space="0" w:color="auto"/>
              <w:right w:val="single" w:sz="4" w:space="0" w:color="auto"/>
            </w:tcBorders>
            <w:shd w:val="clear" w:color="auto" w:fill="C6EFCE"/>
            <w:noWrap/>
          </w:tcPr>
          <w:p w14:paraId="68E66EBD" w14:textId="77777777" w:rsidR="006F75E7" w:rsidRPr="009674F2" w:rsidRDefault="006F75E7" w:rsidP="006F75E7">
            <w:pPr>
              <w:spacing w:after="0" w:line="240" w:lineRule="auto"/>
              <w:jc w:val="both"/>
              <w:rPr>
                <w:rFonts w:ascii="Times New Roman" w:hAnsi="Times New Roman" w:cs="Times New Roman"/>
                <w:noProof/>
                <w:color w:val="006100"/>
              </w:rPr>
            </w:pPr>
            <w:r>
              <w:rPr>
                <w:rFonts w:ascii="Times New Roman" w:hAnsi="Times New Roman"/>
                <w:noProof/>
                <w:color w:val="006100"/>
              </w:rPr>
              <w:t>Цел</w:t>
            </w:r>
          </w:p>
        </w:tc>
        <w:tc>
          <w:tcPr>
            <w:tcW w:w="3438" w:type="dxa"/>
            <w:tcBorders>
              <w:top w:val="nil"/>
              <w:left w:val="nil"/>
              <w:bottom w:val="single" w:sz="4" w:space="0" w:color="auto"/>
              <w:right w:val="single" w:sz="4" w:space="0" w:color="auto"/>
            </w:tcBorders>
            <w:shd w:val="clear" w:color="auto" w:fill="C6EFCE"/>
            <w:noWrap/>
          </w:tcPr>
          <w:p w14:paraId="6B3335AE" w14:textId="77777777" w:rsidR="006F75E7" w:rsidRPr="009674F2" w:rsidRDefault="006F75E7" w:rsidP="006F75E7">
            <w:pPr>
              <w:spacing w:after="0" w:line="240" w:lineRule="auto"/>
              <w:jc w:val="both"/>
              <w:rPr>
                <w:rFonts w:ascii="Times New Roman" w:hAnsi="Times New Roman" w:cs="Times New Roman"/>
                <w:noProof/>
                <w:color w:val="006100"/>
              </w:rPr>
            </w:pPr>
            <w:r>
              <w:rPr>
                <w:rFonts w:ascii="Times New Roman" w:hAnsi="Times New Roman"/>
                <w:noProof/>
                <w:color w:val="006100"/>
              </w:rPr>
              <w:t>Хора, работещи в културния и творческия сектори, които са завършили обучение</w:t>
            </w:r>
          </w:p>
        </w:tc>
      </w:tr>
      <w:tr w:rsidR="006F75E7" w:rsidRPr="00F41C75" w14:paraId="3E5B3D06" w14:textId="77777777" w:rsidTr="43634750">
        <w:trPr>
          <w:trHeight w:val="302"/>
          <w:jc w:val="center"/>
        </w:trPr>
        <w:tc>
          <w:tcPr>
            <w:tcW w:w="1207" w:type="dxa"/>
            <w:tcBorders>
              <w:top w:val="single" w:sz="4" w:space="0" w:color="auto"/>
              <w:left w:val="single" w:sz="4" w:space="0" w:color="auto"/>
              <w:bottom w:val="single" w:sz="4" w:space="0" w:color="auto"/>
              <w:right w:val="single" w:sz="4" w:space="0" w:color="auto"/>
            </w:tcBorders>
            <w:shd w:val="clear" w:color="auto" w:fill="C6EFCE"/>
            <w:noWrap/>
          </w:tcPr>
          <w:p w14:paraId="455D0789" w14:textId="77777777" w:rsidR="006F75E7" w:rsidRPr="008A0F8A" w:rsidRDefault="006F75E7" w:rsidP="006F75E7">
            <w:pPr>
              <w:spacing w:after="0" w:line="240" w:lineRule="auto"/>
              <w:jc w:val="center"/>
              <w:rPr>
                <w:rFonts w:ascii="Times New Roman" w:eastAsia="Times New Roman" w:hAnsi="Times New Roman" w:cs="Times New Roman"/>
                <w:noProof/>
                <w:color w:val="006100"/>
                <w:lang w:val="ru-RU" w:eastAsia="en-GB"/>
              </w:rPr>
            </w:pPr>
          </w:p>
        </w:tc>
        <w:tc>
          <w:tcPr>
            <w:tcW w:w="4073" w:type="dxa"/>
            <w:tcBorders>
              <w:top w:val="single" w:sz="4" w:space="0" w:color="auto"/>
              <w:left w:val="nil"/>
              <w:bottom w:val="single" w:sz="4" w:space="0" w:color="auto"/>
              <w:right w:val="single" w:sz="4" w:space="0" w:color="auto"/>
            </w:tcBorders>
            <w:shd w:val="clear" w:color="auto" w:fill="C6EFCE"/>
            <w:noWrap/>
            <w:vAlign w:val="bottom"/>
          </w:tcPr>
          <w:p w14:paraId="1CF6DBC1" w14:textId="77777777" w:rsidR="006F75E7" w:rsidRPr="008A0F8A" w:rsidRDefault="006F75E7" w:rsidP="006F75E7">
            <w:pPr>
              <w:spacing w:after="0" w:line="240" w:lineRule="auto"/>
              <w:jc w:val="both"/>
              <w:rPr>
                <w:rFonts w:ascii="Times New Roman" w:eastAsia="Times New Roman" w:hAnsi="Times New Roman" w:cs="Times New Roman"/>
                <w:noProof/>
                <w:color w:val="006100"/>
                <w:lang w:val="ru-RU" w:eastAsia="en-GB"/>
              </w:rPr>
            </w:pPr>
          </w:p>
        </w:tc>
        <w:tc>
          <w:tcPr>
            <w:tcW w:w="1559" w:type="dxa"/>
            <w:tcBorders>
              <w:top w:val="single" w:sz="4" w:space="0" w:color="auto"/>
              <w:left w:val="nil"/>
              <w:bottom w:val="single" w:sz="4" w:space="0" w:color="auto"/>
              <w:right w:val="single" w:sz="4" w:space="0" w:color="auto"/>
            </w:tcBorders>
            <w:shd w:val="clear" w:color="auto" w:fill="C6EFCE"/>
            <w:noWrap/>
            <w:vAlign w:val="bottom"/>
          </w:tcPr>
          <w:p w14:paraId="45592B71" w14:textId="77777777" w:rsidR="006F75E7" w:rsidRPr="009674F2" w:rsidRDefault="006F75E7" w:rsidP="006F75E7">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Размер на вноската</w:t>
            </w:r>
          </w:p>
        </w:tc>
        <w:tc>
          <w:tcPr>
            <w:tcW w:w="3438" w:type="dxa"/>
            <w:tcBorders>
              <w:top w:val="single" w:sz="4" w:space="0" w:color="auto"/>
              <w:left w:val="nil"/>
              <w:bottom w:val="single" w:sz="4" w:space="0" w:color="auto"/>
              <w:right w:val="single" w:sz="4" w:space="0" w:color="auto"/>
            </w:tcBorders>
            <w:shd w:val="clear" w:color="auto" w:fill="C6EFCE"/>
            <w:noWrap/>
            <w:vAlign w:val="bottom"/>
          </w:tcPr>
          <w:p w14:paraId="08E46DF6" w14:textId="163ABC02" w:rsidR="006F75E7" w:rsidRPr="00B34264" w:rsidRDefault="2C9DF51E" w:rsidP="006F75E7">
            <w:pPr>
              <w:spacing w:after="0" w:line="240" w:lineRule="auto"/>
              <w:jc w:val="both"/>
              <w:rPr>
                <w:rFonts w:ascii="Times New Roman" w:hAnsi="Times New Roman" w:cs="Times New Roman"/>
                <w:noProof/>
                <w:color w:val="006100"/>
              </w:rPr>
            </w:pPr>
            <w:r>
              <w:rPr>
                <w:rFonts w:ascii="Times New Roman" w:hAnsi="Times New Roman"/>
                <w:noProof/>
                <w:color w:val="006100"/>
              </w:rPr>
              <w:t xml:space="preserve">402 864 318 EUR </w:t>
            </w:r>
          </w:p>
        </w:tc>
      </w:tr>
    </w:tbl>
    <w:p w14:paraId="4D40F408" w14:textId="77777777" w:rsidR="00D21D80" w:rsidRDefault="00D21D80" w:rsidP="00D21D80">
      <w:pPr>
        <w:spacing w:before="120" w:after="120" w:line="240" w:lineRule="auto"/>
        <w:ind w:left="850"/>
        <w:jc w:val="both"/>
        <w:rPr>
          <w:rFonts w:ascii="Times New Roman" w:eastAsia="Calibri" w:hAnsi="Times New Roman" w:cs="Times New Roman"/>
          <w:noProof/>
          <w:lang w:val="en-GB"/>
        </w:rPr>
      </w:pPr>
    </w:p>
    <w:p w14:paraId="4FDEC37A" w14:textId="77777777" w:rsidR="00D21D80" w:rsidRPr="00F41C75" w:rsidRDefault="00D21D80" w:rsidP="00D21D80">
      <w:pPr>
        <w:numPr>
          <w:ilvl w:val="1"/>
          <w:numId w:val="1"/>
        </w:numPr>
        <w:spacing w:before="120" w:after="120" w:line="240" w:lineRule="auto"/>
        <w:jc w:val="both"/>
        <w:rPr>
          <w:rFonts w:ascii="Times New Roman" w:eastAsia="Calibri" w:hAnsi="Times New Roman" w:cs="Times New Roman"/>
          <w:noProof/>
        </w:rPr>
      </w:pPr>
      <w:r>
        <w:rPr>
          <w:rFonts w:ascii="Times New Roman" w:hAnsi="Times New Roman"/>
          <w:noProof/>
        </w:rPr>
        <w:t xml:space="preserve">Осма вноска (безвъзмездна подкрепа): </w:t>
      </w:r>
    </w:p>
    <w:tbl>
      <w:tblPr>
        <w:tblW w:w="10277" w:type="dxa"/>
        <w:jc w:val="center"/>
        <w:tblLook w:val="04A0" w:firstRow="1" w:lastRow="0" w:firstColumn="1" w:lastColumn="0" w:noHBand="0" w:noVBand="1"/>
      </w:tblPr>
      <w:tblGrid>
        <w:gridCol w:w="1207"/>
        <w:gridCol w:w="4073"/>
        <w:gridCol w:w="1559"/>
        <w:gridCol w:w="3438"/>
      </w:tblGrid>
      <w:tr w:rsidR="00D21D80" w:rsidRPr="00F41C75" w14:paraId="2D013071" w14:textId="77777777" w:rsidTr="008E333E">
        <w:trPr>
          <w:trHeight w:val="906"/>
          <w:tblHeader/>
          <w:jc w:val="center"/>
        </w:trPr>
        <w:tc>
          <w:tcPr>
            <w:tcW w:w="120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FFE00BA" w14:textId="77777777" w:rsidR="00D21D80" w:rsidRPr="00F41C75" w:rsidRDefault="00D21D80" w:rsidP="00C955DB">
            <w:pPr>
              <w:spacing w:after="0" w:line="240" w:lineRule="auto"/>
              <w:jc w:val="center"/>
              <w:rPr>
                <w:rFonts w:ascii="Times New Roman" w:eastAsia="Times New Roman" w:hAnsi="Times New Roman" w:cs="Times New Roman"/>
                <w:b/>
                <w:noProof/>
              </w:rPr>
            </w:pPr>
            <w:r>
              <w:rPr>
                <w:rFonts w:ascii="Times New Roman" w:hAnsi="Times New Roman"/>
                <w:b/>
                <w:noProof/>
              </w:rPr>
              <w:t>Пореден номер</w:t>
            </w:r>
          </w:p>
        </w:tc>
        <w:tc>
          <w:tcPr>
            <w:tcW w:w="407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E6EBE81" w14:textId="77777777" w:rsidR="00D21D80" w:rsidRPr="00F41C75" w:rsidRDefault="00D21D80" w:rsidP="00C955DB">
            <w:pPr>
              <w:spacing w:after="0" w:line="240" w:lineRule="auto"/>
              <w:jc w:val="center"/>
              <w:rPr>
                <w:rFonts w:ascii="Times New Roman" w:eastAsia="Times New Roman" w:hAnsi="Times New Roman" w:cs="Times New Roman"/>
                <w:b/>
                <w:noProof/>
              </w:rPr>
            </w:pPr>
            <w:r>
              <w:rPr>
                <w:rFonts w:ascii="Times New Roman" w:hAnsi="Times New Roman"/>
                <w:b/>
                <w:noProof/>
              </w:rPr>
              <w:t>Свързана мярка (реформа или инвестиция)</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98F3A06" w14:textId="77777777" w:rsidR="00D21D80" w:rsidRPr="00F41C75" w:rsidRDefault="00D21D80" w:rsidP="00C955DB">
            <w:pPr>
              <w:spacing w:after="0" w:line="240" w:lineRule="auto"/>
              <w:jc w:val="center"/>
              <w:rPr>
                <w:rFonts w:ascii="Times New Roman" w:eastAsia="Times New Roman" w:hAnsi="Times New Roman" w:cs="Times New Roman"/>
                <w:b/>
                <w:noProof/>
              </w:rPr>
            </w:pPr>
            <w:r>
              <w:rPr>
                <w:rFonts w:ascii="Times New Roman" w:hAnsi="Times New Roman"/>
                <w:b/>
                <w:noProof/>
              </w:rPr>
              <w:t>Ключов етап / Цел</w:t>
            </w:r>
          </w:p>
        </w:tc>
        <w:tc>
          <w:tcPr>
            <w:tcW w:w="343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6B1C5E1" w14:textId="77777777" w:rsidR="00D21D80" w:rsidRPr="00F41C75" w:rsidRDefault="00D21D80" w:rsidP="00C955DB">
            <w:pPr>
              <w:spacing w:after="0" w:line="240" w:lineRule="auto"/>
              <w:jc w:val="center"/>
              <w:rPr>
                <w:rFonts w:ascii="Times New Roman" w:eastAsia="Times New Roman" w:hAnsi="Times New Roman" w:cs="Times New Roman"/>
                <w:b/>
                <w:noProof/>
              </w:rPr>
            </w:pPr>
            <w:r>
              <w:rPr>
                <w:rFonts w:ascii="Times New Roman" w:hAnsi="Times New Roman"/>
                <w:b/>
                <w:noProof/>
              </w:rPr>
              <w:t>Наименование</w:t>
            </w:r>
          </w:p>
        </w:tc>
      </w:tr>
      <w:tr w:rsidR="00D21D80" w:rsidRPr="00F41C75" w14:paraId="434C01B6" w14:textId="77777777" w:rsidTr="008E333E">
        <w:trPr>
          <w:trHeight w:val="450"/>
          <w:jc w:val="center"/>
        </w:trPr>
        <w:tc>
          <w:tcPr>
            <w:tcW w:w="1207" w:type="dxa"/>
            <w:vMerge/>
            <w:tcBorders>
              <w:top w:val="single" w:sz="4" w:space="0" w:color="auto"/>
              <w:left w:val="single" w:sz="4" w:space="0" w:color="auto"/>
              <w:bottom w:val="single" w:sz="4" w:space="0" w:color="auto"/>
              <w:right w:val="single" w:sz="4" w:space="0" w:color="auto"/>
            </w:tcBorders>
            <w:vAlign w:val="center"/>
            <w:hideMark/>
          </w:tcPr>
          <w:p w14:paraId="21AC2184" w14:textId="77777777" w:rsidR="00D21D80" w:rsidRPr="00F41C75" w:rsidRDefault="00D21D80" w:rsidP="00C955DB">
            <w:pPr>
              <w:spacing w:after="0" w:line="240" w:lineRule="auto"/>
              <w:jc w:val="center"/>
              <w:rPr>
                <w:rFonts w:ascii="Times New Roman" w:eastAsia="Times New Roman" w:hAnsi="Times New Roman" w:cs="Times New Roman"/>
                <w:b/>
                <w:bCs/>
                <w:noProof/>
                <w:lang w:val="en-GB" w:eastAsia="en-GB"/>
              </w:rPr>
            </w:pPr>
          </w:p>
        </w:tc>
        <w:tc>
          <w:tcPr>
            <w:tcW w:w="4073" w:type="dxa"/>
            <w:vMerge/>
            <w:tcBorders>
              <w:top w:val="single" w:sz="4" w:space="0" w:color="auto"/>
              <w:left w:val="single" w:sz="4" w:space="0" w:color="auto"/>
              <w:bottom w:val="single" w:sz="4" w:space="0" w:color="auto"/>
              <w:right w:val="single" w:sz="4" w:space="0" w:color="auto"/>
            </w:tcBorders>
            <w:vAlign w:val="center"/>
            <w:hideMark/>
          </w:tcPr>
          <w:p w14:paraId="638E7CD9" w14:textId="77777777" w:rsidR="00D21D80" w:rsidRPr="00F41C75" w:rsidRDefault="00D21D80" w:rsidP="00C955DB">
            <w:pPr>
              <w:spacing w:after="0" w:line="240" w:lineRule="auto"/>
              <w:jc w:val="both"/>
              <w:rPr>
                <w:rFonts w:ascii="Times New Roman" w:eastAsia="Times New Roman" w:hAnsi="Times New Roman" w:cs="Times New Roman"/>
                <w:b/>
                <w:bCs/>
                <w:noProof/>
                <w:lang w:val="en-GB" w:eastAsia="en-GB"/>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C587E00" w14:textId="77777777" w:rsidR="00D21D80" w:rsidRPr="00F41C75" w:rsidRDefault="00D21D80" w:rsidP="00C955DB">
            <w:pPr>
              <w:spacing w:after="0" w:line="240" w:lineRule="auto"/>
              <w:jc w:val="both"/>
              <w:rPr>
                <w:rFonts w:ascii="Times New Roman" w:eastAsia="Times New Roman" w:hAnsi="Times New Roman" w:cs="Times New Roman"/>
                <w:b/>
                <w:bCs/>
                <w:noProof/>
                <w:lang w:val="en-GB" w:eastAsia="en-GB"/>
              </w:rPr>
            </w:pPr>
          </w:p>
        </w:tc>
        <w:tc>
          <w:tcPr>
            <w:tcW w:w="3438" w:type="dxa"/>
            <w:vMerge/>
            <w:tcBorders>
              <w:top w:val="single" w:sz="4" w:space="0" w:color="auto"/>
              <w:left w:val="single" w:sz="4" w:space="0" w:color="auto"/>
              <w:bottom w:val="single" w:sz="4" w:space="0" w:color="auto"/>
              <w:right w:val="single" w:sz="4" w:space="0" w:color="auto"/>
            </w:tcBorders>
            <w:vAlign w:val="center"/>
            <w:hideMark/>
          </w:tcPr>
          <w:p w14:paraId="19E6B8CB" w14:textId="77777777" w:rsidR="00D21D80" w:rsidRPr="00F41C75" w:rsidRDefault="00D21D80" w:rsidP="00C955DB">
            <w:pPr>
              <w:spacing w:after="0" w:line="240" w:lineRule="auto"/>
              <w:jc w:val="both"/>
              <w:rPr>
                <w:rFonts w:ascii="Times New Roman" w:eastAsia="Times New Roman" w:hAnsi="Times New Roman" w:cs="Times New Roman"/>
                <w:b/>
                <w:bCs/>
                <w:noProof/>
                <w:lang w:val="en-GB" w:eastAsia="en-GB"/>
              </w:rPr>
            </w:pPr>
          </w:p>
        </w:tc>
      </w:tr>
      <w:tr w:rsidR="00D21D80" w:rsidRPr="005241FC" w14:paraId="0DE847AE" w14:textId="77777777" w:rsidTr="008E333E">
        <w:trPr>
          <w:trHeight w:val="302"/>
          <w:jc w:val="center"/>
        </w:trPr>
        <w:tc>
          <w:tcPr>
            <w:tcW w:w="1207" w:type="dxa"/>
            <w:tcBorders>
              <w:top w:val="single" w:sz="4" w:space="0" w:color="auto"/>
              <w:left w:val="single" w:sz="4" w:space="0" w:color="auto"/>
              <w:bottom w:val="single" w:sz="4" w:space="0" w:color="auto"/>
              <w:right w:val="single" w:sz="4" w:space="0" w:color="auto"/>
            </w:tcBorders>
            <w:shd w:val="clear" w:color="auto" w:fill="C6EFCE"/>
            <w:noWrap/>
          </w:tcPr>
          <w:p w14:paraId="55EA8546"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33</w:t>
            </w:r>
          </w:p>
        </w:tc>
        <w:tc>
          <w:tcPr>
            <w:tcW w:w="4073" w:type="dxa"/>
            <w:tcBorders>
              <w:top w:val="single" w:sz="4" w:space="0" w:color="auto"/>
              <w:left w:val="nil"/>
              <w:bottom w:val="single" w:sz="4" w:space="0" w:color="auto"/>
              <w:right w:val="single" w:sz="4" w:space="0" w:color="auto"/>
            </w:tcBorders>
            <w:shd w:val="clear" w:color="auto" w:fill="C6EFCE"/>
            <w:noWrap/>
            <w:vAlign w:val="center"/>
          </w:tcPr>
          <w:p w14:paraId="2107A653" w14:textId="77777777" w:rsidR="00D21D80" w:rsidRPr="009674F2" w:rsidRDefault="00D21D80" w:rsidP="00C955DB">
            <w:pPr>
              <w:spacing w:after="0" w:line="240" w:lineRule="auto"/>
              <w:jc w:val="both"/>
              <w:rPr>
                <w:rFonts w:ascii="Times New Roman" w:hAnsi="Times New Roman" w:cs="Times New Roman"/>
                <w:noProof/>
                <w:color w:val="006100"/>
              </w:rPr>
            </w:pPr>
            <w:r>
              <w:rPr>
                <w:rFonts w:ascii="Times New Roman" w:hAnsi="Times New Roman"/>
                <w:noProof/>
                <w:color w:val="006100"/>
              </w:rPr>
              <w:t>C2I2 Повишаване на иновационния капацитет на Българската академия на науките</w:t>
            </w:r>
          </w:p>
        </w:tc>
        <w:tc>
          <w:tcPr>
            <w:tcW w:w="1559" w:type="dxa"/>
            <w:tcBorders>
              <w:top w:val="single" w:sz="4" w:space="0" w:color="auto"/>
              <w:left w:val="nil"/>
              <w:bottom w:val="single" w:sz="4" w:space="0" w:color="auto"/>
              <w:right w:val="single" w:sz="4" w:space="0" w:color="auto"/>
            </w:tcBorders>
            <w:shd w:val="clear" w:color="auto" w:fill="C6EFCE"/>
            <w:noWrap/>
            <w:vAlign w:val="center"/>
          </w:tcPr>
          <w:p w14:paraId="3D84741A" w14:textId="77777777" w:rsidR="00D21D80" w:rsidRPr="009674F2" w:rsidRDefault="00D21D80" w:rsidP="00C955DB">
            <w:pPr>
              <w:spacing w:after="0" w:line="240" w:lineRule="auto"/>
              <w:jc w:val="both"/>
              <w:rPr>
                <w:rFonts w:ascii="Times New Roman" w:hAnsi="Times New Roman" w:cs="Times New Roman"/>
                <w:noProof/>
                <w:color w:val="006100"/>
              </w:rPr>
            </w:pPr>
            <w:r>
              <w:rPr>
                <w:rFonts w:ascii="Times New Roman" w:hAnsi="Times New Roman"/>
                <w:noProof/>
                <w:color w:val="006100"/>
              </w:rPr>
              <w:t>Ключов етап</w:t>
            </w:r>
          </w:p>
        </w:tc>
        <w:tc>
          <w:tcPr>
            <w:tcW w:w="3438" w:type="dxa"/>
            <w:tcBorders>
              <w:top w:val="single" w:sz="4" w:space="0" w:color="auto"/>
              <w:left w:val="nil"/>
              <w:bottom w:val="single" w:sz="4" w:space="0" w:color="auto"/>
              <w:right w:val="single" w:sz="4" w:space="0" w:color="auto"/>
            </w:tcBorders>
            <w:shd w:val="clear" w:color="auto" w:fill="C6EFCE"/>
            <w:noWrap/>
            <w:vAlign w:val="center"/>
          </w:tcPr>
          <w:p w14:paraId="1D66DAE5" w14:textId="77777777" w:rsidR="00D21D80" w:rsidRPr="009674F2" w:rsidRDefault="00D21D80" w:rsidP="00C955DB">
            <w:pPr>
              <w:spacing w:after="0" w:line="240" w:lineRule="auto"/>
              <w:jc w:val="both"/>
              <w:rPr>
                <w:rFonts w:ascii="Times New Roman" w:hAnsi="Times New Roman" w:cs="Times New Roman"/>
                <w:noProof/>
                <w:color w:val="006100"/>
              </w:rPr>
            </w:pPr>
            <w:r>
              <w:rPr>
                <w:rFonts w:ascii="Times New Roman" w:hAnsi="Times New Roman"/>
                <w:noProof/>
                <w:color w:val="006100"/>
              </w:rPr>
              <w:t>Обновяване на научноизследователската инфраструктура на Българската академия на науките</w:t>
            </w:r>
          </w:p>
        </w:tc>
      </w:tr>
      <w:tr w:rsidR="00D21D80" w:rsidRPr="005241FC" w14:paraId="0B637914" w14:textId="77777777" w:rsidTr="2B534C78">
        <w:trPr>
          <w:trHeight w:val="302"/>
          <w:jc w:val="center"/>
        </w:trPr>
        <w:tc>
          <w:tcPr>
            <w:tcW w:w="1207" w:type="dxa"/>
            <w:tcBorders>
              <w:top w:val="nil"/>
              <w:left w:val="single" w:sz="4" w:space="0" w:color="auto"/>
              <w:bottom w:val="single" w:sz="4" w:space="0" w:color="auto"/>
              <w:right w:val="single" w:sz="4" w:space="0" w:color="auto"/>
            </w:tcBorders>
            <w:shd w:val="clear" w:color="auto" w:fill="C6EFCE"/>
            <w:noWrap/>
          </w:tcPr>
          <w:p w14:paraId="23129270"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60</w:t>
            </w:r>
          </w:p>
        </w:tc>
        <w:tc>
          <w:tcPr>
            <w:tcW w:w="4073" w:type="dxa"/>
            <w:tcBorders>
              <w:top w:val="nil"/>
              <w:left w:val="nil"/>
              <w:bottom w:val="single" w:sz="4" w:space="0" w:color="auto"/>
              <w:right w:val="single" w:sz="4" w:space="0" w:color="auto"/>
            </w:tcBorders>
            <w:shd w:val="clear" w:color="auto" w:fill="C6EFCE"/>
            <w:noWrap/>
            <w:vAlign w:val="center"/>
          </w:tcPr>
          <w:p w14:paraId="1A889D52" w14:textId="77777777" w:rsidR="00D21D80" w:rsidRPr="009674F2" w:rsidRDefault="00D21D80" w:rsidP="00C955DB">
            <w:pPr>
              <w:spacing w:after="0" w:line="240" w:lineRule="auto"/>
              <w:jc w:val="both"/>
              <w:rPr>
                <w:rFonts w:ascii="Times New Roman" w:hAnsi="Times New Roman" w:cs="Times New Roman"/>
                <w:noProof/>
                <w:color w:val="006100"/>
              </w:rPr>
            </w:pPr>
            <w:r>
              <w:rPr>
                <w:rFonts w:ascii="Times New Roman" w:hAnsi="Times New Roman"/>
                <w:noProof/>
                <w:color w:val="006100"/>
              </w:rPr>
              <w:t>C3I2.2.в — Схема за безвъзмездни средства за подпомагане на предприятията в прехода към кръгова икономика</w:t>
            </w:r>
          </w:p>
        </w:tc>
        <w:tc>
          <w:tcPr>
            <w:tcW w:w="1559" w:type="dxa"/>
            <w:tcBorders>
              <w:top w:val="nil"/>
              <w:left w:val="nil"/>
              <w:bottom w:val="single" w:sz="4" w:space="0" w:color="auto"/>
              <w:right w:val="single" w:sz="4" w:space="0" w:color="auto"/>
            </w:tcBorders>
            <w:shd w:val="clear" w:color="auto" w:fill="C6EFCE"/>
            <w:noWrap/>
            <w:vAlign w:val="center"/>
          </w:tcPr>
          <w:p w14:paraId="060802F9" w14:textId="77777777" w:rsidR="00D21D80" w:rsidRPr="009674F2" w:rsidRDefault="00D21D80" w:rsidP="00C955DB">
            <w:pPr>
              <w:spacing w:after="0" w:line="240" w:lineRule="auto"/>
              <w:jc w:val="both"/>
              <w:rPr>
                <w:rFonts w:ascii="Times New Roman" w:hAnsi="Times New Roman" w:cs="Times New Roman"/>
                <w:noProof/>
                <w:color w:val="006100"/>
              </w:rPr>
            </w:pPr>
            <w:r>
              <w:rPr>
                <w:rFonts w:ascii="Times New Roman" w:hAnsi="Times New Roman"/>
                <w:noProof/>
                <w:color w:val="006100"/>
              </w:rPr>
              <w:t>Цел</w:t>
            </w:r>
          </w:p>
        </w:tc>
        <w:tc>
          <w:tcPr>
            <w:tcW w:w="3438" w:type="dxa"/>
            <w:tcBorders>
              <w:top w:val="nil"/>
              <w:left w:val="nil"/>
              <w:bottom w:val="single" w:sz="4" w:space="0" w:color="auto"/>
              <w:right w:val="single" w:sz="4" w:space="0" w:color="auto"/>
            </w:tcBorders>
            <w:shd w:val="clear" w:color="auto" w:fill="C6EFCE"/>
            <w:noWrap/>
            <w:vAlign w:val="center"/>
          </w:tcPr>
          <w:p w14:paraId="7C66B610" w14:textId="77777777" w:rsidR="00D21D80" w:rsidRPr="009674F2" w:rsidRDefault="00D21D80" w:rsidP="00C955DB">
            <w:pPr>
              <w:spacing w:after="0" w:line="240" w:lineRule="auto"/>
              <w:jc w:val="both"/>
              <w:rPr>
                <w:rFonts w:ascii="Times New Roman" w:hAnsi="Times New Roman" w:cs="Times New Roman"/>
                <w:noProof/>
                <w:color w:val="006100"/>
              </w:rPr>
            </w:pPr>
            <w:r>
              <w:rPr>
                <w:rFonts w:ascii="Times New Roman" w:hAnsi="Times New Roman"/>
                <w:noProof/>
                <w:color w:val="006100"/>
              </w:rPr>
              <w:t>Завършени проекти в областта на кръговата икономика</w:t>
            </w:r>
          </w:p>
        </w:tc>
      </w:tr>
      <w:tr w:rsidR="00D21D80" w:rsidRPr="005241FC" w14:paraId="7BE94408" w14:textId="77777777" w:rsidTr="2B534C78">
        <w:trPr>
          <w:trHeight w:val="302"/>
          <w:jc w:val="center"/>
        </w:trPr>
        <w:tc>
          <w:tcPr>
            <w:tcW w:w="1207" w:type="dxa"/>
            <w:tcBorders>
              <w:top w:val="nil"/>
              <w:left w:val="single" w:sz="4" w:space="0" w:color="auto"/>
              <w:bottom w:val="single" w:sz="4" w:space="0" w:color="auto"/>
              <w:right w:val="single" w:sz="4" w:space="0" w:color="auto"/>
            </w:tcBorders>
            <w:shd w:val="clear" w:color="auto" w:fill="C6EFCE"/>
            <w:noWrap/>
          </w:tcPr>
          <w:p w14:paraId="0228B216"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78</w:t>
            </w:r>
          </w:p>
        </w:tc>
        <w:tc>
          <w:tcPr>
            <w:tcW w:w="4073" w:type="dxa"/>
            <w:tcBorders>
              <w:top w:val="nil"/>
              <w:left w:val="nil"/>
              <w:bottom w:val="single" w:sz="4" w:space="0" w:color="auto"/>
              <w:right w:val="single" w:sz="4" w:space="0" w:color="auto"/>
            </w:tcBorders>
            <w:shd w:val="clear" w:color="auto" w:fill="C6EFCE"/>
            <w:noWrap/>
          </w:tcPr>
          <w:p w14:paraId="6E44A3D9"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C4I2 Подкрепа за енергия от възобновяеми източници за домакинствата</w:t>
            </w:r>
          </w:p>
        </w:tc>
        <w:tc>
          <w:tcPr>
            <w:tcW w:w="1559" w:type="dxa"/>
            <w:tcBorders>
              <w:top w:val="nil"/>
              <w:left w:val="nil"/>
              <w:bottom w:val="single" w:sz="4" w:space="0" w:color="auto"/>
              <w:right w:val="single" w:sz="4" w:space="0" w:color="auto"/>
            </w:tcBorders>
            <w:shd w:val="clear" w:color="auto" w:fill="C6EFCE"/>
            <w:noWrap/>
          </w:tcPr>
          <w:p w14:paraId="5A4E9BF7"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Цел</w:t>
            </w:r>
          </w:p>
        </w:tc>
        <w:tc>
          <w:tcPr>
            <w:tcW w:w="3438" w:type="dxa"/>
            <w:tcBorders>
              <w:top w:val="nil"/>
              <w:left w:val="nil"/>
              <w:bottom w:val="single" w:sz="4" w:space="0" w:color="auto"/>
              <w:right w:val="single" w:sz="4" w:space="0" w:color="auto"/>
            </w:tcBorders>
            <w:shd w:val="clear" w:color="auto" w:fill="C6EFCE"/>
            <w:noWrap/>
          </w:tcPr>
          <w:p w14:paraId="14C2454C"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Брой подпомагани домакинства, които се възползват от ВЕИ</w:t>
            </w:r>
          </w:p>
        </w:tc>
      </w:tr>
      <w:tr w:rsidR="00D21D80" w:rsidRPr="00F41C75" w14:paraId="22E605AE" w14:textId="77777777" w:rsidTr="2B534C78">
        <w:trPr>
          <w:trHeight w:val="302"/>
          <w:jc w:val="center"/>
        </w:trPr>
        <w:tc>
          <w:tcPr>
            <w:tcW w:w="1207" w:type="dxa"/>
            <w:tcBorders>
              <w:top w:val="nil"/>
              <w:left w:val="single" w:sz="4" w:space="0" w:color="auto"/>
              <w:bottom w:val="single" w:sz="4" w:space="0" w:color="auto"/>
              <w:right w:val="single" w:sz="4" w:space="0" w:color="auto"/>
            </w:tcBorders>
            <w:shd w:val="clear" w:color="auto" w:fill="C6EFCE"/>
            <w:noWrap/>
          </w:tcPr>
          <w:p w14:paraId="3EE3D56D"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111</w:t>
            </w:r>
          </w:p>
        </w:tc>
        <w:tc>
          <w:tcPr>
            <w:tcW w:w="4073" w:type="dxa"/>
            <w:tcBorders>
              <w:top w:val="nil"/>
              <w:left w:val="nil"/>
              <w:bottom w:val="single" w:sz="4" w:space="0" w:color="auto"/>
              <w:right w:val="single" w:sz="4" w:space="0" w:color="auto"/>
            </w:tcBorders>
            <w:shd w:val="clear" w:color="auto" w:fill="C6EFCE"/>
            <w:noWrap/>
          </w:tcPr>
          <w:p w14:paraId="457F8D71" w14:textId="77777777" w:rsidR="00D21D80" w:rsidRPr="009674F2" w:rsidRDefault="00D21D80" w:rsidP="00C955DB">
            <w:pPr>
              <w:spacing w:after="0" w:line="240" w:lineRule="auto"/>
              <w:jc w:val="both"/>
              <w:rPr>
                <w:rFonts w:ascii="Times New Roman" w:hAnsi="Times New Roman" w:cs="Times New Roman"/>
                <w:noProof/>
                <w:color w:val="006100"/>
              </w:rPr>
            </w:pPr>
            <w:r>
              <w:rPr>
                <w:rFonts w:ascii="Times New Roman" w:hAnsi="Times New Roman"/>
                <w:noProof/>
                <w:color w:val="006100"/>
              </w:rPr>
              <w:t>C4I5 Пилотни проекти за производството на зелен водород и биогаз</w:t>
            </w:r>
          </w:p>
        </w:tc>
        <w:tc>
          <w:tcPr>
            <w:tcW w:w="1559" w:type="dxa"/>
            <w:tcBorders>
              <w:top w:val="nil"/>
              <w:left w:val="nil"/>
              <w:bottom w:val="single" w:sz="4" w:space="0" w:color="auto"/>
              <w:right w:val="single" w:sz="4" w:space="0" w:color="auto"/>
            </w:tcBorders>
            <w:shd w:val="clear" w:color="auto" w:fill="C6EFCE"/>
            <w:noWrap/>
          </w:tcPr>
          <w:p w14:paraId="4961EF88" w14:textId="77777777" w:rsidR="00D21D80" w:rsidRPr="009674F2" w:rsidRDefault="00D21D80" w:rsidP="00C955DB">
            <w:pPr>
              <w:spacing w:after="0" w:line="240" w:lineRule="auto"/>
              <w:jc w:val="both"/>
              <w:rPr>
                <w:rFonts w:ascii="Times New Roman" w:hAnsi="Times New Roman" w:cs="Times New Roman"/>
                <w:noProof/>
                <w:color w:val="006100"/>
              </w:rPr>
            </w:pPr>
            <w:r>
              <w:rPr>
                <w:rFonts w:ascii="Times New Roman" w:hAnsi="Times New Roman"/>
                <w:noProof/>
                <w:color w:val="006100"/>
              </w:rPr>
              <w:t>Цел</w:t>
            </w:r>
          </w:p>
        </w:tc>
        <w:tc>
          <w:tcPr>
            <w:tcW w:w="3438" w:type="dxa"/>
            <w:tcBorders>
              <w:top w:val="nil"/>
              <w:left w:val="nil"/>
              <w:bottom w:val="single" w:sz="4" w:space="0" w:color="auto"/>
              <w:right w:val="single" w:sz="4" w:space="0" w:color="auto"/>
            </w:tcBorders>
            <w:shd w:val="clear" w:color="auto" w:fill="C6EFCE"/>
            <w:noWrap/>
          </w:tcPr>
          <w:p w14:paraId="4D2F192F" w14:textId="77777777" w:rsidR="00D21D80" w:rsidRPr="009674F2" w:rsidRDefault="00D21D80" w:rsidP="00C955DB">
            <w:pPr>
              <w:spacing w:after="0" w:line="240" w:lineRule="auto"/>
              <w:jc w:val="both"/>
              <w:rPr>
                <w:rFonts w:ascii="Times New Roman" w:hAnsi="Times New Roman" w:cs="Times New Roman"/>
                <w:noProof/>
                <w:color w:val="006100"/>
              </w:rPr>
            </w:pPr>
            <w:r>
              <w:rPr>
                <w:rFonts w:ascii="Times New Roman" w:hAnsi="Times New Roman"/>
                <w:noProof/>
                <w:color w:val="006100"/>
              </w:rPr>
              <w:t xml:space="preserve">Производство на зелен водород </w:t>
            </w:r>
          </w:p>
        </w:tc>
      </w:tr>
      <w:tr w:rsidR="00D21D80" w:rsidRPr="005241FC" w14:paraId="36CE912D" w14:textId="77777777" w:rsidTr="2B534C78">
        <w:trPr>
          <w:trHeight w:val="302"/>
          <w:jc w:val="center"/>
        </w:trPr>
        <w:tc>
          <w:tcPr>
            <w:tcW w:w="1207" w:type="dxa"/>
            <w:tcBorders>
              <w:top w:val="nil"/>
              <w:left w:val="single" w:sz="4" w:space="0" w:color="auto"/>
              <w:bottom w:val="single" w:sz="4" w:space="0" w:color="auto"/>
              <w:right w:val="single" w:sz="4" w:space="0" w:color="auto"/>
            </w:tcBorders>
            <w:shd w:val="clear" w:color="auto" w:fill="C6EFCE"/>
            <w:noWrap/>
            <w:hideMark/>
          </w:tcPr>
          <w:p w14:paraId="22DC1AB7"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136</w:t>
            </w:r>
          </w:p>
        </w:tc>
        <w:tc>
          <w:tcPr>
            <w:tcW w:w="4073" w:type="dxa"/>
            <w:tcBorders>
              <w:top w:val="nil"/>
              <w:left w:val="nil"/>
              <w:bottom w:val="single" w:sz="4" w:space="0" w:color="auto"/>
              <w:right w:val="single" w:sz="4" w:space="0" w:color="auto"/>
            </w:tcBorders>
            <w:shd w:val="clear" w:color="auto" w:fill="C6EFCE"/>
            <w:noWrap/>
            <w:vAlign w:val="bottom"/>
            <w:hideMark/>
          </w:tcPr>
          <w:p w14:paraId="70F9916E"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C6I2 Цифровизация на процесите от фермата до трапезата</w:t>
            </w:r>
          </w:p>
        </w:tc>
        <w:tc>
          <w:tcPr>
            <w:tcW w:w="1559" w:type="dxa"/>
            <w:tcBorders>
              <w:top w:val="nil"/>
              <w:left w:val="nil"/>
              <w:bottom w:val="single" w:sz="4" w:space="0" w:color="auto"/>
              <w:right w:val="single" w:sz="4" w:space="0" w:color="auto"/>
            </w:tcBorders>
            <w:shd w:val="clear" w:color="auto" w:fill="C6EFCE"/>
            <w:noWrap/>
            <w:vAlign w:val="bottom"/>
            <w:hideMark/>
          </w:tcPr>
          <w:p w14:paraId="314D1695"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 Ключов етап</w:t>
            </w:r>
          </w:p>
        </w:tc>
        <w:tc>
          <w:tcPr>
            <w:tcW w:w="3438" w:type="dxa"/>
            <w:tcBorders>
              <w:top w:val="nil"/>
              <w:left w:val="nil"/>
              <w:bottom w:val="single" w:sz="4" w:space="0" w:color="auto"/>
              <w:right w:val="single" w:sz="4" w:space="0" w:color="auto"/>
            </w:tcBorders>
            <w:shd w:val="clear" w:color="auto" w:fill="C6EFCE"/>
            <w:noWrap/>
            <w:vAlign w:val="bottom"/>
            <w:hideMark/>
          </w:tcPr>
          <w:p w14:paraId="75682213"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 xml:space="preserve">Приключване и предоставяне </w:t>
            </w:r>
          </w:p>
          <w:p w14:paraId="36F02BD6"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 xml:space="preserve">на напълно функционираща 1) електронна селскостопанска информационна система и 2) комуникационна мрежа на датчици за поле и датчици за дъжд </w:t>
            </w:r>
          </w:p>
        </w:tc>
      </w:tr>
      <w:tr w:rsidR="00D21D80" w:rsidRPr="005241FC" w14:paraId="62BE30FD" w14:textId="77777777" w:rsidTr="2B534C78">
        <w:trPr>
          <w:trHeight w:val="302"/>
          <w:jc w:val="center"/>
        </w:trPr>
        <w:tc>
          <w:tcPr>
            <w:tcW w:w="1207" w:type="dxa"/>
            <w:tcBorders>
              <w:top w:val="nil"/>
              <w:left w:val="single" w:sz="4" w:space="0" w:color="auto"/>
              <w:bottom w:val="single" w:sz="4" w:space="0" w:color="auto"/>
              <w:right w:val="single" w:sz="4" w:space="0" w:color="auto"/>
            </w:tcBorders>
            <w:shd w:val="clear" w:color="auto" w:fill="C6EFCE"/>
            <w:noWrap/>
          </w:tcPr>
          <w:p w14:paraId="14E546B3"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201</w:t>
            </w:r>
          </w:p>
        </w:tc>
        <w:tc>
          <w:tcPr>
            <w:tcW w:w="4073" w:type="dxa"/>
            <w:tcBorders>
              <w:top w:val="nil"/>
              <w:left w:val="nil"/>
              <w:bottom w:val="single" w:sz="4" w:space="0" w:color="auto"/>
              <w:right w:val="single" w:sz="4" w:space="0" w:color="auto"/>
            </w:tcBorders>
            <w:shd w:val="clear" w:color="auto" w:fill="C6EFCE"/>
            <w:noWrap/>
          </w:tcPr>
          <w:p w14:paraId="3AD5F7BA"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C8I6 Линия 3 на метрото в София</w:t>
            </w:r>
          </w:p>
        </w:tc>
        <w:tc>
          <w:tcPr>
            <w:tcW w:w="1559" w:type="dxa"/>
            <w:tcBorders>
              <w:top w:val="nil"/>
              <w:left w:val="nil"/>
              <w:bottom w:val="single" w:sz="4" w:space="0" w:color="auto"/>
              <w:right w:val="single" w:sz="4" w:space="0" w:color="auto"/>
            </w:tcBorders>
            <w:shd w:val="clear" w:color="auto" w:fill="C6EFCE"/>
            <w:noWrap/>
          </w:tcPr>
          <w:p w14:paraId="3D8D707A" w14:textId="77777777" w:rsidR="00D21D80" w:rsidRPr="009674F2" w:rsidRDefault="00D21D80" w:rsidP="00C955DB">
            <w:pPr>
              <w:spacing w:after="0" w:line="240" w:lineRule="auto"/>
              <w:jc w:val="both"/>
              <w:rPr>
                <w:rFonts w:ascii="Times New Roman" w:eastAsia="Times New Roman" w:hAnsi="Times New Roman" w:cs="Times New Roman"/>
                <w:noProof/>
                <w:color w:val="FF0000"/>
              </w:rPr>
            </w:pPr>
            <w:r>
              <w:rPr>
                <w:rFonts w:ascii="Times New Roman" w:hAnsi="Times New Roman"/>
                <w:noProof/>
                <w:color w:val="006100"/>
              </w:rPr>
              <w:t>Цел</w:t>
            </w:r>
          </w:p>
        </w:tc>
        <w:tc>
          <w:tcPr>
            <w:tcW w:w="3438" w:type="dxa"/>
            <w:tcBorders>
              <w:top w:val="nil"/>
              <w:left w:val="nil"/>
              <w:bottom w:val="single" w:sz="4" w:space="0" w:color="auto"/>
              <w:right w:val="single" w:sz="4" w:space="0" w:color="auto"/>
            </w:tcBorders>
            <w:shd w:val="clear" w:color="auto" w:fill="C6EFCE"/>
            <w:noWrap/>
          </w:tcPr>
          <w:p w14:paraId="7620C8A4" w14:textId="664B6048"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 xml:space="preserve">Нов участък от линия 3 на метрото в София </w:t>
            </w:r>
          </w:p>
        </w:tc>
      </w:tr>
      <w:tr w:rsidR="00D21D80" w:rsidRPr="005241FC" w14:paraId="100B769E" w14:textId="77777777" w:rsidTr="2B534C78">
        <w:trPr>
          <w:trHeight w:val="302"/>
          <w:jc w:val="center"/>
        </w:trPr>
        <w:tc>
          <w:tcPr>
            <w:tcW w:w="1207" w:type="dxa"/>
            <w:tcBorders>
              <w:top w:val="nil"/>
              <w:left w:val="single" w:sz="4" w:space="0" w:color="auto"/>
              <w:bottom w:val="single" w:sz="4" w:space="0" w:color="auto"/>
              <w:right w:val="single" w:sz="4" w:space="0" w:color="auto"/>
            </w:tcBorders>
            <w:shd w:val="clear" w:color="auto" w:fill="C6EFCE"/>
            <w:noWrap/>
          </w:tcPr>
          <w:p w14:paraId="2B4E6A94"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250</w:t>
            </w:r>
          </w:p>
        </w:tc>
        <w:tc>
          <w:tcPr>
            <w:tcW w:w="4073" w:type="dxa"/>
            <w:tcBorders>
              <w:top w:val="nil"/>
              <w:left w:val="nil"/>
              <w:bottom w:val="single" w:sz="4" w:space="0" w:color="auto"/>
              <w:right w:val="single" w:sz="4" w:space="0" w:color="auto"/>
            </w:tcBorders>
            <w:shd w:val="clear" w:color="auto" w:fill="C6EFCE"/>
            <w:noWrap/>
          </w:tcPr>
          <w:p w14:paraId="7A5B78F8"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C10R10 Обществени поръчки</w:t>
            </w:r>
          </w:p>
        </w:tc>
        <w:tc>
          <w:tcPr>
            <w:tcW w:w="1559" w:type="dxa"/>
            <w:tcBorders>
              <w:top w:val="nil"/>
              <w:left w:val="nil"/>
              <w:bottom w:val="single" w:sz="4" w:space="0" w:color="auto"/>
              <w:right w:val="single" w:sz="4" w:space="0" w:color="auto"/>
            </w:tcBorders>
            <w:shd w:val="clear" w:color="auto" w:fill="C6EFCE"/>
            <w:noWrap/>
          </w:tcPr>
          <w:p w14:paraId="223CADB1"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Цел</w:t>
            </w:r>
          </w:p>
        </w:tc>
        <w:tc>
          <w:tcPr>
            <w:tcW w:w="3438" w:type="dxa"/>
            <w:tcBorders>
              <w:top w:val="nil"/>
              <w:left w:val="nil"/>
              <w:bottom w:val="single" w:sz="4" w:space="0" w:color="auto"/>
              <w:right w:val="single" w:sz="4" w:space="0" w:color="auto"/>
            </w:tcBorders>
            <w:shd w:val="clear" w:color="auto" w:fill="C6EFCE"/>
            <w:noWrap/>
          </w:tcPr>
          <w:p w14:paraId="0CE032D9"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Ограничаване прилагането на процедури на договаряне без предварително обявление</w:t>
            </w:r>
          </w:p>
        </w:tc>
      </w:tr>
      <w:tr w:rsidR="00D21D80" w:rsidRPr="005241FC" w14:paraId="190DAFA9" w14:textId="77777777" w:rsidTr="2B534C78">
        <w:trPr>
          <w:trHeight w:val="302"/>
          <w:jc w:val="center"/>
        </w:trPr>
        <w:tc>
          <w:tcPr>
            <w:tcW w:w="1207" w:type="dxa"/>
            <w:tcBorders>
              <w:top w:val="nil"/>
              <w:left w:val="single" w:sz="4" w:space="0" w:color="auto"/>
              <w:bottom w:val="single" w:sz="4" w:space="0" w:color="auto"/>
              <w:right w:val="single" w:sz="4" w:space="0" w:color="auto"/>
            </w:tcBorders>
            <w:shd w:val="clear" w:color="auto" w:fill="C6EFCE"/>
            <w:noWrap/>
          </w:tcPr>
          <w:p w14:paraId="22D23F53"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262</w:t>
            </w:r>
          </w:p>
        </w:tc>
        <w:tc>
          <w:tcPr>
            <w:tcW w:w="4073" w:type="dxa"/>
            <w:tcBorders>
              <w:top w:val="nil"/>
              <w:left w:val="nil"/>
              <w:bottom w:val="single" w:sz="4" w:space="0" w:color="auto"/>
              <w:right w:val="single" w:sz="4" w:space="0" w:color="auto"/>
            </w:tcBorders>
            <w:shd w:val="clear" w:color="auto" w:fill="C6EFCE"/>
            <w:noWrap/>
          </w:tcPr>
          <w:p w14:paraId="76D42845"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C10I2 Цифровизация на ключови съдопроизводствени процеси в системата на административното правораздаване</w:t>
            </w:r>
          </w:p>
        </w:tc>
        <w:tc>
          <w:tcPr>
            <w:tcW w:w="1559" w:type="dxa"/>
            <w:tcBorders>
              <w:top w:val="nil"/>
              <w:left w:val="nil"/>
              <w:bottom w:val="single" w:sz="4" w:space="0" w:color="auto"/>
              <w:right w:val="single" w:sz="4" w:space="0" w:color="auto"/>
            </w:tcBorders>
            <w:shd w:val="clear" w:color="auto" w:fill="C6EFCE"/>
            <w:noWrap/>
          </w:tcPr>
          <w:p w14:paraId="4419C618"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Ключов етап</w:t>
            </w:r>
          </w:p>
        </w:tc>
        <w:tc>
          <w:tcPr>
            <w:tcW w:w="3438" w:type="dxa"/>
            <w:tcBorders>
              <w:top w:val="nil"/>
              <w:left w:val="nil"/>
              <w:bottom w:val="single" w:sz="4" w:space="0" w:color="auto"/>
              <w:right w:val="single" w:sz="4" w:space="0" w:color="auto"/>
            </w:tcBorders>
            <w:shd w:val="clear" w:color="auto" w:fill="C6EFCE"/>
            <w:noWrap/>
          </w:tcPr>
          <w:p w14:paraId="2BD15745"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 xml:space="preserve">Закупуване и внедряване на хардуер за съхранение на данни в център за данни на Висшия съдебен съвет </w:t>
            </w:r>
          </w:p>
        </w:tc>
      </w:tr>
      <w:tr w:rsidR="00D21D80" w:rsidRPr="00F41C75" w14:paraId="11FA72EE" w14:textId="77777777" w:rsidTr="2B534C78">
        <w:trPr>
          <w:trHeight w:val="302"/>
          <w:jc w:val="center"/>
        </w:trPr>
        <w:tc>
          <w:tcPr>
            <w:tcW w:w="1207" w:type="dxa"/>
            <w:tcBorders>
              <w:top w:val="nil"/>
              <w:left w:val="single" w:sz="4" w:space="0" w:color="auto"/>
              <w:bottom w:val="single" w:sz="4" w:space="0" w:color="auto"/>
              <w:right w:val="single" w:sz="4" w:space="0" w:color="auto"/>
            </w:tcBorders>
            <w:shd w:val="clear" w:color="auto" w:fill="C6EFCE"/>
            <w:noWrap/>
          </w:tcPr>
          <w:p w14:paraId="3D18A5B6"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278</w:t>
            </w:r>
          </w:p>
        </w:tc>
        <w:tc>
          <w:tcPr>
            <w:tcW w:w="4073" w:type="dxa"/>
            <w:tcBorders>
              <w:top w:val="nil"/>
              <w:left w:val="nil"/>
              <w:bottom w:val="single" w:sz="4" w:space="0" w:color="auto"/>
              <w:right w:val="single" w:sz="4" w:space="0" w:color="auto"/>
            </w:tcBorders>
            <w:shd w:val="clear" w:color="auto" w:fill="C6EFCE"/>
            <w:noWrap/>
          </w:tcPr>
          <w:p w14:paraId="7599FD3F"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C10I10 Модернизирана система за стратегическо планиране</w:t>
            </w:r>
          </w:p>
        </w:tc>
        <w:tc>
          <w:tcPr>
            <w:tcW w:w="1559" w:type="dxa"/>
            <w:tcBorders>
              <w:top w:val="nil"/>
              <w:left w:val="nil"/>
              <w:bottom w:val="single" w:sz="4" w:space="0" w:color="auto"/>
              <w:right w:val="single" w:sz="4" w:space="0" w:color="auto"/>
            </w:tcBorders>
            <w:shd w:val="clear" w:color="auto" w:fill="C6EFCE"/>
            <w:noWrap/>
          </w:tcPr>
          <w:p w14:paraId="2F955AB1"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Цел</w:t>
            </w:r>
          </w:p>
        </w:tc>
        <w:tc>
          <w:tcPr>
            <w:tcW w:w="3438" w:type="dxa"/>
            <w:tcBorders>
              <w:top w:val="nil"/>
              <w:left w:val="nil"/>
              <w:bottom w:val="single" w:sz="4" w:space="0" w:color="auto"/>
              <w:right w:val="single" w:sz="4" w:space="0" w:color="auto"/>
            </w:tcBorders>
            <w:shd w:val="clear" w:color="auto" w:fill="C6EFCE"/>
            <w:noWrap/>
          </w:tcPr>
          <w:p w14:paraId="0FC4F512"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Модернизирана система за стратегическо планиране</w:t>
            </w:r>
          </w:p>
        </w:tc>
      </w:tr>
      <w:tr w:rsidR="00D21D80" w:rsidRPr="005241FC" w14:paraId="660FD1FB" w14:textId="77777777" w:rsidTr="2B534C78">
        <w:trPr>
          <w:trHeight w:val="302"/>
          <w:jc w:val="center"/>
        </w:trPr>
        <w:tc>
          <w:tcPr>
            <w:tcW w:w="1207" w:type="dxa"/>
            <w:tcBorders>
              <w:top w:val="nil"/>
              <w:left w:val="single" w:sz="4" w:space="0" w:color="auto"/>
              <w:bottom w:val="single" w:sz="4" w:space="0" w:color="auto"/>
              <w:right w:val="single" w:sz="4" w:space="0" w:color="auto"/>
            </w:tcBorders>
            <w:shd w:val="clear" w:color="auto" w:fill="C6EFCE"/>
            <w:noWrap/>
          </w:tcPr>
          <w:p w14:paraId="5017E190"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285</w:t>
            </w:r>
          </w:p>
        </w:tc>
        <w:tc>
          <w:tcPr>
            <w:tcW w:w="4073" w:type="dxa"/>
            <w:tcBorders>
              <w:top w:val="nil"/>
              <w:left w:val="nil"/>
              <w:bottom w:val="single" w:sz="4" w:space="0" w:color="auto"/>
              <w:right w:val="single" w:sz="4" w:space="0" w:color="auto"/>
            </w:tcBorders>
            <w:shd w:val="clear" w:color="auto" w:fill="C6EFCE"/>
            <w:noWrap/>
          </w:tcPr>
          <w:p w14:paraId="3F3527A1"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C10I11 Осигуряване на адекватна информационна и административна среда за изпълнение на Плана за възстановяване и устойчивост</w:t>
            </w:r>
          </w:p>
        </w:tc>
        <w:tc>
          <w:tcPr>
            <w:tcW w:w="1559" w:type="dxa"/>
            <w:tcBorders>
              <w:top w:val="nil"/>
              <w:left w:val="nil"/>
              <w:bottom w:val="single" w:sz="4" w:space="0" w:color="auto"/>
              <w:right w:val="single" w:sz="4" w:space="0" w:color="auto"/>
            </w:tcBorders>
            <w:shd w:val="clear" w:color="auto" w:fill="C6EFCE"/>
            <w:noWrap/>
          </w:tcPr>
          <w:p w14:paraId="753E2EEA"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Цел</w:t>
            </w:r>
          </w:p>
        </w:tc>
        <w:tc>
          <w:tcPr>
            <w:tcW w:w="3438" w:type="dxa"/>
            <w:tcBorders>
              <w:top w:val="nil"/>
              <w:left w:val="nil"/>
              <w:bottom w:val="single" w:sz="4" w:space="0" w:color="auto"/>
              <w:right w:val="single" w:sz="4" w:space="0" w:color="auto"/>
            </w:tcBorders>
            <w:shd w:val="clear" w:color="auto" w:fill="C6EFCE"/>
            <w:noWrap/>
          </w:tcPr>
          <w:p w14:paraId="6D9AC8A2"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Крайни получатели, преминали обучение за гарантиране на капацитет за изпълнение на плана за възстановяване и устойчивост</w:t>
            </w:r>
          </w:p>
        </w:tc>
      </w:tr>
      <w:tr w:rsidR="00D21D80" w:rsidRPr="005241FC" w14:paraId="056F87AD" w14:textId="77777777" w:rsidTr="2B534C78">
        <w:trPr>
          <w:trHeight w:val="302"/>
          <w:jc w:val="center"/>
        </w:trPr>
        <w:tc>
          <w:tcPr>
            <w:tcW w:w="1207" w:type="dxa"/>
            <w:tcBorders>
              <w:top w:val="nil"/>
              <w:left w:val="single" w:sz="4" w:space="0" w:color="auto"/>
              <w:bottom w:val="single" w:sz="4" w:space="0" w:color="auto"/>
              <w:right w:val="single" w:sz="4" w:space="0" w:color="auto"/>
            </w:tcBorders>
            <w:shd w:val="clear" w:color="auto" w:fill="C6EFCE"/>
            <w:noWrap/>
          </w:tcPr>
          <w:p w14:paraId="2CD5C797"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301</w:t>
            </w:r>
          </w:p>
        </w:tc>
        <w:tc>
          <w:tcPr>
            <w:tcW w:w="4073" w:type="dxa"/>
            <w:tcBorders>
              <w:top w:val="nil"/>
              <w:left w:val="nil"/>
              <w:bottom w:val="single" w:sz="4" w:space="0" w:color="auto"/>
              <w:right w:val="single" w:sz="4" w:space="0" w:color="auto"/>
            </w:tcBorders>
            <w:shd w:val="clear" w:color="auto" w:fill="C6EFCE"/>
            <w:noWrap/>
          </w:tcPr>
          <w:p w14:paraId="2056C58C"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C11I3 Развитие на социалната икономика</w:t>
            </w:r>
          </w:p>
        </w:tc>
        <w:tc>
          <w:tcPr>
            <w:tcW w:w="1559" w:type="dxa"/>
            <w:tcBorders>
              <w:top w:val="nil"/>
              <w:left w:val="nil"/>
              <w:bottom w:val="single" w:sz="4" w:space="0" w:color="auto"/>
              <w:right w:val="single" w:sz="4" w:space="0" w:color="auto"/>
            </w:tcBorders>
            <w:shd w:val="clear" w:color="auto" w:fill="C6EFCE"/>
            <w:noWrap/>
          </w:tcPr>
          <w:p w14:paraId="3BE54F98"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Цел</w:t>
            </w:r>
          </w:p>
        </w:tc>
        <w:tc>
          <w:tcPr>
            <w:tcW w:w="3438" w:type="dxa"/>
            <w:tcBorders>
              <w:top w:val="nil"/>
              <w:left w:val="nil"/>
              <w:bottom w:val="single" w:sz="4" w:space="0" w:color="auto"/>
              <w:right w:val="single" w:sz="4" w:space="0" w:color="auto"/>
            </w:tcBorders>
            <w:shd w:val="clear" w:color="auto" w:fill="C6EFCE"/>
            <w:noWrap/>
          </w:tcPr>
          <w:p w14:paraId="672B5BD9"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Социални предприятия, получаващи цифрово оборудване</w:t>
            </w:r>
          </w:p>
        </w:tc>
      </w:tr>
      <w:tr w:rsidR="00D21D80" w:rsidRPr="005241FC" w14:paraId="13937DED" w14:textId="77777777" w:rsidTr="2B534C78">
        <w:trPr>
          <w:trHeight w:val="302"/>
          <w:jc w:val="center"/>
        </w:trPr>
        <w:tc>
          <w:tcPr>
            <w:tcW w:w="1207" w:type="dxa"/>
            <w:tcBorders>
              <w:top w:val="nil"/>
              <w:left w:val="single" w:sz="4" w:space="0" w:color="auto"/>
              <w:bottom w:val="single" w:sz="4" w:space="0" w:color="auto"/>
              <w:right w:val="single" w:sz="4" w:space="0" w:color="auto"/>
            </w:tcBorders>
            <w:shd w:val="clear" w:color="auto" w:fill="C6EFCE"/>
            <w:noWrap/>
          </w:tcPr>
          <w:p w14:paraId="22B4A448"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302</w:t>
            </w:r>
          </w:p>
        </w:tc>
        <w:tc>
          <w:tcPr>
            <w:tcW w:w="4073" w:type="dxa"/>
            <w:tcBorders>
              <w:top w:val="nil"/>
              <w:left w:val="nil"/>
              <w:bottom w:val="single" w:sz="4" w:space="0" w:color="auto"/>
              <w:right w:val="single" w:sz="4" w:space="0" w:color="auto"/>
            </w:tcBorders>
            <w:shd w:val="clear" w:color="auto" w:fill="C6EFCE"/>
            <w:noWrap/>
          </w:tcPr>
          <w:p w14:paraId="070F2CFC" w14:textId="77777777" w:rsidR="00D21D80" w:rsidRPr="009674F2" w:rsidRDefault="00D21D80" w:rsidP="00C955DB">
            <w:pPr>
              <w:spacing w:after="0" w:line="240" w:lineRule="auto"/>
              <w:jc w:val="both"/>
              <w:rPr>
                <w:rFonts w:ascii="Times New Roman" w:hAnsi="Times New Roman" w:cs="Times New Roman"/>
                <w:noProof/>
                <w:color w:val="006100"/>
              </w:rPr>
            </w:pPr>
            <w:r>
              <w:rPr>
                <w:rFonts w:ascii="Times New Roman" w:hAnsi="Times New Roman"/>
                <w:noProof/>
                <w:color w:val="006100"/>
              </w:rPr>
              <w:t>C11I3 Развитие на социалната икономика</w:t>
            </w:r>
          </w:p>
        </w:tc>
        <w:tc>
          <w:tcPr>
            <w:tcW w:w="1559" w:type="dxa"/>
            <w:tcBorders>
              <w:top w:val="nil"/>
              <w:left w:val="nil"/>
              <w:bottom w:val="single" w:sz="4" w:space="0" w:color="auto"/>
              <w:right w:val="single" w:sz="4" w:space="0" w:color="auto"/>
            </w:tcBorders>
            <w:shd w:val="clear" w:color="auto" w:fill="C6EFCE"/>
            <w:noWrap/>
          </w:tcPr>
          <w:p w14:paraId="6C3D7651" w14:textId="77777777" w:rsidR="00D21D80" w:rsidRPr="009674F2" w:rsidRDefault="00D21D80" w:rsidP="00C955DB">
            <w:pPr>
              <w:spacing w:after="0" w:line="240" w:lineRule="auto"/>
              <w:jc w:val="both"/>
              <w:rPr>
                <w:rFonts w:ascii="Times New Roman" w:hAnsi="Times New Roman" w:cs="Times New Roman"/>
                <w:noProof/>
                <w:color w:val="006100"/>
              </w:rPr>
            </w:pPr>
            <w:r>
              <w:rPr>
                <w:rFonts w:ascii="Times New Roman" w:hAnsi="Times New Roman"/>
                <w:noProof/>
                <w:color w:val="006100"/>
              </w:rPr>
              <w:t xml:space="preserve"> Ключов етап</w:t>
            </w:r>
          </w:p>
        </w:tc>
        <w:tc>
          <w:tcPr>
            <w:tcW w:w="3438" w:type="dxa"/>
            <w:tcBorders>
              <w:top w:val="nil"/>
              <w:left w:val="nil"/>
              <w:bottom w:val="single" w:sz="4" w:space="0" w:color="auto"/>
              <w:right w:val="single" w:sz="4" w:space="0" w:color="auto"/>
            </w:tcBorders>
            <w:shd w:val="clear" w:color="auto" w:fill="C6EFCE"/>
            <w:noWrap/>
          </w:tcPr>
          <w:p w14:paraId="0CF0F92A" w14:textId="77777777" w:rsidR="00D21D80" w:rsidRPr="009674F2" w:rsidRDefault="00D21D80" w:rsidP="00C955DB">
            <w:pPr>
              <w:spacing w:after="0" w:line="240" w:lineRule="auto"/>
              <w:jc w:val="both"/>
              <w:rPr>
                <w:rFonts w:ascii="Times New Roman" w:hAnsi="Times New Roman" w:cs="Times New Roman"/>
                <w:noProof/>
                <w:color w:val="006100"/>
              </w:rPr>
            </w:pPr>
            <w:r>
              <w:rPr>
                <w:rFonts w:ascii="Times New Roman" w:hAnsi="Times New Roman"/>
                <w:noProof/>
                <w:color w:val="006100"/>
              </w:rPr>
              <w:t>Доклад за дейностите, извършени от фокус-точките</w:t>
            </w:r>
          </w:p>
        </w:tc>
      </w:tr>
      <w:tr w:rsidR="00D21D80" w:rsidRPr="005241FC" w14:paraId="21F7B554" w14:textId="77777777" w:rsidTr="2B534C78">
        <w:trPr>
          <w:trHeight w:val="302"/>
          <w:jc w:val="center"/>
        </w:trPr>
        <w:tc>
          <w:tcPr>
            <w:tcW w:w="1207" w:type="dxa"/>
            <w:tcBorders>
              <w:top w:val="nil"/>
              <w:left w:val="single" w:sz="4" w:space="0" w:color="auto"/>
              <w:bottom w:val="single" w:sz="4" w:space="0" w:color="auto"/>
              <w:right w:val="single" w:sz="4" w:space="0" w:color="auto"/>
            </w:tcBorders>
            <w:shd w:val="clear" w:color="auto" w:fill="C6EFCE"/>
            <w:noWrap/>
          </w:tcPr>
          <w:p w14:paraId="1C52B362"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293</w:t>
            </w:r>
          </w:p>
        </w:tc>
        <w:tc>
          <w:tcPr>
            <w:tcW w:w="4073" w:type="dxa"/>
            <w:tcBorders>
              <w:top w:val="nil"/>
              <w:left w:val="nil"/>
              <w:bottom w:val="single" w:sz="4" w:space="0" w:color="auto"/>
              <w:right w:val="single" w:sz="4" w:space="0" w:color="auto"/>
            </w:tcBorders>
            <w:shd w:val="clear" w:color="auto" w:fill="C6EFCE"/>
            <w:noWrap/>
          </w:tcPr>
          <w:p w14:paraId="2BB8789D" w14:textId="77777777" w:rsidR="00D21D80" w:rsidRPr="009674F2" w:rsidRDefault="00D21D80" w:rsidP="00C955DB">
            <w:pPr>
              <w:spacing w:after="0"/>
              <w:jc w:val="both"/>
              <w:rPr>
                <w:rFonts w:ascii="Times New Roman" w:hAnsi="Times New Roman" w:cs="Times New Roman"/>
                <w:noProof/>
                <w:color w:val="006100"/>
              </w:rPr>
            </w:pPr>
            <w:r>
              <w:rPr>
                <w:rFonts w:ascii="Times New Roman" w:hAnsi="Times New Roman"/>
                <w:noProof/>
                <w:color w:val="006100"/>
              </w:rPr>
              <w:t>C11I1 Модернизация на дългосрочните грижи</w:t>
            </w:r>
          </w:p>
        </w:tc>
        <w:tc>
          <w:tcPr>
            <w:tcW w:w="1559" w:type="dxa"/>
            <w:tcBorders>
              <w:top w:val="nil"/>
              <w:left w:val="nil"/>
              <w:bottom w:val="single" w:sz="4" w:space="0" w:color="auto"/>
              <w:right w:val="single" w:sz="4" w:space="0" w:color="auto"/>
            </w:tcBorders>
            <w:shd w:val="clear" w:color="auto" w:fill="C6EFCE"/>
            <w:noWrap/>
          </w:tcPr>
          <w:p w14:paraId="5EF7F9D9" w14:textId="77777777" w:rsidR="00D21D80" w:rsidRPr="009674F2" w:rsidRDefault="00D21D80" w:rsidP="00C955DB">
            <w:pPr>
              <w:spacing w:after="0" w:line="240" w:lineRule="auto"/>
              <w:jc w:val="both"/>
              <w:rPr>
                <w:rFonts w:ascii="Times New Roman" w:hAnsi="Times New Roman" w:cs="Times New Roman"/>
                <w:noProof/>
                <w:color w:val="006100"/>
              </w:rPr>
            </w:pPr>
            <w:r>
              <w:rPr>
                <w:rFonts w:ascii="Times New Roman" w:hAnsi="Times New Roman"/>
                <w:noProof/>
                <w:color w:val="006100"/>
              </w:rPr>
              <w:t>Цел</w:t>
            </w:r>
          </w:p>
        </w:tc>
        <w:tc>
          <w:tcPr>
            <w:tcW w:w="3438" w:type="dxa"/>
            <w:tcBorders>
              <w:top w:val="nil"/>
              <w:left w:val="nil"/>
              <w:bottom w:val="single" w:sz="4" w:space="0" w:color="auto"/>
              <w:right w:val="single" w:sz="4" w:space="0" w:color="auto"/>
            </w:tcBorders>
            <w:shd w:val="clear" w:color="auto" w:fill="C6EFCE"/>
            <w:noWrap/>
          </w:tcPr>
          <w:p w14:paraId="6A38D95D" w14:textId="77777777" w:rsidR="00D21D80" w:rsidRPr="009674F2" w:rsidRDefault="00D21D80" w:rsidP="00C955DB">
            <w:pPr>
              <w:spacing w:after="0" w:line="240" w:lineRule="auto"/>
              <w:jc w:val="both"/>
              <w:rPr>
                <w:rFonts w:ascii="Times New Roman" w:hAnsi="Times New Roman" w:cs="Times New Roman"/>
                <w:noProof/>
                <w:color w:val="006100"/>
              </w:rPr>
            </w:pPr>
            <w:r>
              <w:rPr>
                <w:rFonts w:ascii="Times New Roman" w:hAnsi="Times New Roman"/>
                <w:noProof/>
                <w:color w:val="006100"/>
              </w:rPr>
              <w:t xml:space="preserve">Ремонт на домове за стари хора </w:t>
            </w:r>
          </w:p>
        </w:tc>
      </w:tr>
      <w:tr w:rsidR="00D21D80" w:rsidRPr="005241FC" w14:paraId="49E07FC8" w14:textId="77777777" w:rsidTr="2B534C78">
        <w:trPr>
          <w:trHeight w:val="302"/>
          <w:jc w:val="center"/>
        </w:trPr>
        <w:tc>
          <w:tcPr>
            <w:tcW w:w="1207" w:type="dxa"/>
            <w:tcBorders>
              <w:top w:val="nil"/>
              <w:left w:val="single" w:sz="4" w:space="0" w:color="auto"/>
              <w:bottom w:val="single" w:sz="4" w:space="0" w:color="auto"/>
              <w:right w:val="single" w:sz="4" w:space="0" w:color="auto"/>
            </w:tcBorders>
            <w:shd w:val="clear" w:color="auto" w:fill="C6EFCE"/>
            <w:noWrap/>
          </w:tcPr>
          <w:p w14:paraId="36F42A9D"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308</w:t>
            </w:r>
          </w:p>
        </w:tc>
        <w:tc>
          <w:tcPr>
            <w:tcW w:w="4073" w:type="dxa"/>
            <w:tcBorders>
              <w:top w:val="nil"/>
              <w:left w:val="nil"/>
              <w:bottom w:val="single" w:sz="4" w:space="0" w:color="auto"/>
              <w:right w:val="single" w:sz="4" w:space="0" w:color="auto"/>
            </w:tcBorders>
            <w:shd w:val="clear" w:color="auto" w:fill="C6EFCE"/>
            <w:noWrap/>
          </w:tcPr>
          <w:p w14:paraId="50138D5E" w14:textId="77777777" w:rsidR="00D21D80" w:rsidRPr="009674F2" w:rsidRDefault="00D21D80" w:rsidP="00C955DB">
            <w:pPr>
              <w:spacing w:after="0"/>
              <w:jc w:val="both"/>
              <w:rPr>
                <w:rFonts w:ascii="Times New Roman" w:hAnsi="Times New Roman" w:cs="Times New Roman"/>
                <w:noProof/>
                <w:color w:val="006100"/>
              </w:rPr>
            </w:pPr>
            <w:r>
              <w:rPr>
                <w:rFonts w:ascii="Times New Roman" w:hAnsi="Times New Roman"/>
                <w:noProof/>
                <w:color w:val="006100"/>
              </w:rPr>
              <w:t>C11I6 Развитие на културния и творческия сектори</w:t>
            </w:r>
          </w:p>
        </w:tc>
        <w:tc>
          <w:tcPr>
            <w:tcW w:w="1559" w:type="dxa"/>
            <w:tcBorders>
              <w:top w:val="nil"/>
              <w:left w:val="nil"/>
              <w:bottom w:val="single" w:sz="4" w:space="0" w:color="auto"/>
              <w:right w:val="single" w:sz="4" w:space="0" w:color="auto"/>
            </w:tcBorders>
            <w:shd w:val="clear" w:color="auto" w:fill="C6EFCE"/>
            <w:noWrap/>
          </w:tcPr>
          <w:p w14:paraId="1923422B" w14:textId="77777777" w:rsidR="00D21D80" w:rsidRPr="009674F2" w:rsidRDefault="00D21D80" w:rsidP="00C955DB">
            <w:pPr>
              <w:spacing w:after="0" w:line="240" w:lineRule="auto"/>
              <w:jc w:val="both"/>
              <w:rPr>
                <w:rFonts w:ascii="Times New Roman" w:hAnsi="Times New Roman" w:cs="Times New Roman"/>
                <w:noProof/>
                <w:color w:val="006100"/>
              </w:rPr>
            </w:pPr>
            <w:r>
              <w:rPr>
                <w:rFonts w:ascii="Times New Roman" w:hAnsi="Times New Roman"/>
                <w:noProof/>
                <w:color w:val="006100"/>
              </w:rPr>
              <w:t>Цел</w:t>
            </w:r>
          </w:p>
        </w:tc>
        <w:tc>
          <w:tcPr>
            <w:tcW w:w="3438" w:type="dxa"/>
            <w:tcBorders>
              <w:top w:val="nil"/>
              <w:left w:val="nil"/>
              <w:bottom w:val="single" w:sz="4" w:space="0" w:color="auto"/>
              <w:right w:val="single" w:sz="4" w:space="0" w:color="auto"/>
            </w:tcBorders>
            <w:shd w:val="clear" w:color="auto" w:fill="C6EFCE"/>
            <w:noWrap/>
          </w:tcPr>
          <w:p w14:paraId="78AE1820" w14:textId="77777777" w:rsidR="00D21D80" w:rsidRPr="009674F2" w:rsidRDefault="00D21D80" w:rsidP="00C955DB">
            <w:pPr>
              <w:spacing w:after="0" w:line="240" w:lineRule="auto"/>
              <w:jc w:val="both"/>
              <w:rPr>
                <w:rFonts w:ascii="Times New Roman" w:hAnsi="Times New Roman" w:cs="Times New Roman"/>
                <w:noProof/>
                <w:color w:val="006100"/>
              </w:rPr>
            </w:pPr>
            <w:r>
              <w:rPr>
                <w:rFonts w:ascii="Times New Roman" w:hAnsi="Times New Roman"/>
                <w:noProof/>
                <w:color w:val="006100"/>
              </w:rPr>
              <w:t xml:space="preserve">Подкрепа за европейското културно сътрудничество </w:t>
            </w:r>
          </w:p>
        </w:tc>
      </w:tr>
      <w:tr w:rsidR="00D21D80" w:rsidRPr="005241FC" w14:paraId="522C6AB1" w14:textId="77777777" w:rsidTr="2B534C78">
        <w:trPr>
          <w:trHeight w:val="302"/>
          <w:jc w:val="center"/>
        </w:trPr>
        <w:tc>
          <w:tcPr>
            <w:tcW w:w="1207" w:type="dxa"/>
            <w:tcBorders>
              <w:top w:val="nil"/>
              <w:left w:val="single" w:sz="4" w:space="0" w:color="auto"/>
              <w:bottom w:val="single" w:sz="4" w:space="0" w:color="auto"/>
              <w:right w:val="single" w:sz="4" w:space="0" w:color="auto"/>
            </w:tcBorders>
            <w:shd w:val="clear" w:color="auto" w:fill="C6EFCE"/>
            <w:noWrap/>
          </w:tcPr>
          <w:p w14:paraId="4492F4BF"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309</w:t>
            </w:r>
          </w:p>
        </w:tc>
        <w:tc>
          <w:tcPr>
            <w:tcW w:w="4073" w:type="dxa"/>
            <w:tcBorders>
              <w:top w:val="nil"/>
              <w:left w:val="nil"/>
              <w:bottom w:val="single" w:sz="4" w:space="0" w:color="auto"/>
              <w:right w:val="single" w:sz="4" w:space="0" w:color="auto"/>
            </w:tcBorders>
            <w:shd w:val="clear" w:color="auto" w:fill="C6EFCE"/>
            <w:noWrap/>
          </w:tcPr>
          <w:p w14:paraId="54C41C1A" w14:textId="77777777" w:rsidR="00D21D80" w:rsidRPr="009674F2" w:rsidRDefault="00D21D80" w:rsidP="00C955DB">
            <w:pPr>
              <w:spacing w:after="0"/>
              <w:jc w:val="both"/>
              <w:rPr>
                <w:rFonts w:ascii="Times New Roman" w:hAnsi="Times New Roman" w:cs="Times New Roman"/>
                <w:noProof/>
                <w:color w:val="006100"/>
              </w:rPr>
            </w:pPr>
            <w:r>
              <w:rPr>
                <w:rFonts w:ascii="Times New Roman" w:hAnsi="Times New Roman"/>
                <w:noProof/>
                <w:color w:val="006100"/>
              </w:rPr>
              <w:t>C11I6 Развитие на културния и творческия сектори</w:t>
            </w:r>
          </w:p>
        </w:tc>
        <w:tc>
          <w:tcPr>
            <w:tcW w:w="1559" w:type="dxa"/>
            <w:tcBorders>
              <w:top w:val="nil"/>
              <w:left w:val="nil"/>
              <w:bottom w:val="single" w:sz="4" w:space="0" w:color="auto"/>
              <w:right w:val="single" w:sz="4" w:space="0" w:color="auto"/>
            </w:tcBorders>
            <w:shd w:val="clear" w:color="auto" w:fill="C6EFCE"/>
            <w:noWrap/>
          </w:tcPr>
          <w:p w14:paraId="0276EDB0" w14:textId="77777777" w:rsidR="00D21D80" w:rsidRPr="009674F2" w:rsidRDefault="00D21D80" w:rsidP="00C955DB">
            <w:pPr>
              <w:spacing w:after="0" w:line="240" w:lineRule="auto"/>
              <w:jc w:val="both"/>
              <w:rPr>
                <w:rFonts w:ascii="Times New Roman" w:hAnsi="Times New Roman" w:cs="Times New Roman"/>
                <w:noProof/>
                <w:color w:val="006100"/>
              </w:rPr>
            </w:pPr>
            <w:r>
              <w:rPr>
                <w:rFonts w:ascii="Times New Roman" w:hAnsi="Times New Roman"/>
                <w:noProof/>
                <w:color w:val="006100"/>
              </w:rPr>
              <w:t>Цел</w:t>
            </w:r>
          </w:p>
        </w:tc>
        <w:tc>
          <w:tcPr>
            <w:tcW w:w="3438" w:type="dxa"/>
            <w:tcBorders>
              <w:top w:val="nil"/>
              <w:left w:val="nil"/>
              <w:bottom w:val="single" w:sz="4" w:space="0" w:color="auto"/>
              <w:right w:val="single" w:sz="4" w:space="0" w:color="auto"/>
            </w:tcBorders>
            <w:shd w:val="clear" w:color="auto" w:fill="C6EFCE"/>
            <w:noWrap/>
          </w:tcPr>
          <w:p w14:paraId="27891D0E" w14:textId="77777777" w:rsidR="00D21D80" w:rsidRPr="009674F2" w:rsidRDefault="00D21D80" w:rsidP="00C955DB">
            <w:pPr>
              <w:spacing w:after="0" w:line="240" w:lineRule="auto"/>
              <w:jc w:val="both"/>
              <w:rPr>
                <w:rFonts w:ascii="Times New Roman" w:hAnsi="Times New Roman" w:cs="Times New Roman"/>
                <w:noProof/>
                <w:color w:val="006100"/>
              </w:rPr>
            </w:pPr>
            <w:r>
              <w:rPr>
                <w:rFonts w:ascii="Times New Roman" w:hAnsi="Times New Roman"/>
                <w:noProof/>
                <w:color w:val="006100"/>
              </w:rPr>
              <w:t>Подкрепа за разпространението на културно съдържание</w:t>
            </w:r>
          </w:p>
        </w:tc>
      </w:tr>
      <w:tr w:rsidR="00D21D80" w:rsidRPr="005241FC" w14:paraId="6AA4E536" w14:textId="77777777" w:rsidTr="2B534C78">
        <w:trPr>
          <w:trHeight w:val="302"/>
          <w:jc w:val="center"/>
        </w:trPr>
        <w:tc>
          <w:tcPr>
            <w:tcW w:w="1207" w:type="dxa"/>
            <w:tcBorders>
              <w:top w:val="nil"/>
              <w:left w:val="single" w:sz="4" w:space="0" w:color="auto"/>
              <w:bottom w:val="single" w:sz="4" w:space="0" w:color="auto"/>
              <w:right w:val="single" w:sz="4" w:space="0" w:color="auto"/>
            </w:tcBorders>
            <w:shd w:val="clear" w:color="auto" w:fill="C6EFCE"/>
            <w:noWrap/>
          </w:tcPr>
          <w:p w14:paraId="0D05F985"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310</w:t>
            </w:r>
          </w:p>
        </w:tc>
        <w:tc>
          <w:tcPr>
            <w:tcW w:w="4073" w:type="dxa"/>
            <w:tcBorders>
              <w:top w:val="nil"/>
              <w:left w:val="nil"/>
              <w:bottom w:val="single" w:sz="4" w:space="0" w:color="auto"/>
              <w:right w:val="single" w:sz="4" w:space="0" w:color="auto"/>
            </w:tcBorders>
            <w:shd w:val="clear" w:color="auto" w:fill="C6EFCE"/>
            <w:noWrap/>
          </w:tcPr>
          <w:p w14:paraId="39422867" w14:textId="77777777" w:rsidR="00D21D80" w:rsidRPr="009674F2" w:rsidRDefault="00D21D80" w:rsidP="00C955DB">
            <w:pPr>
              <w:spacing w:after="0"/>
              <w:jc w:val="both"/>
              <w:rPr>
                <w:rFonts w:ascii="Times New Roman" w:hAnsi="Times New Roman" w:cs="Times New Roman"/>
                <w:noProof/>
                <w:color w:val="006100"/>
              </w:rPr>
            </w:pPr>
            <w:r>
              <w:rPr>
                <w:rFonts w:ascii="Times New Roman" w:hAnsi="Times New Roman"/>
                <w:noProof/>
                <w:color w:val="006100"/>
              </w:rPr>
              <w:t>C11I6 Развитие на културния и творческия сектори</w:t>
            </w:r>
          </w:p>
        </w:tc>
        <w:tc>
          <w:tcPr>
            <w:tcW w:w="1559" w:type="dxa"/>
            <w:tcBorders>
              <w:top w:val="nil"/>
              <w:left w:val="nil"/>
              <w:bottom w:val="single" w:sz="4" w:space="0" w:color="auto"/>
              <w:right w:val="single" w:sz="4" w:space="0" w:color="auto"/>
            </w:tcBorders>
            <w:shd w:val="clear" w:color="auto" w:fill="C6EFCE"/>
            <w:noWrap/>
          </w:tcPr>
          <w:p w14:paraId="3A14BD07" w14:textId="77777777" w:rsidR="00D21D80" w:rsidRPr="009674F2" w:rsidRDefault="00D21D80" w:rsidP="00C955DB">
            <w:pPr>
              <w:spacing w:after="0" w:line="240" w:lineRule="auto"/>
              <w:jc w:val="both"/>
              <w:rPr>
                <w:rFonts w:ascii="Times New Roman" w:hAnsi="Times New Roman" w:cs="Times New Roman"/>
                <w:noProof/>
                <w:color w:val="006100"/>
              </w:rPr>
            </w:pPr>
            <w:r>
              <w:rPr>
                <w:rFonts w:ascii="Times New Roman" w:hAnsi="Times New Roman"/>
                <w:noProof/>
                <w:color w:val="006100"/>
              </w:rPr>
              <w:t>Цел</w:t>
            </w:r>
          </w:p>
        </w:tc>
        <w:tc>
          <w:tcPr>
            <w:tcW w:w="3438" w:type="dxa"/>
            <w:tcBorders>
              <w:top w:val="nil"/>
              <w:left w:val="nil"/>
              <w:bottom w:val="single" w:sz="4" w:space="0" w:color="auto"/>
              <w:right w:val="single" w:sz="4" w:space="0" w:color="auto"/>
            </w:tcBorders>
            <w:shd w:val="clear" w:color="auto" w:fill="C6EFCE"/>
            <w:noWrap/>
          </w:tcPr>
          <w:p w14:paraId="48A48591" w14:textId="77777777" w:rsidR="00D21D80" w:rsidRPr="009674F2" w:rsidRDefault="00D21D80" w:rsidP="00C955DB">
            <w:pPr>
              <w:spacing w:after="0" w:line="240" w:lineRule="auto"/>
              <w:jc w:val="both"/>
              <w:rPr>
                <w:rFonts w:ascii="Times New Roman" w:hAnsi="Times New Roman" w:cs="Times New Roman"/>
                <w:noProof/>
                <w:color w:val="006100"/>
              </w:rPr>
            </w:pPr>
            <w:r>
              <w:rPr>
                <w:rFonts w:ascii="Times New Roman" w:hAnsi="Times New Roman"/>
                <w:noProof/>
                <w:color w:val="006100"/>
              </w:rPr>
              <w:t>Подкрепа за културните политики на общините в България</w:t>
            </w:r>
          </w:p>
        </w:tc>
      </w:tr>
      <w:tr w:rsidR="00D21D80" w:rsidRPr="005241FC" w14:paraId="12B05496" w14:textId="77777777" w:rsidTr="2B534C78">
        <w:trPr>
          <w:trHeight w:val="302"/>
          <w:jc w:val="center"/>
        </w:trPr>
        <w:tc>
          <w:tcPr>
            <w:tcW w:w="1207" w:type="dxa"/>
            <w:tcBorders>
              <w:top w:val="nil"/>
              <w:left w:val="single" w:sz="4" w:space="0" w:color="auto"/>
              <w:bottom w:val="single" w:sz="4" w:space="0" w:color="auto"/>
              <w:right w:val="single" w:sz="4" w:space="0" w:color="auto"/>
            </w:tcBorders>
            <w:shd w:val="clear" w:color="auto" w:fill="C6EFCE"/>
            <w:noWrap/>
          </w:tcPr>
          <w:p w14:paraId="52FA4B24"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330</w:t>
            </w:r>
          </w:p>
        </w:tc>
        <w:tc>
          <w:tcPr>
            <w:tcW w:w="4073" w:type="dxa"/>
            <w:tcBorders>
              <w:top w:val="nil"/>
              <w:left w:val="nil"/>
              <w:bottom w:val="single" w:sz="4" w:space="0" w:color="auto"/>
              <w:right w:val="single" w:sz="4" w:space="0" w:color="auto"/>
            </w:tcBorders>
            <w:shd w:val="clear" w:color="auto" w:fill="C6EFCE"/>
            <w:noWrap/>
          </w:tcPr>
          <w:p w14:paraId="67218DF3" w14:textId="77777777" w:rsidR="00D21D80" w:rsidRPr="009674F2" w:rsidRDefault="00D21D80" w:rsidP="00C955DB">
            <w:pPr>
              <w:spacing w:after="0"/>
              <w:jc w:val="both"/>
              <w:rPr>
                <w:rFonts w:ascii="Times New Roman" w:hAnsi="Times New Roman" w:cs="Times New Roman"/>
                <w:noProof/>
                <w:color w:val="006100"/>
              </w:rPr>
            </w:pPr>
            <w:r>
              <w:rPr>
                <w:rFonts w:ascii="Times New Roman" w:hAnsi="Times New Roman"/>
                <w:noProof/>
                <w:color w:val="006100"/>
              </w:rPr>
              <w:t>C12I1 Модернизиране на болничните заведения</w:t>
            </w:r>
          </w:p>
        </w:tc>
        <w:tc>
          <w:tcPr>
            <w:tcW w:w="1559" w:type="dxa"/>
            <w:tcBorders>
              <w:top w:val="nil"/>
              <w:left w:val="nil"/>
              <w:bottom w:val="single" w:sz="4" w:space="0" w:color="auto"/>
              <w:right w:val="single" w:sz="4" w:space="0" w:color="auto"/>
            </w:tcBorders>
            <w:shd w:val="clear" w:color="auto" w:fill="C6EFCE"/>
            <w:noWrap/>
          </w:tcPr>
          <w:p w14:paraId="0D4F965F" w14:textId="77777777" w:rsidR="00D21D80" w:rsidRPr="009674F2" w:rsidRDefault="00D21D80" w:rsidP="00C955DB">
            <w:pPr>
              <w:spacing w:after="0" w:line="240" w:lineRule="auto"/>
              <w:jc w:val="both"/>
              <w:rPr>
                <w:rFonts w:ascii="Times New Roman" w:hAnsi="Times New Roman" w:cs="Times New Roman"/>
                <w:noProof/>
                <w:color w:val="006100"/>
              </w:rPr>
            </w:pPr>
            <w:r>
              <w:rPr>
                <w:rFonts w:ascii="Times New Roman" w:hAnsi="Times New Roman"/>
                <w:noProof/>
                <w:color w:val="006100"/>
              </w:rPr>
              <w:t>Цел</w:t>
            </w:r>
          </w:p>
        </w:tc>
        <w:tc>
          <w:tcPr>
            <w:tcW w:w="3438" w:type="dxa"/>
            <w:tcBorders>
              <w:top w:val="nil"/>
              <w:left w:val="nil"/>
              <w:bottom w:val="single" w:sz="4" w:space="0" w:color="auto"/>
              <w:right w:val="single" w:sz="4" w:space="0" w:color="auto"/>
            </w:tcBorders>
            <w:shd w:val="clear" w:color="auto" w:fill="C6EFCE"/>
            <w:noWrap/>
          </w:tcPr>
          <w:p w14:paraId="41486DFD" w14:textId="77777777" w:rsidR="00D21D80" w:rsidRPr="009674F2" w:rsidRDefault="00D21D80" w:rsidP="00C955DB">
            <w:pPr>
              <w:spacing w:after="0" w:line="240" w:lineRule="auto"/>
              <w:jc w:val="both"/>
              <w:rPr>
                <w:rFonts w:ascii="Times New Roman" w:hAnsi="Times New Roman" w:cs="Times New Roman"/>
                <w:noProof/>
                <w:color w:val="006100"/>
              </w:rPr>
            </w:pPr>
            <w:r>
              <w:rPr>
                <w:rFonts w:ascii="Times New Roman" w:hAnsi="Times New Roman"/>
                <w:noProof/>
                <w:color w:val="006100"/>
              </w:rPr>
              <w:t>Болничните заведения да получат ново медицинско оборудване</w:t>
            </w:r>
          </w:p>
        </w:tc>
      </w:tr>
      <w:tr w:rsidR="00D21D80" w:rsidRPr="005241FC" w14:paraId="25B455F4" w14:textId="77777777" w:rsidTr="2B534C78">
        <w:trPr>
          <w:trHeight w:val="302"/>
          <w:jc w:val="center"/>
        </w:trPr>
        <w:tc>
          <w:tcPr>
            <w:tcW w:w="1207" w:type="dxa"/>
            <w:tcBorders>
              <w:top w:val="nil"/>
              <w:left w:val="single" w:sz="4" w:space="0" w:color="auto"/>
              <w:bottom w:val="single" w:sz="4" w:space="0" w:color="auto"/>
              <w:right w:val="single" w:sz="4" w:space="0" w:color="auto"/>
            </w:tcBorders>
            <w:shd w:val="clear" w:color="auto" w:fill="C6EFCE"/>
            <w:noWrap/>
          </w:tcPr>
          <w:p w14:paraId="11A9B186"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333</w:t>
            </w:r>
          </w:p>
        </w:tc>
        <w:tc>
          <w:tcPr>
            <w:tcW w:w="4073" w:type="dxa"/>
            <w:tcBorders>
              <w:top w:val="nil"/>
              <w:left w:val="nil"/>
              <w:bottom w:val="single" w:sz="4" w:space="0" w:color="auto"/>
              <w:right w:val="single" w:sz="4" w:space="0" w:color="auto"/>
            </w:tcBorders>
            <w:shd w:val="clear" w:color="auto" w:fill="C6EFCE"/>
            <w:noWrap/>
          </w:tcPr>
          <w:p w14:paraId="360C098B" w14:textId="77777777" w:rsidR="00D21D80" w:rsidRPr="009674F2" w:rsidRDefault="00D21D80" w:rsidP="00C955DB">
            <w:pPr>
              <w:spacing w:after="0"/>
              <w:jc w:val="both"/>
              <w:rPr>
                <w:rFonts w:ascii="Times New Roman" w:hAnsi="Times New Roman" w:cs="Times New Roman"/>
                <w:noProof/>
                <w:color w:val="006100"/>
              </w:rPr>
            </w:pPr>
            <w:r>
              <w:rPr>
                <w:rFonts w:ascii="Times New Roman" w:hAnsi="Times New Roman"/>
                <w:noProof/>
                <w:color w:val="006100"/>
              </w:rPr>
              <w:t xml:space="preserve">C12I2 Центрове за интервенционална диагностика и ендоваскуларно лечение на мозъчно-съдови заболявания </w:t>
            </w:r>
          </w:p>
        </w:tc>
        <w:tc>
          <w:tcPr>
            <w:tcW w:w="1559" w:type="dxa"/>
            <w:tcBorders>
              <w:top w:val="nil"/>
              <w:left w:val="nil"/>
              <w:bottom w:val="single" w:sz="4" w:space="0" w:color="auto"/>
              <w:right w:val="single" w:sz="4" w:space="0" w:color="auto"/>
            </w:tcBorders>
            <w:shd w:val="clear" w:color="auto" w:fill="C6EFCE"/>
            <w:noWrap/>
          </w:tcPr>
          <w:p w14:paraId="06D6E541" w14:textId="77777777" w:rsidR="00D21D80" w:rsidRPr="009674F2" w:rsidRDefault="00D21D80" w:rsidP="00C955DB">
            <w:pPr>
              <w:spacing w:after="0" w:line="240" w:lineRule="auto"/>
              <w:jc w:val="both"/>
              <w:rPr>
                <w:rFonts w:ascii="Times New Roman" w:hAnsi="Times New Roman" w:cs="Times New Roman"/>
                <w:noProof/>
                <w:color w:val="006100"/>
              </w:rPr>
            </w:pPr>
            <w:r>
              <w:rPr>
                <w:rFonts w:ascii="Times New Roman" w:hAnsi="Times New Roman"/>
                <w:noProof/>
                <w:color w:val="006100"/>
              </w:rPr>
              <w:t>Цел</w:t>
            </w:r>
          </w:p>
        </w:tc>
        <w:tc>
          <w:tcPr>
            <w:tcW w:w="3438" w:type="dxa"/>
            <w:tcBorders>
              <w:top w:val="nil"/>
              <w:left w:val="nil"/>
              <w:bottom w:val="single" w:sz="4" w:space="0" w:color="auto"/>
              <w:right w:val="single" w:sz="4" w:space="0" w:color="auto"/>
            </w:tcBorders>
            <w:shd w:val="clear" w:color="auto" w:fill="C6EFCE"/>
            <w:noWrap/>
          </w:tcPr>
          <w:p w14:paraId="7D259439" w14:textId="77777777" w:rsidR="00D21D80" w:rsidRPr="009674F2" w:rsidRDefault="00D21D80" w:rsidP="00C955DB">
            <w:pPr>
              <w:spacing w:after="0" w:line="240" w:lineRule="auto"/>
              <w:jc w:val="both"/>
              <w:rPr>
                <w:rFonts w:ascii="Times New Roman" w:hAnsi="Times New Roman" w:cs="Times New Roman"/>
                <w:noProof/>
                <w:color w:val="006100"/>
              </w:rPr>
            </w:pPr>
            <w:r>
              <w:rPr>
                <w:rFonts w:ascii="Times New Roman" w:hAnsi="Times New Roman"/>
                <w:noProof/>
                <w:color w:val="006100"/>
              </w:rPr>
              <w:t>Центрове за интервенционална диагностика и ендоваскуларно лечение на мозъчно-съдови заболявания</w:t>
            </w:r>
          </w:p>
        </w:tc>
      </w:tr>
      <w:tr w:rsidR="00D21D80" w:rsidRPr="005241FC" w14:paraId="16CA6729" w14:textId="77777777" w:rsidTr="2B534C78">
        <w:trPr>
          <w:trHeight w:val="302"/>
          <w:jc w:val="center"/>
        </w:trPr>
        <w:tc>
          <w:tcPr>
            <w:tcW w:w="1207" w:type="dxa"/>
            <w:tcBorders>
              <w:top w:val="nil"/>
              <w:left w:val="single" w:sz="4" w:space="0" w:color="auto"/>
              <w:bottom w:val="single" w:sz="4" w:space="0" w:color="auto"/>
              <w:right w:val="single" w:sz="4" w:space="0" w:color="auto"/>
            </w:tcBorders>
            <w:shd w:val="clear" w:color="auto" w:fill="C6EFCE"/>
            <w:noWrap/>
          </w:tcPr>
          <w:p w14:paraId="1252463D"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335</w:t>
            </w:r>
          </w:p>
        </w:tc>
        <w:tc>
          <w:tcPr>
            <w:tcW w:w="4073" w:type="dxa"/>
            <w:tcBorders>
              <w:top w:val="nil"/>
              <w:left w:val="nil"/>
              <w:bottom w:val="single" w:sz="4" w:space="0" w:color="auto"/>
              <w:right w:val="single" w:sz="4" w:space="0" w:color="auto"/>
            </w:tcBorders>
            <w:shd w:val="clear" w:color="auto" w:fill="C6EFCE"/>
            <w:noWrap/>
          </w:tcPr>
          <w:p w14:paraId="795D4868" w14:textId="77777777" w:rsidR="00D21D80" w:rsidRPr="009674F2" w:rsidRDefault="00D21D80" w:rsidP="00C955DB">
            <w:pPr>
              <w:spacing w:after="0"/>
              <w:jc w:val="both"/>
              <w:rPr>
                <w:rFonts w:ascii="Times New Roman" w:hAnsi="Times New Roman" w:cs="Times New Roman"/>
                <w:noProof/>
                <w:color w:val="006100"/>
              </w:rPr>
            </w:pPr>
            <w:r>
              <w:rPr>
                <w:rFonts w:ascii="Times New Roman" w:hAnsi="Times New Roman"/>
                <w:noProof/>
                <w:color w:val="006100"/>
              </w:rPr>
              <w:t>C12I3 Модернизация на психиатричната помощ</w:t>
            </w:r>
          </w:p>
        </w:tc>
        <w:tc>
          <w:tcPr>
            <w:tcW w:w="1559" w:type="dxa"/>
            <w:tcBorders>
              <w:top w:val="nil"/>
              <w:left w:val="nil"/>
              <w:bottom w:val="single" w:sz="4" w:space="0" w:color="auto"/>
              <w:right w:val="single" w:sz="4" w:space="0" w:color="auto"/>
            </w:tcBorders>
            <w:shd w:val="clear" w:color="auto" w:fill="C6EFCE"/>
            <w:noWrap/>
          </w:tcPr>
          <w:p w14:paraId="0AAFAB1B" w14:textId="77777777" w:rsidR="00D21D80" w:rsidRPr="009674F2" w:rsidRDefault="00D21D80" w:rsidP="00C955DB">
            <w:pPr>
              <w:spacing w:after="0" w:line="240" w:lineRule="auto"/>
              <w:jc w:val="both"/>
              <w:rPr>
                <w:rFonts w:ascii="Times New Roman" w:hAnsi="Times New Roman" w:cs="Times New Roman"/>
                <w:noProof/>
                <w:color w:val="006100"/>
              </w:rPr>
            </w:pPr>
            <w:r>
              <w:rPr>
                <w:rFonts w:ascii="Times New Roman" w:hAnsi="Times New Roman"/>
                <w:noProof/>
                <w:color w:val="006100"/>
              </w:rPr>
              <w:t>Цел</w:t>
            </w:r>
          </w:p>
        </w:tc>
        <w:tc>
          <w:tcPr>
            <w:tcW w:w="3438" w:type="dxa"/>
            <w:tcBorders>
              <w:top w:val="nil"/>
              <w:left w:val="nil"/>
              <w:bottom w:val="single" w:sz="4" w:space="0" w:color="auto"/>
              <w:right w:val="single" w:sz="4" w:space="0" w:color="auto"/>
            </w:tcBorders>
            <w:shd w:val="clear" w:color="auto" w:fill="C6EFCE"/>
            <w:noWrap/>
          </w:tcPr>
          <w:p w14:paraId="1043DEE3" w14:textId="77777777" w:rsidR="00D21D80" w:rsidRPr="009674F2" w:rsidRDefault="00D21D80" w:rsidP="00C955DB">
            <w:pPr>
              <w:spacing w:after="0" w:line="240" w:lineRule="auto"/>
              <w:jc w:val="both"/>
              <w:rPr>
                <w:rFonts w:ascii="Times New Roman" w:hAnsi="Times New Roman" w:cs="Times New Roman"/>
                <w:noProof/>
                <w:color w:val="006100"/>
              </w:rPr>
            </w:pPr>
            <w:r>
              <w:rPr>
                <w:rFonts w:ascii="Times New Roman" w:hAnsi="Times New Roman"/>
                <w:noProof/>
                <w:color w:val="006100"/>
              </w:rPr>
              <w:t xml:space="preserve">Ремонтирани и оборудвани заведения, предоставящи психиатрични грижи </w:t>
            </w:r>
          </w:p>
        </w:tc>
      </w:tr>
      <w:tr w:rsidR="00D21D80" w:rsidRPr="00F41C75" w14:paraId="67A20E9C" w14:textId="77777777" w:rsidTr="2B534C78">
        <w:trPr>
          <w:trHeight w:val="302"/>
          <w:jc w:val="center"/>
        </w:trPr>
        <w:tc>
          <w:tcPr>
            <w:tcW w:w="1207" w:type="dxa"/>
            <w:tcBorders>
              <w:top w:val="single" w:sz="4" w:space="0" w:color="auto"/>
              <w:left w:val="single" w:sz="4" w:space="0" w:color="auto"/>
              <w:bottom w:val="single" w:sz="4" w:space="0" w:color="auto"/>
              <w:right w:val="single" w:sz="4" w:space="0" w:color="auto"/>
            </w:tcBorders>
            <w:shd w:val="clear" w:color="auto" w:fill="C6EFCE"/>
            <w:noWrap/>
          </w:tcPr>
          <w:p w14:paraId="6DE44850" w14:textId="77777777" w:rsidR="00D21D80" w:rsidRPr="008A0F8A" w:rsidRDefault="00D21D80" w:rsidP="00C955DB">
            <w:pPr>
              <w:spacing w:after="0" w:line="240" w:lineRule="auto"/>
              <w:jc w:val="center"/>
              <w:rPr>
                <w:rFonts w:ascii="Times New Roman" w:eastAsia="Times New Roman" w:hAnsi="Times New Roman" w:cs="Times New Roman"/>
                <w:noProof/>
                <w:color w:val="006100"/>
                <w:lang w:val="ru-RU" w:eastAsia="en-GB"/>
              </w:rPr>
            </w:pPr>
          </w:p>
        </w:tc>
        <w:tc>
          <w:tcPr>
            <w:tcW w:w="4073" w:type="dxa"/>
            <w:tcBorders>
              <w:top w:val="single" w:sz="4" w:space="0" w:color="auto"/>
              <w:left w:val="nil"/>
              <w:bottom w:val="single" w:sz="4" w:space="0" w:color="auto"/>
              <w:right w:val="single" w:sz="4" w:space="0" w:color="auto"/>
            </w:tcBorders>
            <w:shd w:val="clear" w:color="auto" w:fill="C6EFCE"/>
            <w:noWrap/>
            <w:vAlign w:val="bottom"/>
          </w:tcPr>
          <w:p w14:paraId="69B71CA5" w14:textId="77777777" w:rsidR="00D21D80" w:rsidRPr="008A0F8A" w:rsidRDefault="00D21D80" w:rsidP="00C955DB">
            <w:pPr>
              <w:spacing w:after="0" w:line="240" w:lineRule="auto"/>
              <w:jc w:val="both"/>
              <w:rPr>
                <w:rFonts w:ascii="Times New Roman" w:eastAsia="Times New Roman" w:hAnsi="Times New Roman" w:cs="Times New Roman"/>
                <w:noProof/>
                <w:color w:val="006100"/>
                <w:lang w:val="ru-RU" w:eastAsia="en-GB"/>
              </w:rPr>
            </w:pPr>
          </w:p>
        </w:tc>
        <w:tc>
          <w:tcPr>
            <w:tcW w:w="1559" w:type="dxa"/>
            <w:tcBorders>
              <w:top w:val="single" w:sz="4" w:space="0" w:color="auto"/>
              <w:left w:val="nil"/>
              <w:bottom w:val="single" w:sz="4" w:space="0" w:color="auto"/>
              <w:right w:val="single" w:sz="4" w:space="0" w:color="auto"/>
            </w:tcBorders>
            <w:shd w:val="clear" w:color="auto" w:fill="C6EFCE"/>
            <w:noWrap/>
            <w:vAlign w:val="bottom"/>
          </w:tcPr>
          <w:p w14:paraId="30D2E240"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Размер на вноската</w:t>
            </w:r>
          </w:p>
        </w:tc>
        <w:tc>
          <w:tcPr>
            <w:tcW w:w="3438" w:type="dxa"/>
            <w:tcBorders>
              <w:top w:val="single" w:sz="4" w:space="0" w:color="auto"/>
              <w:left w:val="nil"/>
              <w:bottom w:val="single" w:sz="4" w:space="0" w:color="auto"/>
              <w:right w:val="single" w:sz="4" w:space="0" w:color="auto"/>
            </w:tcBorders>
            <w:shd w:val="clear" w:color="auto" w:fill="C6EFCE"/>
            <w:noWrap/>
            <w:vAlign w:val="bottom"/>
          </w:tcPr>
          <w:p w14:paraId="253E71D7" w14:textId="5C8FF4BC" w:rsidR="00D21D80" w:rsidRPr="00B34264"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 xml:space="preserve">425 612 691 EUR </w:t>
            </w:r>
          </w:p>
        </w:tc>
      </w:tr>
    </w:tbl>
    <w:p w14:paraId="4F1757C7" w14:textId="77777777" w:rsidR="00D21D80" w:rsidRPr="00F41C75" w:rsidRDefault="00D21D80" w:rsidP="00D21D80">
      <w:pPr>
        <w:spacing w:before="120" w:after="120" w:line="240" w:lineRule="auto"/>
        <w:ind w:left="850"/>
        <w:jc w:val="both"/>
        <w:rPr>
          <w:rFonts w:ascii="Times New Roman" w:eastAsia="Calibri" w:hAnsi="Times New Roman" w:cs="Times New Roman"/>
          <w:noProof/>
          <w:lang w:val="en-GB"/>
        </w:rPr>
      </w:pPr>
    </w:p>
    <w:p w14:paraId="4D8F56B7" w14:textId="77777777" w:rsidR="00D21D80" w:rsidRPr="00F41C75" w:rsidRDefault="00D21D80" w:rsidP="00D21D80">
      <w:pPr>
        <w:numPr>
          <w:ilvl w:val="1"/>
          <w:numId w:val="1"/>
        </w:numPr>
        <w:spacing w:before="120" w:after="120" w:line="240" w:lineRule="auto"/>
        <w:jc w:val="both"/>
        <w:rPr>
          <w:rFonts w:ascii="Times New Roman" w:eastAsia="Calibri" w:hAnsi="Times New Roman" w:cs="Times New Roman"/>
          <w:noProof/>
        </w:rPr>
      </w:pPr>
      <w:r>
        <w:rPr>
          <w:rFonts w:ascii="Times New Roman" w:hAnsi="Times New Roman"/>
          <w:noProof/>
        </w:rPr>
        <w:t xml:space="preserve">Девета вноска (безвъзмездна подкрепа) </w:t>
      </w:r>
    </w:p>
    <w:tbl>
      <w:tblPr>
        <w:tblW w:w="10238" w:type="dxa"/>
        <w:jc w:val="center"/>
        <w:tblLook w:val="04A0" w:firstRow="1" w:lastRow="0" w:firstColumn="1" w:lastColumn="0" w:noHBand="0" w:noVBand="1"/>
      </w:tblPr>
      <w:tblGrid>
        <w:gridCol w:w="1292"/>
        <w:gridCol w:w="4119"/>
        <w:gridCol w:w="1559"/>
        <w:gridCol w:w="3418"/>
      </w:tblGrid>
      <w:tr w:rsidR="00D21D80" w:rsidRPr="00F41C75" w14:paraId="31702406" w14:textId="77777777" w:rsidTr="008E333E">
        <w:trPr>
          <w:trHeight w:val="906"/>
          <w:tblHeader/>
          <w:jc w:val="center"/>
        </w:trPr>
        <w:tc>
          <w:tcPr>
            <w:tcW w:w="129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EFE9A20" w14:textId="77777777" w:rsidR="00D21D80" w:rsidRPr="00F41C75" w:rsidRDefault="00D21D80" w:rsidP="00C955DB">
            <w:pPr>
              <w:spacing w:after="0" w:line="240" w:lineRule="auto"/>
              <w:jc w:val="center"/>
              <w:rPr>
                <w:rFonts w:ascii="Times New Roman" w:eastAsia="Times New Roman" w:hAnsi="Times New Roman" w:cs="Times New Roman"/>
                <w:b/>
                <w:noProof/>
              </w:rPr>
            </w:pPr>
            <w:r>
              <w:rPr>
                <w:rFonts w:ascii="Times New Roman" w:hAnsi="Times New Roman"/>
                <w:b/>
                <w:noProof/>
              </w:rPr>
              <w:t>Пореден номер</w:t>
            </w:r>
          </w:p>
        </w:tc>
        <w:tc>
          <w:tcPr>
            <w:tcW w:w="396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86B89D3" w14:textId="77777777" w:rsidR="00D21D80" w:rsidRPr="00F41C75" w:rsidRDefault="00D21D80" w:rsidP="00C955DB">
            <w:pPr>
              <w:spacing w:after="0" w:line="240" w:lineRule="auto"/>
              <w:jc w:val="center"/>
              <w:rPr>
                <w:rFonts w:ascii="Times New Roman" w:eastAsia="Times New Roman" w:hAnsi="Times New Roman" w:cs="Times New Roman"/>
                <w:b/>
                <w:noProof/>
              </w:rPr>
            </w:pPr>
            <w:r>
              <w:rPr>
                <w:rFonts w:ascii="Times New Roman" w:hAnsi="Times New Roman"/>
                <w:b/>
                <w:noProof/>
              </w:rPr>
              <w:t>Свързана мярка (реформа или инвестиция)</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0935971" w14:textId="77777777" w:rsidR="00D21D80" w:rsidRPr="00F41C75" w:rsidRDefault="00D21D80" w:rsidP="00C955DB">
            <w:pPr>
              <w:spacing w:after="0" w:line="240" w:lineRule="auto"/>
              <w:jc w:val="center"/>
              <w:rPr>
                <w:rFonts w:ascii="Times New Roman" w:eastAsia="Times New Roman" w:hAnsi="Times New Roman" w:cs="Times New Roman"/>
                <w:b/>
                <w:noProof/>
              </w:rPr>
            </w:pPr>
            <w:r>
              <w:rPr>
                <w:rFonts w:ascii="Times New Roman" w:hAnsi="Times New Roman"/>
                <w:b/>
                <w:noProof/>
              </w:rPr>
              <w:t>Ключов етап / Цел</w:t>
            </w:r>
          </w:p>
        </w:tc>
        <w:tc>
          <w:tcPr>
            <w:tcW w:w="341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FDB0C36" w14:textId="77777777" w:rsidR="00D21D80" w:rsidRPr="00F41C75" w:rsidRDefault="00D21D80" w:rsidP="00C955DB">
            <w:pPr>
              <w:spacing w:after="0" w:line="240" w:lineRule="auto"/>
              <w:jc w:val="center"/>
              <w:rPr>
                <w:rFonts w:ascii="Times New Roman" w:eastAsia="Times New Roman" w:hAnsi="Times New Roman" w:cs="Times New Roman"/>
                <w:b/>
                <w:noProof/>
              </w:rPr>
            </w:pPr>
            <w:r>
              <w:rPr>
                <w:rFonts w:ascii="Times New Roman" w:hAnsi="Times New Roman"/>
                <w:b/>
                <w:noProof/>
              </w:rPr>
              <w:t>Наименование</w:t>
            </w:r>
          </w:p>
        </w:tc>
      </w:tr>
      <w:tr w:rsidR="00D21D80" w:rsidRPr="00F41C75" w14:paraId="10D7EEEF" w14:textId="77777777" w:rsidTr="008E333E">
        <w:trPr>
          <w:trHeight w:val="450"/>
          <w:jc w:val="center"/>
        </w:trPr>
        <w:tc>
          <w:tcPr>
            <w:tcW w:w="1292" w:type="dxa"/>
            <w:vMerge/>
            <w:tcBorders>
              <w:top w:val="single" w:sz="4" w:space="0" w:color="auto"/>
              <w:left w:val="single" w:sz="4" w:space="0" w:color="auto"/>
              <w:bottom w:val="single" w:sz="4" w:space="0" w:color="auto"/>
              <w:right w:val="single" w:sz="4" w:space="0" w:color="auto"/>
            </w:tcBorders>
            <w:vAlign w:val="center"/>
            <w:hideMark/>
          </w:tcPr>
          <w:p w14:paraId="3622BAB2" w14:textId="77777777" w:rsidR="00D21D80" w:rsidRPr="00F41C75" w:rsidRDefault="00D21D80" w:rsidP="00C955DB">
            <w:pPr>
              <w:spacing w:after="0" w:line="240" w:lineRule="auto"/>
              <w:jc w:val="center"/>
              <w:rPr>
                <w:rFonts w:ascii="Times New Roman" w:eastAsia="Times New Roman" w:hAnsi="Times New Roman" w:cs="Times New Roman"/>
                <w:b/>
                <w:bCs/>
                <w:noProof/>
                <w:lang w:val="en-GB" w:eastAsia="en-GB"/>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6D610133" w14:textId="77777777" w:rsidR="00D21D80" w:rsidRPr="00F41C75" w:rsidRDefault="00D21D80" w:rsidP="00C955DB">
            <w:pPr>
              <w:spacing w:after="0" w:line="240" w:lineRule="auto"/>
              <w:jc w:val="both"/>
              <w:rPr>
                <w:rFonts w:ascii="Times New Roman" w:eastAsia="Times New Roman" w:hAnsi="Times New Roman" w:cs="Times New Roman"/>
                <w:b/>
                <w:bCs/>
                <w:noProof/>
                <w:lang w:val="en-GB" w:eastAsia="en-GB"/>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D77E6C2" w14:textId="77777777" w:rsidR="00D21D80" w:rsidRPr="00F41C75" w:rsidRDefault="00D21D80" w:rsidP="00C955DB">
            <w:pPr>
              <w:spacing w:after="0" w:line="240" w:lineRule="auto"/>
              <w:jc w:val="center"/>
              <w:rPr>
                <w:rFonts w:ascii="Times New Roman" w:eastAsia="Times New Roman" w:hAnsi="Times New Roman" w:cs="Times New Roman"/>
                <w:b/>
                <w:bCs/>
                <w:noProof/>
                <w:lang w:val="en-GB" w:eastAsia="en-GB"/>
              </w:rPr>
            </w:pPr>
          </w:p>
        </w:tc>
        <w:tc>
          <w:tcPr>
            <w:tcW w:w="3418" w:type="dxa"/>
            <w:vMerge/>
            <w:tcBorders>
              <w:top w:val="single" w:sz="4" w:space="0" w:color="auto"/>
              <w:left w:val="single" w:sz="4" w:space="0" w:color="auto"/>
              <w:bottom w:val="single" w:sz="4" w:space="0" w:color="auto"/>
              <w:right w:val="single" w:sz="4" w:space="0" w:color="auto"/>
            </w:tcBorders>
            <w:vAlign w:val="center"/>
            <w:hideMark/>
          </w:tcPr>
          <w:p w14:paraId="3BDC633D" w14:textId="77777777" w:rsidR="00D21D80" w:rsidRPr="00F41C75" w:rsidRDefault="00D21D80" w:rsidP="00C955DB">
            <w:pPr>
              <w:spacing w:after="0" w:line="240" w:lineRule="auto"/>
              <w:jc w:val="both"/>
              <w:rPr>
                <w:rFonts w:ascii="Times New Roman" w:eastAsia="Times New Roman" w:hAnsi="Times New Roman" w:cs="Times New Roman"/>
                <w:b/>
                <w:bCs/>
                <w:noProof/>
                <w:lang w:val="en-GB" w:eastAsia="en-GB"/>
              </w:rPr>
            </w:pPr>
          </w:p>
        </w:tc>
      </w:tr>
      <w:tr w:rsidR="00D21D80" w:rsidRPr="005241FC" w14:paraId="2ADA9A96" w14:textId="77777777" w:rsidTr="008E333E">
        <w:trPr>
          <w:trHeight w:val="302"/>
          <w:jc w:val="center"/>
        </w:trPr>
        <w:tc>
          <w:tcPr>
            <w:tcW w:w="1292" w:type="dxa"/>
            <w:tcBorders>
              <w:top w:val="single" w:sz="4" w:space="0" w:color="auto"/>
              <w:left w:val="single" w:sz="4" w:space="0" w:color="auto"/>
              <w:bottom w:val="single" w:sz="4" w:space="0" w:color="auto"/>
              <w:right w:val="single" w:sz="4" w:space="0" w:color="auto"/>
            </w:tcBorders>
            <w:shd w:val="clear" w:color="auto" w:fill="C6EFCE"/>
            <w:noWrap/>
          </w:tcPr>
          <w:p w14:paraId="46F5FD26"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10</w:t>
            </w:r>
          </w:p>
        </w:tc>
        <w:tc>
          <w:tcPr>
            <w:tcW w:w="3969" w:type="dxa"/>
            <w:tcBorders>
              <w:top w:val="single" w:sz="4" w:space="0" w:color="auto"/>
              <w:left w:val="nil"/>
              <w:bottom w:val="single" w:sz="4" w:space="0" w:color="auto"/>
              <w:right w:val="single" w:sz="4" w:space="0" w:color="auto"/>
            </w:tcBorders>
            <w:shd w:val="clear" w:color="auto" w:fill="C6EFCE"/>
            <w:noWrap/>
          </w:tcPr>
          <w:p w14:paraId="65FD68BA" w14:textId="77777777" w:rsidR="00D21D80" w:rsidRPr="009674F2" w:rsidRDefault="00D21D80" w:rsidP="00C955DB">
            <w:pPr>
              <w:spacing w:after="0"/>
              <w:jc w:val="both"/>
              <w:rPr>
                <w:rFonts w:ascii="Times New Roman" w:eastAsia="Times New Roman" w:hAnsi="Times New Roman" w:cs="Times New Roman"/>
                <w:noProof/>
                <w:color w:val="006100"/>
              </w:rPr>
            </w:pPr>
            <w:r>
              <w:rPr>
                <w:rFonts w:ascii="Times New Roman" w:hAnsi="Times New Roman"/>
                <w:noProof/>
                <w:color w:val="006100"/>
              </w:rPr>
              <w:t>C1I1 Центрове за НТИМ и иновации в образованието</w:t>
            </w:r>
          </w:p>
        </w:tc>
        <w:tc>
          <w:tcPr>
            <w:tcW w:w="1559" w:type="dxa"/>
            <w:tcBorders>
              <w:top w:val="single" w:sz="4" w:space="0" w:color="auto"/>
              <w:left w:val="nil"/>
              <w:bottom w:val="single" w:sz="4" w:space="0" w:color="auto"/>
              <w:right w:val="single" w:sz="4" w:space="0" w:color="auto"/>
            </w:tcBorders>
            <w:shd w:val="clear" w:color="auto" w:fill="C6EFCE"/>
            <w:noWrap/>
          </w:tcPr>
          <w:p w14:paraId="45A7A42D"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Цел</w:t>
            </w:r>
          </w:p>
        </w:tc>
        <w:tc>
          <w:tcPr>
            <w:tcW w:w="3418" w:type="dxa"/>
            <w:tcBorders>
              <w:top w:val="single" w:sz="4" w:space="0" w:color="auto"/>
              <w:left w:val="nil"/>
              <w:bottom w:val="single" w:sz="4" w:space="0" w:color="auto"/>
              <w:right w:val="single" w:sz="4" w:space="0" w:color="auto"/>
            </w:tcBorders>
            <w:shd w:val="clear" w:color="auto" w:fill="C6EFCE"/>
            <w:noWrap/>
          </w:tcPr>
          <w:p w14:paraId="4B522ECF"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Приключване на строителните работи и обновяването на националния и трите регионални центъра за НТИМ</w:t>
            </w:r>
          </w:p>
        </w:tc>
      </w:tr>
      <w:tr w:rsidR="00D21D80" w:rsidRPr="005241FC" w14:paraId="53869E57" w14:textId="77777777" w:rsidTr="267FDB55">
        <w:trPr>
          <w:trHeight w:val="302"/>
          <w:jc w:val="center"/>
        </w:trPr>
        <w:tc>
          <w:tcPr>
            <w:tcW w:w="1292" w:type="dxa"/>
            <w:tcBorders>
              <w:top w:val="nil"/>
              <w:left w:val="single" w:sz="4" w:space="0" w:color="auto"/>
              <w:bottom w:val="single" w:sz="4" w:space="0" w:color="auto"/>
              <w:right w:val="single" w:sz="4" w:space="0" w:color="auto"/>
            </w:tcBorders>
            <w:shd w:val="clear" w:color="auto" w:fill="C6EFCE"/>
            <w:noWrap/>
          </w:tcPr>
          <w:p w14:paraId="1F6928BD"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11</w:t>
            </w:r>
          </w:p>
        </w:tc>
        <w:tc>
          <w:tcPr>
            <w:tcW w:w="3969" w:type="dxa"/>
            <w:tcBorders>
              <w:top w:val="nil"/>
              <w:left w:val="nil"/>
              <w:bottom w:val="single" w:sz="4" w:space="0" w:color="auto"/>
              <w:right w:val="single" w:sz="4" w:space="0" w:color="auto"/>
            </w:tcBorders>
            <w:shd w:val="clear" w:color="auto" w:fill="C6EFCE"/>
            <w:noWrap/>
          </w:tcPr>
          <w:p w14:paraId="204C8FA3" w14:textId="77777777" w:rsidR="00D21D80" w:rsidRPr="009674F2" w:rsidRDefault="00D21D80" w:rsidP="00C955DB">
            <w:pPr>
              <w:spacing w:after="0"/>
              <w:jc w:val="both"/>
              <w:rPr>
                <w:rFonts w:ascii="Times New Roman" w:eastAsia="Times New Roman" w:hAnsi="Times New Roman" w:cs="Times New Roman"/>
                <w:noProof/>
                <w:color w:val="006100"/>
              </w:rPr>
            </w:pPr>
            <w:r>
              <w:rPr>
                <w:rFonts w:ascii="Times New Roman" w:hAnsi="Times New Roman"/>
                <w:noProof/>
                <w:color w:val="006100"/>
              </w:rPr>
              <w:t>C1I1 Центрове за НТИМ и иновации в образованието</w:t>
            </w:r>
          </w:p>
        </w:tc>
        <w:tc>
          <w:tcPr>
            <w:tcW w:w="1559" w:type="dxa"/>
            <w:tcBorders>
              <w:top w:val="nil"/>
              <w:left w:val="nil"/>
              <w:bottom w:val="single" w:sz="4" w:space="0" w:color="auto"/>
              <w:right w:val="single" w:sz="4" w:space="0" w:color="auto"/>
            </w:tcBorders>
            <w:shd w:val="clear" w:color="auto" w:fill="C6EFCE"/>
            <w:noWrap/>
          </w:tcPr>
          <w:p w14:paraId="342F23CD"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Цел</w:t>
            </w:r>
          </w:p>
        </w:tc>
        <w:tc>
          <w:tcPr>
            <w:tcW w:w="3418" w:type="dxa"/>
            <w:tcBorders>
              <w:top w:val="nil"/>
              <w:left w:val="nil"/>
              <w:bottom w:val="single" w:sz="4" w:space="0" w:color="auto"/>
              <w:right w:val="single" w:sz="4" w:space="0" w:color="auto"/>
            </w:tcBorders>
            <w:shd w:val="clear" w:color="auto" w:fill="C6EFCE"/>
            <w:noWrap/>
          </w:tcPr>
          <w:p w14:paraId="0F7D432C"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 xml:space="preserve">Училища с новоизградени и/или новооборудвани лаборатории за НТИМ, в т.ч. класни стаи с достъп до високи технологии </w:t>
            </w:r>
            <w:r>
              <w:rPr>
                <w:rFonts w:ascii="Times New Roman" w:hAnsi="Times New Roman"/>
                <w:noProof/>
                <w:color w:val="006100"/>
              </w:rPr>
              <w:br/>
              <w:t xml:space="preserve"> </w:t>
            </w:r>
          </w:p>
        </w:tc>
      </w:tr>
      <w:tr w:rsidR="00D21D80" w:rsidRPr="005241FC" w14:paraId="3C6A1DAE" w14:textId="77777777" w:rsidTr="267FDB55">
        <w:trPr>
          <w:trHeight w:val="302"/>
          <w:jc w:val="center"/>
        </w:trPr>
        <w:tc>
          <w:tcPr>
            <w:tcW w:w="1292" w:type="dxa"/>
            <w:tcBorders>
              <w:top w:val="nil"/>
              <w:left w:val="single" w:sz="4" w:space="0" w:color="auto"/>
              <w:bottom w:val="single" w:sz="4" w:space="0" w:color="auto"/>
              <w:right w:val="single" w:sz="4" w:space="0" w:color="auto"/>
            </w:tcBorders>
            <w:shd w:val="clear" w:color="auto" w:fill="C6EFCE"/>
            <w:noWrap/>
          </w:tcPr>
          <w:p w14:paraId="6E7541A6"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13</w:t>
            </w:r>
          </w:p>
        </w:tc>
        <w:tc>
          <w:tcPr>
            <w:tcW w:w="3969" w:type="dxa"/>
            <w:tcBorders>
              <w:top w:val="nil"/>
              <w:left w:val="nil"/>
              <w:bottom w:val="single" w:sz="4" w:space="0" w:color="auto"/>
              <w:right w:val="single" w:sz="4" w:space="0" w:color="auto"/>
            </w:tcBorders>
            <w:shd w:val="clear" w:color="auto" w:fill="C6EFCE"/>
            <w:noWrap/>
          </w:tcPr>
          <w:p w14:paraId="2364798A" w14:textId="77777777" w:rsidR="00D21D80" w:rsidRPr="009674F2" w:rsidRDefault="00D21D80" w:rsidP="00C955DB">
            <w:pPr>
              <w:spacing w:after="0"/>
              <w:jc w:val="both"/>
              <w:rPr>
                <w:rFonts w:ascii="Times New Roman" w:hAnsi="Times New Roman" w:cs="Times New Roman"/>
                <w:noProof/>
                <w:color w:val="006100"/>
              </w:rPr>
            </w:pPr>
            <w:r>
              <w:rPr>
                <w:rFonts w:ascii="Times New Roman" w:hAnsi="Times New Roman"/>
                <w:noProof/>
                <w:color w:val="006100"/>
              </w:rPr>
              <w:t>C1I2 Модернизиране на образователната инфраструктура</w:t>
            </w:r>
          </w:p>
          <w:p w14:paraId="60975CE7" w14:textId="77777777" w:rsidR="00D21D80" w:rsidRPr="009674F2" w:rsidRDefault="00D21D80" w:rsidP="00C955DB">
            <w:pPr>
              <w:spacing w:after="0"/>
              <w:jc w:val="both"/>
              <w:rPr>
                <w:rFonts w:ascii="Times New Roman" w:hAnsi="Times New Roman" w:cs="Times New Roman"/>
                <w:noProof/>
                <w:color w:val="006100"/>
                <w:highlight w:val="yellow"/>
                <w:lang w:val="en-US"/>
              </w:rPr>
            </w:pPr>
          </w:p>
        </w:tc>
        <w:tc>
          <w:tcPr>
            <w:tcW w:w="1559" w:type="dxa"/>
            <w:tcBorders>
              <w:top w:val="nil"/>
              <w:left w:val="nil"/>
              <w:bottom w:val="single" w:sz="4" w:space="0" w:color="auto"/>
              <w:right w:val="single" w:sz="4" w:space="0" w:color="auto"/>
            </w:tcBorders>
            <w:shd w:val="clear" w:color="auto" w:fill="C6EFCE"/>
            <w:noWrap/>
          </w:tcPr>
          <w:p w14:paraId="29D3E57B" w14:textId="77777777" w:rsidR="00D21D80" w:rsidRPr="009674F2" w:rsidRDefault="00D21D80" w:rsidP="00C955DB">
            <w:pPr>
              <w:spacing w:after="0" w:line="240" w:lineRule="auto"/>
              <w:jc w:val="center"/>
              <w:rPr>
                <w:rFonts w:ascii="Times New Roman" w:hAnsi="Times New Roman" w:cs="Times New Roman"/>
                <w:noProof/>
                <w:color w:val="006100"/>
                <w:highlight w:val="yellow"/>
              </w:rPr>
            </w:pPr>
            <w:r>
              <w:rPr>
                <w:rFonts w:ascii="Times New Roman" w:hAnsi="Times New Roman"/>
                <w:noProof/>
                <w:color w:val="006100"/>
              </w:rPr>
              <w:t>Цел</w:t>
            </w:r>
          </w:p>
        </w:tc>
        <w:tc>
          <w:tcPr>
            <w:tcW w:w="3418" w:type="dxa"/>
            <w:tcBorders>
              <w:top w:val="nil"/>
              <w:left w:val="nil"/>
              <w:bottom w:val="single" w:sz="4" w:space="0" w:color="auto"/>
              <w:right w:val="single" w:sz="4" w:space="0" w:color="auto"/>
            </w:tcBorders>
            <w:shd w:val="clear" w:color="auto" w:fill="C6EFCE"/>
            <w:noWrap/>
          </w:tcPr>
          <w:p w14:paraId="4117782D" w14:textId="77777777" w:rsidR="00D21D80" w:rsidRPr="009674F2" w:rsidRDefault="00D21D80" w:rsidP="00C955DB">
            <w:pPr>
              <w:spacing w:after="0" w:line="240" w:lineRule="auto"/>
              <w:jc w:val="both"/>
              <w:rPr>
                <w:rFonts w:ascii="Times New Roman" w:hAnsi="Times New Roman" w:cs="Times New Roman"/>
                <w:noProof/>
                <w:color w:val="006100"/>
                <w:highlight w:val="yellow"/>
              </w:rPr>
            </w:pPr>
            <w:r>
              <w:rPr>
                <w:rFonts w:ascii="Times New Roman" w:hAnsi="Times New Roman"/>
                <w:noProof/>
                <w:color w:val="006100"/>
              </w:rPr>
              <w:t>Приключване на обновяването на училищата</w:t>
            </w:r>
          </w:p>
        </w:tc>
      </w:tr>
      <w:tr w:rsidR="00D21D80" w:rsidRPr="005241FC" w14:paraId="614356C8" w14:textId="77777777" w:rsidTr="267FDB55">
        <w:trPr>
          <w:trHeight w:val="302"/>
          <w:jc w:val="center"/>
        </w:trPr>
        <w:tc>
          <w:tcPr>
            <w:tcW w:w="1292" w:type="dxa"/>
            <w:tcBorders>
              <w:top w:val="nil"/>
              <w:left w:val="single" w:sz="4" w:space="0" w:color="auto"/>
              <w:bottom w:val="single" w:sz="4" w:space="0" w:color="auto"/>
              <w:right w:val="single" w:sz="4" w:space="0" w:color="auto"/>
            </w:tcBorders>
            <w:shd w:val="clear" w:color="auto" w:fill="C6EFCE"/>
            <w:noWrap/>
          </w:tcPr>
          <w:p w14:paraId="4E01730D"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14</w:t>
            </w:r>
          </w:p>
        </w:tc>
        <w:tc>
          <w:tcPr>
            <w:tcW w:w="3969" w:type="dxa"/>
            <w:tcBorders>
              <w:top w:val="nil"/>
              <w:left w:val="nil"/>
              <w:bottom w:val="single" w:sz="4" w:space="0" w:color="auto"/>
              <w:right w:val="single" w:sz="4" w:space="0" w:color="auto"/>
            </w:tcBorders>
            <w:shd w:val="clear" w:color="auto" w:fill="C6EFCE"/>
            <w:noWrap/>
          </w:tcPr>
          <w:p w14:paraId="28A7A792" w14:textId="77777777" w:rsidR="00D21D80" w:rsidRPr="009674F2" w:rsidRDefault="00D21D80" w:rsidP="00C955DB">
            <w:pPr>
              <w:spacing w:after="0"/>
              <w:jc w:val="both"/>
              <w:rPr>
                <w:rFonts w:ascii="Times New Roman" w:hAnsi="Times New Roman" w:cs="Times New Roman"/>
                <w:noProof/>
                <w:color w:val="006100"/>
              </w:rPr>
            </w:pPr>
            <w:r>
              <w:rPr>
                <w:rFonts w:ascii="Times New Roman" w:hAnsi="Times New Roman"/>
                <w:noProof/>
                <w:color w:val="006100"/>
              </w:rPr>
              <w:t>C1I2 Модернизиране на образователната инфраструктура</w:t>
            </w:r>
          </w:p>
          <w:p w14:paraId="42D44A74" w14:textId="77777777" w:rsidR="00D21D80" w:rsidRPr="009674F2" w:rsidRDefault="00D21D80" w:rsidP="00C955DB">
            <w:pPr>
              <w:spacing w:after="0"/>
              <w:jc w:val="both"/>
              <w:rPr>
                <w:rFonts w:ascii="Times New Roman" w:hAnsi="Times New Roman" w:cs="Times New Roman"/>
                <w:noProof/>
                <w:color w:val="006100"/>
                <w:lang w:val="en-US"/>
              </w:rPr>
            </w:pPr>
          </w:p>
        </w:tc>
        <w:tc>
          <w:tcPr>
            <w:tcW w:w="1559" w:type="dxa"/>
            <w:tcBorders>
              <w:top w:val="nil"/>
              <w:left w:val="nil"/>
              <w:bottom w:val="single" w:sz="4" w:space="0" w:color="auto"/>
              <w:right w:val="single" w:sz="4" w:space="0" w:color="auto"/>
            </w:tcBorders>
            <w:shd w:val="clear" w:color="auto" w:fill="C6EFCE"/>
            <w:noWrap/>
          </w:tcPr>
          <w:p w14:paraId="653929BE" w14:textId="77777777" w:rsidR="00D21D80" w:rsidRPr="009674F2" w:rsidRDefault="00D21D80" w:rsidP="00C955DB">
            <w:pPr>
              <w:spacing w:after="0" w:line="240" w:lineRule="auto"/>
              <w:jc w:val="center"/>
              <w:rPr>
                <w:rFonts w:ascii="Times New Roman" w:hAnsi="Times New Roman" w:cs="Times New Roman"/>
                <w:noProof/>
                <w:color w:val="006100"/>
              </w:rPr>
            </w:pPr>
            <w:r>
              <w:rPr>
                <w:rFonts w:ascii="Times New Roman" w:hAnsi="Times New Roman"/>
                <w:noProof/>
                <w:color w:val="006100"/>
              </w:rPr>
              <w:t>Цел</w:t>
            </w:r>
          </w:p>
        </w:tc>
        <w:tc>
          <w:tcPr>
            <w:tcW w:w="3418" w:type="dxa"/>
            <w:tcBorders>
              <w:top w:val="nil"/>
              <w:left w:val="nil"/>
              <w:bottom w:val="single" w:sz="4" w:space="0" w:color="auto"/>
              <w:right w:val="single" w:sz="4" w:space="0" w:color="auto"/>
            </w:tcBorders>
            <w:shd w:val="clear" w:color="auto" w:fill="C6EFCE"/>
            <w:noWrap/>
          </w:tcPr>
          <w:p w14:paraId="5D03438D" w14:textId="77777777" w:rsidR="00D21D80" w:rsidRPr="009674F2" w:rsidRDefault="00D21D80" w:rsidP="00C955DB">
            <w:pPr>
              <w:spacing w:after="0" w:line="240" w:lineRule="auto"/>
              <w:jc w:val="both"/>
              <w:rPr>
                <w:rFonts w:ascii="Times New Roman" w:hAnsi="Times New Roman" w:cs="Times New Roman"/>
                <w:noProof/>
                <w:color w:val="006100"/>
              </w:rPr>
            </w:pPr>
            <w:r>
              <w:rPr>
                <w:rFonts w:ascii="Times New Roman" w:hAnsi="Times New Roman"/>
                <w:noProof/>
                <w:color w:val="006100"/>
              </w:rPr>
              <w:t>Приключване на строителството на детски градини и училища</w:t>
            </w:r>
          </w:p>
        </w:tc>
      </w:tr>
      <w:tr w:rsidR="00D21D80" w:rsidRPr="005241FC" w14:paraId="00FD24ED" w14:textId="77777777" w:rsidTr="267FDB55">
        <w:trPr>
          <w:trHeight w:val="302"/>
          <w:jc w:val="center"/>
        </w:trPr>
        <w:tc>
          <w:tcPr>
            <w:tcW w:w="1292" w:type="dxa"/>
            <w:tcBorders>
              <w:top w:val="nil"/>
              <w:left w:val="single" w:sz="4" w:space="0" w:color="auto"/>
              <w:bottom w:val="single" w:sz="4" w:space="0" w:color="auto"/>
              <w:right w:val="single" w:sz="4" w:space="0" w:color="auto"/>
            </w:tcBorders>
            <w:shd w:val="clear" w:color="auto" w:fill="C6EFCE"/>
            <w:noWrap/>
          </w:tcPr>
          <w:p w14:paraId="6F651956"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15</w:t>
            </w:r>
          </w:p>
        </w:tc>
        <w:tc>
          <w:tcPr>
            <w:tcW w:w="3969" w:type="dxa"/>
            <w:tcBorders>
              <w:top w:val="nil"/>
              <w:left w:val="nil"/>
              <w:bottom w:val="single" w:sz="4" w:space="0" w:color="auto"/>
              <w:right w:val="single" w:sz="4" w:space="0" w:color="auto"/>
            </w:tcBorders>
            <w:shd w:val="clear" w:color="auto" w:fill="C6EFCE"/>
            <w:noWrap/>
          </w:tcPr>
          <w:p w14:paraId="1489DA8D" w14:textId="77777777" w:rsidR="00D21D80" w:rsidRPr="009674F2" w:rsidRDefault="00D21D80" w:rsidP="00C955DB">
            <w:pPr>
              <w:spacing w:after="0"/>
              <w:jc w:val="both"/>
              <w:rPr>
                <w:rFonts w:ascii="Times New Roman" w:hAnsi="Times New Roman" w:cs="Times New Roman"/>
                <w:noProof/>
                <w:color w:val="006100"/>
              </w:rPr>
            </w:pPr>
            <w:r>
              <w:rPr>
                <w:rFonts w:ascii="Times New Roman" w:hAnsi="Times New Roman"/>
                <w:noProof/>
                <w:color w:val="006100"/>
              </w:rPr>
              <w:t>C1I2 Модернизиране на образователната инфраструктура</w:t>
            </w:r>
          </w:p>
        </w:tc>
        <w:tc>
          <w:tcPr>
            <w:tcW w:w="1559" w:type="dxa"/>
            <w:tcBorders>
              <w:top w:val="nil"/>
              <w:left w:val="nil"/>
              <w:bottom w:val="single" w:sz="4" w:space="0" w:color="auto"/>
              <w:right w:val="single" w:sz="4" w:space="0" w:color="auto"/>
            </w:tcBorders>
            <w:shd w:val="clear" w:color="auto" w:fill="C6EFCE"/>
            <w:noWrap/>
          </w:tcPr>
          <w:p w14:paraId="079212B1" w14:textId="77777777" w:rsidR="00D21D80" w:rsidRPr="009674F2" w:rsidRDefault="00D21D80" w:rsidP="00C955DB">
            <w:pPr>
              <w:spacing w:after="0" w:line="240" w:lineRule="auto"/>
              <w:jc w:val="center"/>
              <w:rPr>
                <w:rFonts w:ascii="Times New Roman" w:hAnsi="Times New Roman" w:cs="Times New Roman"/>
                <w:noProof/>
                <w:color w:val="006100"/>
              </w:rPr>
            </w:pPr>
            <w:r>
              <w:rPr>
                <w:rFonts w:ascii="Times New Roman" w:hAnsi="Times New Roman"/>
                <w:noProof/>
                <w:color w:val="006100"/>
              </w:rPr>
              <w:t>Цел</w:t>
            </w:r>
          </w:p>
        </w:tc>
        <w:tc>
          <w:tcPr>
            <w:tcW w:w="3418" w:type="dxa"/>
            <w:tcBorders>
              <w:top w:val="nil"/>
              <w:left w:val="nil"/>
              <w:bottom w:val="single" w:sz="4" w:space="0" w:color="auto"/>
              <w:right w:val="single" w:sz="4" w:space="0" w:color="auto"/>
            </w:tcBorders>
            <w:shd w:val="clear" w:color="auto" w:fill="C6EFCE"/>
            <w:noWrap/>
          </w:tcPr>
          <w:p w14:paraId="09E3BE03" w14:textId="77777777" w:rsidR="00D21D80" w:rsidRPr="009674F2" w:rsidRDefault="00D21D80" w:rsidP="00C955DB">
            <w:pPr>
              <w:spacing w:after="0" w:line="240" w:lineRule="auto"/>
              <w:jc w:val="both"/>
              <w:rPr>
                <w:rFonts w:ascii="Times New Roman" w:hAnsi="Times New Roman" w:cs="Times New Roman"/>
                <w:noProof/>
                <w:color w:val="006100"/>
              </w:rPr>
            </w:pPr>
            <w:r>
              <w:rPr>
                <w:rFonts w:ascii="Times New Roman" w:hAnsi="Times New Roman"/>
                <w:noProof/>
                <w:color w:val="006100"/>
              </w:rPr>
              <w:t xml:space="preserve">Приключване на обновяването на студентски общежития </w:t>
            </w:r>
          </w:p>
        </w:tc>
      </w:tr>
      <w:tr w:rsidR="00D21D80" w:rsidRPr="005241FC" w14:paraId="5C1629B6" w14:textId="77777777" w:rsidTr="267FDB55">
        <w:trPr>
          <w:trHeight w:val="302"/>
          <w:jc w:val="center"/>
        </w:trPr>
        <w:tc>
          <w:tcPr>
            <w:tcW w:w="1292" w:type="dxa"/>
            <w:tcBorders>
              <w:top w:val="nil"/>
              <w:left w:val="single" w:sz="4" w:space="0" w:color="auto"/>
              <w:bottom w:val="single" w:sz="4" w:space="0" w:color="auto"/>
              <w:right w:val="single" w:sz="4" w:space="0" w:color="auto"/>
            </w:tcBorders>
            <w:shd w:val="clear" w:color="auto" w:fill="C6EFCE"/>
            <w:noWrap/>
          </w:tcPr>
          <w:p w14:paraId="0A7E558B"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16</w:t>
            </w:r>
          </w:p>
        </w:tc>
        <w:tc>
          <w:tcPr>
            <w:tcW w:w="3969" w:type="dxa"/>
            <w:tcBorders>
              <w:top w:val="nil"/>
              <w:left w:val="nil"/>
              <w:bottom w:val="single" w:sz="4" w:space="0" w:color="auto"/>
              <w:right w:val="single" w:sz="4" w:space="0" w:color="auto"/>
            </w:tcBorders>
            <w:shd w:val="clear" w:color="auto" w:fill="C6EFCE"/>
            <w:noWrap/>
          </w:tcPr>
          <w:p w14:paraId="2BA466E0" w14:textId="77777777" w:rsidR="00D21D80" w:rsidRPr="009674F2" w:rsidRDefault="00D21D80" w:rsidP="00C955DB">
            <w:pPr>
              <w:spacing w:after="0"/>
              <w:jc w:val="both"/>
              <w:rPr>
                <w:rFonts w:ascii="Times New Roman" w:hAnsi="Times New Roman" w:cs="Times New Roman"/>
                <w:noProof/>
                <w:color w:val="006100"/>
              </w:rPr>
            </w:pPr>
            <w:r>
              <w:rPr>
                <w:rFonts w:ascii="Times New Roman" w:hAnsi="Times New Roman"/>
                <w:noProof/>
                <w:color w:val="006100"/>
              </w:rPr>
              <w:t>C1I2 Модернизиране на образователната инфраструктура</w:t>
            </w:r>
          </w:p>
          <w:p w14:paraId="5D0B7940" w14:textId="77777777" w:rsidR="00D21D80" w:rsidRPr="009674F2" w:rsidRDefault="00D21D80" w:rsidP="00C955DB">
            <w:pPr>
              <w:spacing w:after="0"/>
              <w:jc w:val="both"/>
              <w:rPr>
                <w:rFonts w:ascii="Times New Roman" w:hAnsi="Times New Roman" w:cs="Times New Roman"/>
                <w:noProof/>
                <w:color w:val="006100"/>
                <w:lang w:val="en-US"/>
              </w:rPr>
            </w:pPr>
          </w:p>
        </w:tc>
        <w:tc>
          <w:tcPr>
            <w:tcW w:w="1559" w:type="dxa"/>
            <w:tcBorders>
              <w:top w:val="nil"/>
              <w:left w:val="nil"/>
              <w:bottom w:val="single" w:sz="4" w:space="0" w:color="auto"/>
              <w:right w:val="single" w:sz="4" w:space="0" w:color="auto"/>
            </w:tcBorders>
            <w:shd w:val="clear" w:color="auto" w:fill="C6EFCE"/>
            <w:noWrap/>
          </w:tcPr>
          <w:p w14:paraId="1C377497" w14:textId="77777777" w:rsidR="00D21D80" w:rsidRPr="009674F2" w:rsidRDefault="00D21D80" w:rsidP="00C955DB">
            <w:pPr>
              <w:spacing w:after="0" w:line="240" w:lineRule="auto"/>
              <w:jc w:val="center"/>
              <w:rPr>
                <w:rFonts w:ascii="Times New Roman" w:hAnsi="Times New Roman" w:cs="Times New Roman"/>
                <w:noProof/>
                <w:color w:val="006100"/>
              </w:rPr>
            </w:pPr>
            <w:r>
              <w:rPr>
                <w:rFonts w:ascii="Times New Roman" w:hAnsi="Times New Roman"/>
                <w:noProof/>
                <w:color w:val="006100"/>
              </w:rPr>
              <w:t>Цел</w:t>
            </w:r>
          </w:p>
        </w:tc>
        <w:tc>
          <w:tcPr>
            <w:tcW w:w="3418" w:type="dxa"/>
            <w:tcBorders>
              <w:top w:val="nil"/>
              <w:left w:val="nil"/>
              <w:bottom w:val="single" w:sz="4" w:space="0" w:color="auto"/>
              <w:right w:val="single" w:sz="4" w:space="0" w:color="auto"/>
            </w:tcBorders>
            <w:shd w:val="clear" w:color="auto" w:fill="C6EFCE"/>
            <w:noWrap/>
          </w:tcPr>
          <w:p w14:paraId="1680890B" w14:textId="77777777" w:rsidR="00D21D80" w:rsidRPr="009674F2" w:rsidRDefault="00D21D80" w:rsidP="00C955DB">
            <w:pPr>
              <w:spacing w:after="0" w:line="240" w:lineRule="auto"/>
              <w:jc w:val="both"/>
              <w:rPr>
                <w:rFonts w:ascii="Times New Roman" w:hAnsi="Times New Roman" w:cs="Times New Roman"/>
                <w:noProof/>
                <w:color w:val="006100"/>
              </w:rPr>
            </w:pPr>
            <w:r>
              <w:rPr>
                <w:rFonts w:ascii="Times New Roman" w:hAnsi="Times New Roman"/>
                <w:noProof/>
                <w:color w:val="006100"/>
              </w:rPr>
              <w:t>Приключване на изграждането и/или обновяването на университетски комплекси</w:t>
            </w:r>
          </w:p>
        </w:tc>
      </w:tr>
      <w:tr w:rsidR="00D21D80" w:rsidRPr="005241FC" w14:paraId="37603AFE" w14:textId="77777777" w:rsidTr="267FDB55">
        <w:trPr>
          <w:trHeight w:val="302"/>
          <w:jc w:val="center"/>
        </w:trPr>
        <w:tc>
          <w:tcPr>
            <w:tcW w:w="1292" w:type="dxa"/>
            <w:tcBorders>
              <w:top w:val="nil"/>
              <w:left w:val="single" w:sz="4" w:space="0" w:color="auto"/>
              <w:bottom w:val="single" w:sz="4" w:space="0" w:color="auto"/>
              <w:right w:val="single" w:sz="4" w:space="0" w:color="auto"/>
            </w:tcBorders>
            <w:shd w:val="clear" w:color="auto" w:fill="C6EFCE"/>
            <w:noWrap/>
          </w:tcPr>
          <w:p w14:paraId="594B063B"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21</w:t>
            </w:r>
          </w:p>
        </w:tc>
        <w:tc>
          <w:tcPr>
            <w:tcW w:w="3969" w:type="dxa"/>
            <w:tcBorders>
              <w:top w:val="nil"/>
              <w:left w:val="nil"/>
              <w:bottom w:val="single" w:sz="4" w:space="0" w:color="auto"/>
              <w:right w:val="single" w:sz="4" w:space="0" w:color="auto"/>
            </w:tcBorders>
            <w:shd w:val="clear" w:color="auto" w:fill="C6EFCE"/>
            <w:noWrap/>
          </w:tcPr>
          <w:p w14:paraId="2E3ADA7B" w14:textId="77777777" w:rsidR="00D21D80" w:rsidRPr="009674F2" w:rsidRDefault="00D21D80" w:rsidP="00C955DB">
            <w:pPr>
              <w:spacing w:after="0"/>
              <w:jc w:val="both"/>
              <w:rPr>
                <w:rFonts w:ascii="Times New Roman" w:hAnsi="Times New Roman" w:cs="Times New Roman"/>
                <w:noProof/>
                <w:color w:val="006100"/>
              </w:rPr>
            </w:pPr>
            <w:r>
              <w:rPr>
                <w:rFonts w:ascii="Times New Roman" w:hAnsi="Times New Roman"/>
                <w:noProof/>
                <w:color w:val="006100"/>
              </w:rPr>
              <w:t>C1I3 Предлагане на обучения за придобиване на умения в областта на цифровите технологии и създаване на обучителна платформа за възрастни</w:t>
            </w:r>
          </w:p>
        </w:tc>
        <w:tc>
          <w:tcPr>
            <w:tcW w:w="1559" w:type="dxa"/>
            <w:tcBorders>
              <w:top w:val="nil"/>
              <w:left w:val="nil"/>
              <w:bottom w:val="single" w:sz="4" w:space="0" w:color="auto"/>
              <w:right w:val="single" w:sz="4" w:space="0" w:color="auto"/>
            </w:tcBorders>
            <w:shd w:val="clear" w:color="auto" w:fill="C6EFCE"/>
            <w:noWrap/>
          </w:tcPr>
          <w:p w14:paraId="22DC5A61" w14:textId="77777777" w:rsidR="00D21D80" w:rsidRPr="009674F2" w:rsidRDefault="00D21D80" w:rsidP="00C955DB">
            <w:pPr>
              <w:spacing w:after="0" w:line="240" w:lineRule="auto"/>
              <w:jc w:val="center"/>
              <w:rPr>
                <w:rFonts w:ascii="Times New Roman" w:hAnsi="Times New Roman" w:cs="Times New Roman"/>
                <w:noProof/>
                <w:color w:val="006100"/>
              </w:rPr>
            </w:pPr>
            <w:r>
              <w:rPr>
                <w:rFonts w:ascii="Times New Roman" w:hAnsi="Times New Roman"/>
                <w:noProof/>
                <w:color w:val="006100"/>
              </w:rPr>
              <w:t>Цел</w:t>
            </w:r>
          </w:p>
        </w:tc>
        <w:tc>
          <w:tcPr>
            <w:tcW w:w="3418" w:type="dxa"/>
            <w:tcBorders>
              <w:top w:val="nil"/>
              <w:left w:val="nil"/>
              <w:bottom w:val="single" w:sz="4" w:space="0" w:color="auto"/>
              <w:right w:val="single" w:sz="4" w:space="0" w:color="auto"/>
            </w:tcBorders>
            <w:shd w:val="clear" w:color="auto" w:fill="C6EFCE"/>
            <w:noWrap/>
          </w:tcPr>
          <w:p w14:paraId="7A840FD4" w14:textId="77777777" w:rsidR="00D21D80" w:rsidRPr="009674F2" w:rsidRDefault="00D21D80" w:rsidP="00C955DB">
            <w:pPr>
              <w:spacing w:after="0" w:line="240" w:lineRule="auto"/>
              <w:jc w:val="both"/>
              <w:rPr>
                <w:rFonts w:ascii="Times New Roman" w:hAnsi="Times New Roman" w:cs="Times New Roman"/>
                <w:noProof/>
                <w:color w:val="006100"/>
              </w:rPr>
            </w:pPr>
            <w:r>
              <w:rPr>
                <w:rFonts w:ascii="Times New Roman" w:hAnsi="Times New Roman"/>
                <w:noProof/>
                <w:color w:val="006100"/>
              </w:rPr>
              <w:t>Брой на хората със свидетелство за придобити в резултат на курс умения в областта на цифровите технологии</w:t>
            </w:r>
          </w:p>
        </w:tc>
      </w:tr>
      <w:tr w:rsidR="00D21D80" w:rsidRPr="005241FC" w14:paraId="330344AF" w14:textId="77777777" w:rsidTr="267FDB55">
        <w:trPr>
          <w:trHeight w:val="302"/>
          <w:jc w:val="center"/>
        </w:trPr>
        <w:tc>
          <w:tcPr>
            <w:tcW w:w="1292" w:type="dxa"/>
            <w:tcBorders>
              <w:top w:val="nil"/>
              <w:left w:val="single" w:sz="4" w:space="0" w:color="auto"/>
              <w:bottom w:val="single" w:sz="4" w:space="0" w:color="auto"/>
              <w:right w:val="single" w:sz="4" w:space="0" w:color="auto"/>
            </w:tcBorders>
            <w:shd w:val="clear" w:color="auto" w:fill="C6EFCE"/>
            <w:noWrap/>
          </w:tcPr>
          <w:p w14:paraId="01C3E93C"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23</w:t>
            </w:r>
          </w:p>
        </w:tc>
        <w:tc>
          <w:tcPr>
            <w:tcW w:w="3969" w:type="dxa"/>
            <w:tcBorders>
              <w:top w:val="nil"/>
              <w:left w:val="nil"/>
              <w:bottom w:val="single" w:sz="4" w:space="0" w:color="auto"/>
              <w:right w:val="single" w:sz="4" w:space="0" w:color="auto"/>
            </w:tcBorders>
            <w:shd w:val="clear" w:color="auto" w:fill="C6EFCE"/>
            <w:noWrap/>
          </w:tcPr>
          <w:p w14:paraId="53D756CC" w14:textId="77777777" w:rsidR="00D21D80" w:rsidRPr="009674F2" w:rsidRDefault="00D21D80" w:rsidP="00C955DB">
            <w:pPr>
              <w:spacing w:after="0"/>
              <w:jc w:val="both"/>
              <w:rPr>
                <w:rFonts w:ascii="Times New Roman" w:hAnsi="Times New Roman" w:cs="Times New Roman"/>
                <w:noProof/>
                <w:color w:val="006100"/>
                <w:highlight w:val="yellow"/>
              </w:rPr>
            </w:pPr>
            <w:r>
              <w:rPr>
                <w:rFonts w:ascii="Times New Roman" w:hAnsi="Times New Roman"/>
                <w:noProof/>
                <w:color w:val="006100"/>
              </w:rPr>
              <w:t>C1I4 Младежки центрове</w:t>
            </w:r>
          </w:p>
        </w:tc>
        <w:tc>
          <w:tcPr>
            <w:tcW w:w="1559" w:type="dxa"/>
            <w:tcBorders>
              <w:top w:val="nil"/>
              <w:left w:val="nil"/>
              <w:bottom w:val="single" w:sz="4" w:space="0" w:color="auto"/>
              <w:right w:val="single" w:sz="4" w:space="0" w:color="auto"/>
            </w:tcBorders>
            <w:shd w:val="clear" w:color="auto" w:fill="C6EFCE"/>
            <w:noWrap/>
          </w:tcPr>
          <w:p w14:paraId="0729AC34" w14:textId="77777777" w:rsidR="00D21D80" w:rsidRPr="009674F2" w:rsidRDefault="00D21D80" w:rsidP="00C955DB">
            <w:pPr>
              <w:spacing w:after="0" w:line="240" w:lineRule="auto"/>
              <w:jc w:val="center"/>
              <w:rPr>
                <w:rFonts w:ascii="Times New Roman" w:hAnsi="Times New Roman" w:cs="Times New Roman"/>
                <w:noProof/>
                <w:color w:val="006100"/>
                <w:highlight w:val="yellow"/>
              </w:rPr>
            </w:pPr>
            <w:r>
              <w:rPr>
                <w:rFonts w:ascii="Times New Roman" w:hAnsi="Times New Roman"/>
                <w:noProof/>
                <w:color w:val="006100"/>
              </w:rPr>
              <w:t>Цел</w:t>
            </w:r>
          </w:p>
        </w:tc>
        <w:tc>
          <w:tcPr>
            <w:tcW w:w="3418" w:type="dxa"/>
            <w:tcBorders>
              <w:top w:val="nil"/>
              <w:left w:val="nil"/>
              <w:bottom w:val="single" w:sz="4" w:space="0" w:color="auto"/>
              <w:right w:val="single" w:sz="4" w:space="0" w:color="auto"/>
            </w:tcBorders>
            <w:shd w:val="clear" w:color="auto" w:fill="C6EFCE"/>
            <w:noWrap/>
          </w:tcPr>
          <w:p w14:paraId="64BFF412" w14:textId="77777777" w:rsidR="00D21D80" w:rsidRPr="009674F2" w:rsidRDefault="00D21D80" w:rsidP="00C955DB">
            <w:pPr>
              <w:spacing w:after="0" w:line="240" w:lineRule="auto"/>
              <w:jc w:val="both"/>
              <w:rPr>
                <w:rFonts w:ascii="Times New Roman" w:hAnsi="Times New Roman" w:cs="Times New Roman"/>
                <w:noProof/>
                <w:color w:val="006100"/>
                <w:highlight w:val="yellow"/>
              </w:rPr>
            </w:pPr>
            <w:r>
              <w:rPr>
                <w:rFonts w:ascii="Times New Roman" w:hAnsi="Times New Roman"/>
                <w:noProof/>
                <w:color w:val="006100"/>
              </w:rPr>
              <w:t>Студенти/младежи, регистрирани в поне една дейност на младежките центрове.</w:t>
            </w:r>
          </w:p>
        </w:tc>
      </w:tr>
      <w:tr w:rsidR="00D21D80" w:rsidRPr="005241FC" w14:paraId="1608AE53" w14:textId="77777777" w:rsidTr="267FDB55">
        <w:trPr>
          <w:trHeight w:val="302"/>
          <w:jc w:val="center"/>
        </w:trPr>
        <w:tc>
          <w:tcPr>
            <w:tcW w:w="1292" w:type="dxa"/>
            <w:tcBorders>
              <w:top w:val="nil"/>
              <w:left w:val="single" w:sz="4" w:space="0" w:color="auto"/>
              <w:bottom w:val="single" w:sz="4" w:space="0" w:color="auto"/>
              <w:right w:val="single" w:sz="4" w:space="0" w:color="auto"/>
            </w:tcBorders>
            <w:shd w:val="clear" w:color="auto" w:fill="C6EFCE"/>
            <w:noWrap/>
          </w:tcPr>
          <w:p w14:paraId="1F6EC7DD"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28</w:t>
            </w:r>
          </w:p>
        </w:tc>
        <w:tc>
          <w:tcPr>
            <w:tcW w:w="3969" w:type="dxa"/>
            <w:tcBorders>
              <w:top w:val="nil"/>
              <w:left w:val="nil"/>
              <w:bottom w:val="single" w:sz="4" w:space="0" w:color="auto"/>
              <w:right w:val="single" w:sz="4" w:space="0" w:color="auto"/>
            </w:tcBorders>
            <w:shd w:val="clear" w:color="auto" w:fill="C6EFCE"/>
            <w:noWrap/>
            <w:vAlign w:val="center"/>
          </w:tcPr>
          <w:p w14:paraId="77F63E67" w14:textId="77777777" w:rsidR="00D21D80" w:rsidRPr="009674F2" w:rsidRDefault="00D21D80" w:rsidP="00C955DB">
            <w:pPr>
              <w:spacing w:after="0" w:line="240" w:lineRule="auto"/>
              <w:jc w:val="both"/>
              <w:rPr>
                <w:rFonts w:ascii="Times New Roman" w:hAnsi="Times New Roman" w:cs="Times New Roman"/>
                <w:noProof/>
                <w:color w:val="006100"/>
              </w:rPr>
            </w:pPr>
            <w:r>
              <w:rPr>
                <w:rFonts w:ascii="Times New Roman" w:hAnsi="Times New Roman"/>
                <w:noProof/>
                <w:color w:val="006100"/>
              </w:rPr>
              <w:t>C2I1 Програма за ускоряване на икономическото възстановяване и трансформация чрез научни изследвания и иновации</w:t>
            </w:r>
          </w:p>
        </w:tc>
        <w:tc>
          <w:tcPr>
            <w:tcW w:w="1559" w:type="dxa"/>
            <w:tcBorders>
              <w:top w:val="nil"/>
              <w:left w:val="nil"/>
              <w:bottom w:val="single" w:sz="4" w:space="0" w:color="auto"/>
              <w:right w:val="single" w:sz="4" w:space="0" w:color="auto"/>
            </w:tcBorders>
            <w:shd w:val="clear" w:color="auto" w:fill="C6EFCE"/>
            <w:noWrap/>
            <w:vAlign w:val="center"/>
          </w:tcPr>
          <w:p w14:paraId="3CC4DC72" w14:textId="77777777" w:rsidR="00D21D80" w:rsidRPr="009674F2" w:rsidRDefault="00D21D80" w:rsidP="00C955DB">
            <w:pPr>
              <w:spacing w:after="0" w:line="240" w:lineRule="auto"/>
              <w:jc w:val="center"/>
              <w:rPr>
                <w:rFonts w:ascii="Times New Roman" w:hAnsi="Times New Roman" w:cs="Times New Roman"/>
                <w:noProof/>
                <w:color w:val="006100"/>
              </w:rPr>
            </w:pPr>
            <w:r>
              <w:rPr>
                <w:rFonts w:ascii="Times New Roman" w:hAnsi="Times New Roman"/>
                <w:noProof/>
                <w:color w:val="006100"/>
              </w:rPr>
              <w:t>Цел</w:t>
            </w:r>
          </w:p>
        </w:tc>
        <w:tc>
          <w:tcPr>
            <w:tcW w:w="3418" w:type="dxa"/>
            <w:tcBorders>
              <w:top w:val="nil"/>
              <w:left w:val="nil"/>
              <w:bottom w:val="single" w:sz="4" w:space="0" w:color="auto"/>
              <w:right w:val="single" w:sz="4" w:space="0" w:color="auto"/>
            </w:tcBorders>
            <w:shd w:val="clear" w:color="auto" w:fill="C6EFCE"/>
            <w:noWrap/>
            <w:vAlign w:val="center"/>
          </w:tcPr>
          <w:p w14:paraId="6749D1F6" w14:textId="77777777" w:rsidR="00D21D80" w:rsidRPr="009674F2" w:rsidRDefault="00D21D80" w:rsidP="00C955DB">
            <w:pPr>
              <w:spacing w:after="0" w:line="240" w:lineRule="auto"/>
              <w:jc w:val="both"/>
              <w:rPr>
                <w:rFonts w:ascii="Times New Roman" w:hAnsi="Times New Roman" w:cs="Times New Roman"/>
                <w:noProof/>
                <w:color w:val="006100"/>
              </w:rPr>
            </w:pPr>
            <w:r>
              <w:rPr>
                <w:rFonts w:ascii="Times New Roman" w:hAnsi="Times New Roman"/>
                <w:noProof/>
                <w:color w:val="006100"/>
              </w:rPr>
              <w:t xml:space="preserve">Подбрани проекти на иновативни МСП и висши учебни заведения и научноизследователски организации </w:t>
            </w:r>
          </w:p>
        </w:tc>
      </w:tr>
      <w:tr w:rsidR="00D21D80" w:rsidRPr="005241FC" w14:paraId="5AE62E70" w14:textId="77777777" w:rsidTr="267FDB55">
        <w:trPr>
          <w:trHeight w:val="302"/>
          <w:jc w:val="center"/>
        </w:trPr>
        <w:tc>
          <w:tcPr>
            <w:tcW w:w="1292" w:type="dxa"/>
            <w:tcBorders>
              <w:top w:val="nil"/>
              <w:left w:val="single" w:sz="4" w:space="0" w:color="auto"/>
              <w:bottom w:val="single" w:sz="4" w:space="0" w:color="auto"/>
              <w:right w:val="single" w:sz="4" w:space="0" w:color="auto"/>
            </w:tcBorders>
            <w:shd w:val="clear" w:color="auto" w:fill="C6EFCE"/>
            <w:noWrap/>
          </w:tcPr>
          <w:p w14:paraId="66146577"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34</w:t>
            </w:r>
          </w:p>
        </w:tc>
        <w:tc>
          <w:tcPr>
            <w:tcW w:w="3969" w:type="dxa"/>
            <w:tcBorders>
              <w:top w:val="nil"/>
              <w:left w:val="nil"/>
              <w:bottom w:val="single" w:sz="4" w:space="0" w:color="auto"/>
              <w:right w:val="single" w:sz="4" w:space="0" w:color="auto"/>
            </w:tcBorders>
            <w:shd w:val="clear" w:color="auto" w:fill="C6EFCE"/>
            <w:noWrap/>
            <w:vAlign w:val="center"/>
          </w:tcPr>
          <w:p w14:paraId="378572BA" w14:textId="77777777" w:rsidR="00D21D80" w:rsidRPr="009674F2" w:rsidRDefault="00D21D80" w:rsidP="00C955DB">
            <w:pPr>
              <w:spacing w:after="0" w:line="240" w:lineRule="auto"/>
              <w:jc w:val="both"/>
              <w:rPr>
                <w:rFonts w:ascii="Times New Roman" w:hAnsi="Times New Roman" w:cs="Times New Roman"/>
                <w:noProof/>
                <w:color w:val="006100"/>
              </w:rPr>
            </w:pPr>
            <w:r>
              <w:rPr>
                <w:rFonts w:ascii="Times New Roman" w:hAnsi="Times New Roman"/>
                <w:noProof/>
                <w:color w:val="006100"/>
              </w:rPr>
              <w:t>C2I2 Повишаване на иновационния капацитет на Българската академия на науките</w:t>
            </w:r>
          </w:p>
        </w:tc>
        <w:tc>
          <w:tcPr>
            <w:tcW w:w="1559" w:type="dxa"/>
            <w:tcBorders>
              <w:top w:val="nil"/>
              <w:left w:val="nil"/>
              <w:bottom w:val="single" w:sz="4" w:space="0" w:color="auto"/>
              <w:right w:val="single" w:sz="4" w:space="0" w:color="auto"/>
            </w:tcBorders>
            <w:shd w:val="clear" w:color="auto" w:fill="C6EFCE"/>
            <w:noWrap/>
            <w:vAlign w:val="center"/>
          </w:tcPr>
          <w:p w14:paraId="158F2403" w14:textId="77777777" w:rsidR="00D21D80" w:rsidRPr="009674F2" w:rsidRDefault="00D21D80" w:rsidP="00C955DB">
            <w:pPr>
              <w:spacing w:after="0" w:line="240" w:lineRule="auto"/>
              <w:jc w:val="center"/>
              <w:rPr>
                <w:rFonts w:ascii="Times New Roman" w:hAnsi="Times New Roman" w:cs="Times New Roman"/>
                <w:noProof/>
                <w:color w:val="006100"/>
              </w:rPr>
            </w:pPr>
            <w:r>
              <w:rPr>
                <w:rFonts w:ascii="Times New Roman" w:hAnsi="Times New Roman"/>
                <w:noProof/>
                <w:color w:val="006100"/>
              </w:rPr>
              <w:t>Цел</w:t>
            </w:r>
          </w:p>
        </w:tc>
        <w:tc>
          <w:tcPr>
            <w:tcW w:w="3418" w:type="dxa"/>
            <w:tcBorders>
              <w:top w:val="nil"/>
              <w:left w:val="nil"/>
              <w:bottom w:val="single" w:sz="4" w:space="0" w:color="auto"/>
              <w:right w:val="single" w:sz="4" w:space="0" w:color="auto"/>
            </w:tcBorders>
            <w:shd w:val="clear" w:color="auto" w:fill="C6EFCE"/>
            <w:noWrap/>
            <w:vAlign w:val="center"/>
          </w:tcPr>
          <w:p w14:paraId="2F6543C8" w14:textId="77777777" w:rsidR="00D21D80" w:rsidRPr="009674F2" w:rsidRDefault="00D21D80" w:rsidP="00C955DB">
            <w:pPr>
              <w:spacing w:after="0" w:line="240" w:lineRule="auto"/>
              <w:jc w:val="both"/>
              <w:rPr>
                <w:rFonts w:ascii="Times New Roman" w:hAnsi="Times New Roman" w:cs="Times New Roman"/>
                <w:noProof/>
                <w:color w:val="006100"/>
              </w:rPr>
            </w:pPr>
            <w:r>
              <w:rPr>
                <w:rFonts w:ascii="Times New Roman" w:hAnsi="Times New Roman"/>
                <w:noProof/>
                <w:color w:val="006100"/>
              </w:rPr>
              <w:t>Приключени научноизследователски проекти в областта на прехода към екосъобразно общество и цифровизация</w:t>
            </w:r>
          </w:p>
        </w:tc>
      </w:tr>
      <w:tr w:rsidR="00D21D80" w:rsidRPr="005241FC" w14:paraId="2898F11E" w14:textId="77777777" w:rsidTr="267FDB55">
        <w:trPr>
          <w:trHeight w:val="302"/>
          <w:jc w:val="center"/>
        </w:trPr>
        <w:tc>
          <w:tcPr>
            <w:tcW w:w="1292" w:type="dxa"/>
            <w:tcBorders>
              <w:top w:val="nil"/>
              <w:left w:val="single" w:sz="4" w:space="0" w:color="auto"/>
              <w:bottom w:val="single" w:sz="4" w:space="0" w:color="auto"/>
              <w:right w:val="single" w:sz="4" w:space="0" w:color="auto"/>
            </w:tcBorders>
            <w:shd w:val="clear" w:color="auto" w:fill="C6EFCE"/>
            <w:noWrap/>
          </w:tcPr>
          <w:p w14:paraId="4B907646"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38</w:t>
            </w:r>
          </w:p>
        </w:tc>
        <w:tc>
          <w:tcPr>
            <w:tcW w:w="3969" w:type="dxa"/>
            <w:tcBorders>
              <w:top w:val="nil"/>
              <w:left w:val="nil"/>
              <w:bottom w:val="single" w:sz="4" w:space="0" w:color="auto"/>
              <w:right w:val="single" w:sz="4" w:space="0" w:color="auto"/>
            </w:tcBorders>
            <w:shd w:val="clear" w:color="auto" w:fill="C6EFCE"/>
            <w:noWrap/>
            <w:vAlign w:val="center"/>
          </w:tcPr>
          <w:p w14:paraId="00163160" w14:textId="77777777" w:rsidR="00D21D80" w:rsidRPr="009674F2" w:rsidRDefault="00D21D80" w:rsidP="00C955DB">
            <w:pPr>
              <w:spacing w:after="0" w:line="240" w:lineRule="auto"/>
              <w:jc w:val="both"/>
              <w:rPr>
                <w:rFonts w:ascii="Times New Roman" w:hAnsi="Times New Roman" w:cs="Times New Roman"/>
                <w:noProof/>
                <w:color w:val="006100"/>
              </w:rPr>
            </w:pPr>
            <w:r>
              <w:rPr>
                <w:rFonts w:ascii="Times New Roman" w:hAnsi="Times New Roman"/>
                <w:noProof/>
                <w:color w:val="006100"/>
              </w:rPr>
              <w:t>C3I1 AttractInvestBG</w:t>
            </w:r>
          </w:p>
        </w:tc>
        <w:tc>
          <w:tcPr>
            <w:tcW w:w="1559" w:type="dxa"/>
            <w:tcBorders>
              <w:top w:val="nil"/>
              <w:left w:val="nil"/>
              <w:bottom w:val="single" w:sz="4" w:space="0" w:color="auto"/>
              <w:right w:val="single" w:sz="4" w:space="0" w:color="auto"/>
            </w:tcBorders>
            <w:shd w:val="clear" w:color="auto" w:fill="C6EFCE"/>
            <w:noWrap/>
            <w:vAlign w:val="center"/>
          </w:tcPr>
          <w:p w14:paraId="6E70F076" w14:textId="77777777" w:rsidR="00D21D80" w:rsidRPr="009674F2" w:rsidRDefault="00D21D80" w:rsidP="00C955DB">
            <w:pPr>
              <w:spacing w:after="0" w:line="240" w:lineRule="auto"/>
              <w:jc w:val="center"/>
              <w:rPr>
                <w:rFonts w:ascii="Times New Roman" w:hAnsi="Times New Roman" w:cs="Times New Roman"/>
                <w:noProof/>
                <w:color w:val="006100"/>
              </w:rPr>
            </w:pPr>
            <w:r>
              <w:rPr>
                <w:rFonts w:ascii="Times New Roman" w:hAnsi="Times New Roman"/>
                <w:noProof/>
                <w:color w:val="006100"/>
              </w:rPr>
              <w:t>Цел</w:t>
            </w:r>
          </w:p>
        </w:tc>
        <w:tc>
          <w:tcPr>
            <w:tcW w:w="3418" w:type="dxa"/>
            <w:tcBorders>
              <w:top w:val="nil"/>
              <w:left w:val="nil"/>
              <w:bottom w:val="single" w:sz="4" w:space="0" w:color="auto"/>
              <w:right w:val="single" w:sz="4" w:space="0" w:color="auto"/>
            </w:tcBorders>
            <w:shd w:val="clear" w:color="auto" w:fill="C6EFCE"/>
            <w:noWrap/>
            <w:vAlign w:val="center"/>
          </w:tcPr>
          <w:p w14:paraId="7DC5CEBC" w14:textId="77777777" w:rsidR="00D21D80" w:rsidRPr="009674F2" w:rsidRDefault="00D21D80" w:rsidP="00C955DB">
            <w:pPr>
              <w:spacing w:after="0" w:line="240" w:lineRule="auto"/>
              <w:jc w:val="both"/>
              <w:rPr>
                <w:rFonts w:ascii="Times New Roman" w:hAnsi="Times New Roman" w:cs="Times New Roman"/>
                <w:noProof/>
                <w:color w:val="006100"/>
              </w:rPr>
            </w:pPr>
            <w:r>
              <w:rPr>
                <w:rFonts w:ascii="Times New Roman" w:hAnsi="Times New Roman"/>
                <w:noProof/>
                <w:color w:val="006100"/>
              </w:rPr>
              <w:t>Приключили инфраструктурни проекти в подбраните индустриални паркове или зони — функциониращи индустриални паркове или зони</w:t>
            </w:r>
          </w:p>
        </w:tc>
      </w:tr>
      <w:tr w:rsidR="00D21D80" w:rsidRPr="005241FC" w14:paraId="6DCD7A94" w14:textId="77777777" w:rsidTr="267FDB55">
        <w:trPr>
          <w:trHeight w:val="302"/>
          <w:jc w:val="center"/>
        </w:trPr>
        <w:tc>
          <w:tcPr>
            <w:tcW w:w="1292" w:type="dxa"/>
            <w:tcBorders>
              <w:top w:val="nil"/>
              <w:left w:val="single" w:sz="4" w:space="0" w:color="auto"/>
              <w:bottom w:val="single" w:sz="4" w:space="0" w:color="auto"/>
              <w:right w:val="single" w:sz="4" w:space="0" w:color="auto"/>
            </w:tcBorders>
            <w:shd w:val="clear" w:color="auto" w:fill="C6EFCE"/>
            <w:noWrap/>
          </w:tcPr>
          <w:p w14:paraId="0E66D841"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39</w:t>
            </w:r>
          </w:p>
        </w:tc>
        <w:tc>
          <w:tcPr>
            <w:tcW w:w="3969" w:type="dxa"/>
            <w:tcBorders>
              <w:top w:val="nil"/>
              <w:left w:val="nil"/>
              <w:bottom w:val="single" w:sz="4" w:space="0" w:color="auto"/>
              <w:right w:val="single" w:sz="4" w:space="0" w:color="auto"/>
            </w:tcBorders>
            <w:shd w:val="clear" w:color="auto" w:fill="C6EFCE"/>
            <w:noWrap/>
            <w:vAlign w:val="center"/>
          </w:tcPr>
          <w:p w14:paraId="1A82EC9D" w14:textId="77777777" w:rsidR="00D21D80" w:rsidRPr="009674F2" w:rsidRDefault="00D21D80" w:rsidP="00C955DB">
            <w:pPr>
              <w:spacing w:after="0" w:line="240" w:lineRule="auto"/>
              <w:jc w:val="both"/>
              <w:rPr>
                <w:rFonts w:ascii="Times New Roman" w:hAnsi="Times New Roman" w:cs="Times New Roman"/>
                <w:noProof/>
                <w:color w:val="006100"/>
              </w:rPr>
            </w:pPr>
            <w:r>
              <w:rPr>
                <w:rFonts w:ascii="Times New Roman" w:hAnsi="Times New Roman"/>
                <w:noProof/>
                <w:color w:val="006100"/>
              </w:rPr>
              <w:t>C3I1 AttractInvestBG</w:t>
            </w:r>
          </w:p>
        </w:tc>
        <w:tc>
          <w:tcPr>
            <w:tcW w:w="1559" w:type="dxa"/>
            <w:tcBorders>
              <w:top w:val="nil"/>
              <w:left w:val="nil"/>
              <w:bottom w:val="single" w:sz="4" w:space="0" w:color="auto"/>
              <w:right w:val="single" w:sz="4" w:space="0" w:color="auto"/>
            </w:tcBorders>
            <w:shd w:val="clear" w:color="auto" w:fill="C6EFCE"/>
            <w:noWrap/>
            <w:vAlign w:val="center"/>
          </w:tcPr>
          <w:p w14:paraId="2BBC02F3" w14:textId="77777777" w:rsidR="00D21D80" w:rsidRPr="009674F2" w:rsidRDefault="00D21D80" w:rsidP="00C955DB">
            <w:pPr>
              <w:spacing w:after="0" w:line="240" w:lineRule="auto"/>
              <w:jc w:val="center"/>
              <w:rPr>
                <w:rFonts w:ascii="Times New Roman" w:hAnsi="Times New Roman" w:cs="Times New Roman"/>
                <w:noProof/>
                <w:color w:val="006100"/>
              </w:rPr>
            </w:pPr>
            <w:r>
              <w:rPr>
                <w:rFonts w:ascii="Times New Roman" w:hAnsi="Times New Roman"/>
                <w:noProof/>
                <w:color w:val="006100"/>
              </w:rPr>
              <w:t>Цел</w:t>
            </w:r>
          </w:p>
        </w:tc>
        <w:tc>
          <w:tcPr>
            <w:tcW w:w="3418" w:type="dxa"/>
            <w:tcBorders>
              <w:top w:val="nil"/>
              <w:left w:val="nil"/>
              <w:bottom w:val="single" w:sz="4" w:space="0" w:color="auto"/>
              <w:right w:val="single" w:sz="4" w:space="0" w:color="auto"/>
            </w:tcBorders>
            <w:shd w:val="clear" w:color="auto" w:fill="C6EFCE"/>
            <w:noWrap/>
            <w:vAlign w:val="center"/>
          </w:tcPr>
          <w:p w14:paraId="66C9FBCB" w14:textId="77777777" w:rsidR="00D21D80" w:rsidRPr="009674F2" w:rsidRDefault="00D21D80" w:rsidP="00C955DB">
            <w:pPr>
              <w:spacing w:after="0" w:line="240" w:lineRule="auto"/>
              <w:jc w:val="both"/>
              <w:rPr>
                <w:rFonts w:ascii="Times New Roman" w:hAnsi="Times New Roman" w:cs="Times New Roman"/>
                <w:noProof/>
                <w:color w:val="006100"/>
              </w:rPr>
            </w:pPr>
            <w:r>
              <w:rPr>
                <w:rFonts w:ascii="Times New Roman" w:hAnsi="Times New Roman"/>
                <w:noProof/>
                <w:color w:val="006100"/>
              </w:rPr>
              <w:t xml:space="preserve">Създаване на работни места в индустриалните паркове или зони </w:t>
            </w:r>
          </w:p>
        </w:tc>
      </w:tr>
      <w:tr w:rsidR="00D21D80" w:rsidRPr="005241FC" w14:paraId="4EF6FEAF" w14:textId="77777777" w:rsidTr="267FDB55">
        <w:trPr>
          <w:trHeight w:val="302"/>
          <w:jc w:val="center"/>
        </w:trPr>
        <w:tc>
          <w:tcPr>
            <w:tcW w:w="1292" w:type="dxa"/>
            <w:tcBorders>
              <w:top w:val="nil"/>
              <w:left w:val="single" w:sz="4" w:space="0" w:color="auto"/>
              <w:bottom w:val="single" w:sz="4" w:space="0" w:color="auto"/>
              <w:right w:val="single" w:sz="4" w:space="0" w:color="auto"/>
            </w:tcBorders>
            <w:shd w:val="clear" w:color="auto" w:fill="C6EFCE"/>
            <w:noWrap/>
          </w:tcPr>
          <w:p w14:paraId="7EE465D1"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45</w:t>
            </w:r>
          </w:p>
        </w:tc>
        <w:tc>
          <w:tcPr>
            <w:tcW w:w="3969" w:type="dxa"/>
            <w:tcBorders>
              <w:top w:val="nil"/>
              <w:left w:val="nil"/>
              <w:bottom w:val="single" w:sz="4" w:space="0" w:color="auto"/>
              <w:right w:val="single" w:sz="4" w:space="0" w:color="auto"/>
            </w:tcBorders>
            <w:shd w:val="clear" w:color="auto" w:fill="C6EFCE"/>
            <w:noWrap/>
            <w:vAlign w:val="center"/>
          </w:tcPr>
          <w:p w14:paraId="1B22EC0E" w14:textId="77777777" w:rsidR="00D21D80" w:rsidRPr="009674F2" w:rsidRDefault="00D21D80" w:rsidP="00C955DB">
            <w:pPr>
              <w:spacing w:after="0" w:line="240" w:lineRule="auto"/>
              <w:jc w:val="both"/>
              <w:rPr>
                <w:rFonts w:ascii="Times New Roman" w:hAnsi="Times New Roman" w:cs="Times New Roman"/>
                <w:noProof/>
                <w:color w:val="006100"/>
              </w:rPr>
            </w:pPr>
            <w:r>
              <w:rPr>
                <w:rFonts w:ascii="Times New Roman" w:hAnsi="Times New Roman"/>
                <w:noProof/>
                <w:color w:val="006100"/>
              </w:rPr>
              <w:t xml:space="preserve">C3I2.1.б Капиталови инструменти за растеж </w:t>
            </w:r>
          </w:p>
        </w:tc>
        <w:tc>
          <w:tcPr>
            <w:tcW w:w="1559" w:type="dxa"/>
            <w:tcBorders>
              <w:top w:val="nil"/>
              <w:left w:val="nil"/>
              <w:bottom w:val="single" w:sz="4" w:space="0" w:color="auto"/>
              <w:right w:val="single" w:sz="4" w:space="0" w:color="auto"/>
            </w:tcBorders>
            <w:shd w:val="clear" w:color="auto" w:fill="C6EFCE"/>
            <w:noWrap/>
            <w:vAlign w:val="center"/>
          </w:tcPr>
          <w:p w14:paraId="25C68292" w14:textId="77777777" w:rsidR="00D21D80" w:rsidRPr="009674F2" w:rsidRDefault="00D21D80" w:rsidP="00C955DB">
            <w:pPr>
              <w:spacing w:after="0" w:line="240" w:lineRule="auto"/>
              <w:jc w:val="center"/>
              <w:rPr>
                <w:rFonts w:ascii="Times New Roman" w:hAnsi="Times New Roman" w:cs="Times New Roman"/>
                <w:noProof/>
                <w:color w:val="006100"/>
              </w:rPr>
            </w:pPr>
            <w:r>
              <w:rPr>
                <w:rFonts w:ascii="Times New Roman" w:hAnsi="Times New Roman"/>
                <w:noProof/>
                <w:color w:val="006100"/>
              </w:rPr>
              <w:t>Цел</w:t>
            </w:r>
          </w:p>
        </w:tc>
        <w:tc>
          <w:tcPr>
            <w:tcW w:w="3418" w:type="dxa"/>
            <w:tcBorders>
              <w:top w:val="nil"/>
              <w:left w:val="nil"/>
              <w:bottom w:val="single" w:sz="4" w:space="0" w:color="auto"/>
              <w:right w:val="single" w:sz="4" w:space="0" w:color="auto"/>
            </w:tcBorders>
            <w:shd w:val="clear" w:color="auto" w:fill="C6EFCE"/>
            <w:noWrap/>
            <w:vAlign w:val="center"/>
          </w:tcPr>
          <w:p w14:paraId="4B8BD854" w14:textId="77777777" w:rsidR="00D21D80" w:rsidRPr="009674F2" w:rsidRDefault="00D21D80" w:rsidP="00C955DB">
            <w:pPr>
              <w:spacing w:after="0" w:line="240" w:lineRule="auto"/>
              <w:jc w:val="both"/>
              <w:rPr>
                <w:rFonts w:ascii="Times New Roman" w:hAnsi="Times New Roman" w:cs="Times New Roman"/>
                <w:noProof/>
                <w:color w:val="006100"/>
              </w:rPr>
            </w:pPr>
            <w:r>
              <w:rPr>
                <w:rFonts w:ascii="Times New Roman" w:hAnsi="Times New Roman"/>
                <w:noProof/>
                <w:color w:val="006100"/>
              </w:rPr>
              <w:t>Операции в размер на 100 % от общото предвидено финансиране, одобрено от инвестиционния комитет</w:t>
            </w:r>
          </w:p>
        </w:tc>
      </w:tr>
      <w:tr w:rsidR="00D21D80" w:rsidRPr="005241FC" w14:paraId="08BE3144" w14:textId="77777777" w:rsidTr="267FDB55">
        <w:trPr>
          <w:trHeight w:val="302"/>
          <w:jc w:val="center"/>
        </w:trPr>
        <w:tc>
          <w:tcPr>
            <w:tcW w:w="1292" w:type="dxa"/>
            <w:tcBorders>
              <w:top w:val="nil"/>
              <w:left w:val="single" w:sz="4" w:space="0" w:color="auto"/>
              <w:bottom w:val="single" w:sz="4" w:space="0" w:color="auto"/>
              <w:right w:val="single" w:sz="4" w:space="0" w:color="auto"/>
            </w:tcBorders>
            <w:shd w:val="clear" w:color="auto" w:fill="C6EFCE"/>
            <w:noWrap/>
          </w:tcPr>
          <w:p w14:paraId="74955630"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52</w:t>
            </w:r>
          </w:p>
        </w:tc>
        <w:tc>
          <w:tcPr>
            <w:tcW w:w="3969" w:type="dxa"/>
            <w:tcBorders>
              <w:top w:val="nil"/>
              <w:left w:val="nil"/>
              <w:bottom w:val="single" w:sz="4" w:space="0" w:color="auto"/>
              <w:right w:val="single" w:sz="4" w:space="0" w:color="auto"/>
            </w:tcBorders>
            <w:shd w:val="clear" w:color="auto" w:fill="C6EFCE"/>
            <w:noWrap/>
            <w:vAlign w:val="center"/>
          </w:tcPr>
          <w:p w14:paraId="20186EBE" w14:textId="77777777" w:rsidR="00D21D80" w:rsidRPr="009674F2" w:rsidRDefault="00D21D80" w:rsidP="00C955DB">
            <w:pPr>
              <w:spacing w:after="0" w:line="240" w:lineRule="auto"/>
              <w:jc w:val="both"/>
              <w:rPr>
                <w:rFonts w:ascii="Times New Roman" w:hAnsi="Times New Roman" w:cs="Times New Roman"/>
                <w:noProof/>
                <w:color w:val="006100"/>
              </w:rPr>
            </w:pPr>
            <w:r>
              <w:rPr>
                <w:rFonts w:ascii="Times New Roman" w:hAnsi="Times New Roman"/>
                <w:noProof/>
                <w:color w:val="006100"/>
              </w:rPr>
              <w:t>C3I2.1.д — Иновационен фонд (капиталов инструмент за иновации)</w:t>
            </w:r>
          </w:p>
        </w:tc>
        <w:tc>
          <w:tcPr>
            <w:tcW w:w="1559" w:type="dxa"/>
            <w:tcBorders>
              <w:top w:val="nil"/>
              <w:left w:val="nil"/>
              <w:bottom w:val="single" w:sz="4" w:space="0" w:color="auto"/>
              <w:right w:val="single" w:sz="4" w:space="0" w:color="auto"/>
            </w:tcBorders>
            <w:shd w:val="clear" w:color="auto" w:fill="C6EFCE"/>
            <w:noWrap/>
            <w:vAlign w:val="center"/>
          </w:tcPr>
          <w:p w14:paraId="645D39E0" w14:textId="77777777" w:rsidR="00D21D80" w:rsidRPr="009674F2" w:rsidRDefault="00D21D80" w:rsidP="00C955DB">
            <w:pPr>
              <w:spacing w:after="0" w:line="240" w:lineRule="auto"/>
              <w:jc w:val="center"/>
              <w:rPr>
                <w:rFonts w:ascii="Times New Roman" w:hAnsi="Times New Roman" w:cs="Times New Roman"/>
                <w:noProof/>
                <w:color w:val="006100"/>
              </w:rPr>
            </w:pPr>
            <w:r>
              <w:rPr>
                <w:rFonts w:ascii="Times New Roman" w:hAnsi="Times New Roman"/>
                <w:noProof/>
                <w:color w:val="006100"/>
              </w:rPr>
              <w:t>Цел</w:t>
            </w:r>
          </w:p>
        </w:tc>
        <w:tc>
          <w:tcPr>
            <w:tcW w:w="3418" w:type="dxa"/>
            <w:tcBorders>
              <w:top w:val="nil"/>
              <w:left w:val="nil"/>
              <w:bottom w:val="single" w:sz="4" w:space="0" w:color="auto"/>
              <w:right w:val="single" w:sz="4" w:space="0" w:color="auto"/>
            </w:tcBorders>
            <w:shd w:val="clear" w:color="auto" w:fill="C6EFCE"/>
            <w:noWrap/>
            <w:vAlign w:val="center"/>
          </w:tcPr>
          <w:p w14:paraId="678231D2" w14:textId="77777777" w:rsidR="00D21D80" w:rsidRPr="009674F2" w:rsidRDefault="00D21D80" w:rsidP="00C955DB">
            <w:pPr>
              <w:spacing w:after="0" w:line="240" w:lineRule="auto"/>
              <w:jc w:val="both"/>
              <w:rPr>
                <w:rFonts w:ascii="Times New Roman" w:hAnsi="Times New Roman" w:cs="Times New Roman"/>
                <w:noProof/>
                <w:color w:val="006100"/>
              </w:rPr>
            </w:pPr>
            <w:r>
              <w:rPr>
                <w:rFonts w:ascii="Times New Roman" w:hAnsi="Times New Roman"/>
                <w:noProof/>
                <w:color w:val="006100"/>
              </w:rPr>
              <w:t>Операции в размер на 100 % от общото предвидено финансиране, одобрено от инвестиционния комитет</w:t>
            </w:r>
          </w:p>
        </w:tc>
      </w:tr>
      <w:tr w:rsidR="00D21D80" w:rsidRPr="005241FC" w14:paraId="0E5441EB" w14:textId="77777777" w:rsidTr="267FDB55">
        <w:trPr>
          <w:trHeight w:val="302"/>
          <w:jc w:val="center"/>
        </w:trPr>
        <w:tc>
          <w:tcPr>
            <w:tcW w:w="1292" w:type="dxa"/>
            <w:tcBorders>
              <w:top w:val="nil"/>
              <w:left w:val="single" w:sz="4" w:space="0" w:color="auto"/>
              <w:bottom w:val="single" w:sz="4" w:space="0" w:color="auto"/>
              <w:right w:val="single" w:sz="4" w:space="0" w:color="auto"/>
            </w:tcBorders>
            <w:shd w:val="clear" w:color="auto" w:fill="C6EFCE"/>
            <w:noWrap/>
          </w:tcPr>
          <w:p w14:paraId="0374A75E"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55</w:t>
            </w:r>
          </w:p>
        </w:tc>
        <w:tc>
          <w:tcPr>
            <w:tcW w:w="3969" w:type="dxa"/>
            <w:tcBorders>
              <w:top w:val="nil"/>
              <w:left w:val="nil"/>
              <w:bottom w:val="single" w:sz="4" w:space="0" w:color="auto"/>
              <w:right w:val="single" w:sz="4" w:space="0" w:color="auto"/>
            </w:tcBorders>
            <w:shd w:val="clear" w:color="auto" w:fill="C6EFCE"/>
            <w:noWrap/>
            <w:vAlign w:val="center"/>
          </w:tcPr>
          <w:p w14:paraId="2D457453" w14:textId="77777777" w:rsidR="00D21D80" w:rsidRPr="009674F2" w:rsidRDefault="00D21D80" w:rsidP="00C955DB">
            <w:pPr>
              <w:spacing w:after="0" w:line="240" w:lineRule="auto"/>
              <w:jc w:val="both"/>
              <w:rPr>
                <w:rFonts w:ascii="Times New Roman" w:hAnsi="Times New Roman" w:cs="Times New Roman"/>
                <w:noProof/>
                <w:color w:val="006100"/>
              </w:rPr>
            </w:pPr>
            <w:r>
              <w:rPr>
                <w:rFonts w:ascii="Times New Roman" w:hAnsi="Times New Roman"/>
                <w:noProof/>
                <w:color w:val="006100"/>
              </w:rPr>
              <w:t>C3I2.2.а Схема за безвъзмездни средства за съчетаване на възобновяеми източници на електроенергия със съхранение на място</w:t>
            </w:r>
          </w:p>
        </w:tc>
        <w:tc>
          <w:tcPr>
            <w:tcW w:w="1559" w:type="dxa"/>
            <w:tcBorders>
              <w:top w:val="nil"/>
              <w:left w:val="nil"/>
              <w:bottom w:val="single" w:sz="4" w:space="0" w:color="auto"/>
              <w:right w:val="single" w:sz="4" w:space="0" w:color="auto"/>
            </w:tcBorders>
            <w:shd w:val="clear" w:color="auto" w:fill="C6EFCE"/>
            <w:noWrap/>
            <w:vAlign w:val="center"/>
          </w:tcPr>
          <w:p w14:paraId="5C8C7050" w14:textId="77777777" w:rsidR="00D21D80" w:rsidRPr="009674F2" w:rsidRDefault="00D21D80" w:rsidP="00C955DB">
            <w:pPr>
              <w:spacing w:after="0" w:line="240" w:lineRule="auto"/>
              <w:jc w:val="center"/>
              <w:rPr>
                <w:rFonts w:ascii="Times New Roman" w:hAnsi="Times New Roman" w:cs="Times New Roman"/>
                <w:noProof/>
                <w:color w:val="006100"/>
              </w:rPr>
            </w:pPr>
            <w:r>
              <w:rPr>
                <w:rFonts w:ascii="Times New Roman" w:hAnsi="Times New Roman"/>
                <w:noProof/>
                <w:color w:val="006100"/>
              </w:rPr>
              <w:t>Цел</w:t>
            </w:r>
          </w:p>
        </w:tc>
        <w:tc>
          <w:tcPr>
            <w:tcW w:w="3418" w:type="dxa"/>
            <w:tcBorders>
              <w:top w:val="nil"/>
              <w:left w:val="nil"/>
              <w:bottom w:val="single" w:sz="4" w:space="0" w:color="auto"/>
              <w:right w:val="single" w:sz="4" w:space="0" w:color="auto"/>
            </w:tcBorders>
            <w:shd w:val="clear" w:color="auto" w:fill="C6EFCE"/>
            <w:noWrap/>
            <w:vAlign w:val="center"/>
          </w:tcPr>
          <w:p w14:paraId="12BD96F0" w14:textId="77777777" w:rsidR="00D21D80" w:rsidRPr="009674F2" w:rsidRDefault="00D21D80" w:rsidP="00C955DB">
            <w:pPr>
              <w:spacing w:after="0" w:line="240" w:lineRule="auto"/>
              <w:jc w:val="both"/>
              <w:rPr>
                <w:rFonts w:ascii="Times New Roman" w:hAnsi="Times New Roman" w:cs="Times New Roman"/>
                <w:noProof/>
                <w:color w:val="006100"/>
              </w:rPr>
            </w:pPr>
            <w:r>
              <w:rPr>
                <w:rFonts w:ascii="Times New Roman" w:hAnsi="Times New Roman"/>
                <w:noProof/>
                <w:color w:val="006100"/>
              </w:rPr>
              <w:t>Оперативен капацитет на инсталирани съоръжения за съхранение</w:t>
            </w:r>
          </w:p>
        </w:tc>
      </w:tr>
      <w:tr w:rsidR="00D21D80" w:rsidRPr="005241FC" w14:paraId="0B4C85DD" w14:textId="77777777" w:rsidTr="267FDB55">
        <w:trPr>
          <w:trHeight w:val="302"/>
          <w:jc w:val="center"/>
        </w:trPr>
        <w:tc>
          <w:tcPr>
            <w:tcW w:w="1292" w:type="dxa"/>
            <w:tcBorders>
              <w:top w:val="nil"/>
              <w:left w:val="single" w:sz="4" w:space="0" w:color="auto"/>
              <w:bottom w:val="single" w:sz="4" w:space="0" w:color="auto"/>
              <w:right w:val="single" w:sz="4" w:space="0" w:color="auto"/>
            </w:tcBorders>
            <w:shd w:val="clear" w:color="auto" w:fill="C6EFCE"/>
            <w:noWrap/>
          </w:tcPr>
          <w:p w14:paraId="517187D9"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62</w:t>
            </w:r>
          </w:p>
        </w:tc>
        <w:tc>
          <w:tcPr>
            <w:tcW w:w="3969" w:type="dxa"/>
            <w:tcBorders>
              <w:top w:val="nil"/>
              <w:left w:val="nil"/>
              <w:bottom w:val="single" w:sz="4" w:space="0" w:color="auto"/>
              <w:right w:val="single" w:sz="4" w:space="0" w:color="auto"/>
            </w:tcBorders>
            <w:shd w:val="clear" w:color="auto" w:fill="C6EFCE"/>
            <w:noWrap/>
            <w:vAlign w:val="center"/>
          </w:tcPr>
          <w:p w14:paraId="0B756182" w14:textId="77777777" w:rsidR="00D21D80" w:rsidRPr="009674F2" w:rsidRDefault="00D21D80" w:rsidP="00C955DB">
            <w:pPr>
              <w:spacing w:after="0" w:line="240" w:lineRule="auto"/>
              <w:jc w:val="both"/>
              <w:rPr>
                <w:rFonts w:ascii="Times New Roman" w:hAnsi="Times New Roman" w:cs="Times New Roman"/>
                <w:noProof/>
                <w:color w:val="006100"/>
              </w:rPr>
            </w:pPr>
            <w:r>
              <w:rPr>
                <w:rFonts w:ascii="Times New Roman" w:hAnsi="Times New Roman"/>
                <w:noProof/>
                <w:color w:val="006100"/>
              </w:rPr>
              <w:t>C3I2.3.а Капиталови инструменти за инвестиции за неутралност по отношение на климата и за цифровизация</w:t>
            </w:r>
          </w:p>
        </w:tc>
        <w:tc>
          <w:tcPr>
            <w:tcW w:w="1559" w:type="dxa"/>
            <w:tcBorders>
              <w:top w:val="nil"/>
              <w:left w:val="nil"/>
              <w:bottom w:val="single" w:sz="4" w:space="0" w:color="auto"/>
              <w:right w:val="single" w:sz="4" w:space="0" w:color="auto"/>
            </w:tcBorders>
            <w:shd w:val="clear" w:color="auto" w:fill="C6EFCE"/>
            <w:noWrap/>
            <w:vAlign w:val="center"/>
          </w:tcPr>
          <w:p w14:paraId="312A6B41" w14:textId="77777777" w:rsidR="00D21D80" w:rsidRPr="009674F2" w:rsidRDefault="00D21D80" w:rsidP="00C955DB">
            <w:pPr>
              <w:spacing w:after="0" w:line="240" w:lineRule="auto"/>
              <w:jc w:val="center"/>
              <w:rPr>
                <w:rFonts w:ascii="Times New Roman" w:hAnsi="Times New Roman" w:cs="Times New Roman"/>
                <w:noProof/>
                <w:color w:val="006100"/>
              </w:rPr>
            </w:pPr>
            <w:r>
              <w:rPr>
                <w:rFonts w:ascii="Times New Roman" w:hAnsi="Times New Roman"/>
                <w:noProof/>
                <w:color w:val="006100"/>
              </w:rPr>
              <w:t>Цел</w:t>
            </w:r>
          </w:p>
        </w:tc>
        <w:tc>
          <w:tcPr>
            <w:tcW w:w="3418" w:type="dxa"/>
            <w:tcBorders>
              <w:top w:val="nil"/>
              <w:left w:val="nil"/>
              <w:bottom w:val="single" w:sz="4" w:space="0" w:color="auto"/>
              <w:right w:val="single" w:sz="4" w:space="0" w:color="auto"/>
            </w:tcBorders>
            <w:shd w:val="clear" w:color="auto" w:fill="C6EFCE"/>
            <w:noWrap/>
            <w:vAlign w:val="center"/>
          </w:tcPr>
          <w:p w14:paraId="43616AD7" w14:textId="77777777" w:rsidR="00D21D80" w:rsidRPr="009674F2" w:rsidRDefault="00D21D80" w:rsidP="00C955DB">
            <w:pPr>
              <w:spacing w:after="0" w:line="240" w:lineRule="auto"/>
              <w:jc w:val="both"/>
              <w:rPr>
                <w:rFonts w:ascii="Times New Roman" w:hAnsi="Times New Roman" w:cs="Times New Roman"/>
                <w:noProof/>
                <w:color w:val="006100"/>
              </w:rPr>
            </w:pPr>
            <w:r>
              <w:rPr>
                <w:rFonts w:ascii="Times New Roman" w:hAnsi="Times New Roman"/>
                <w:noProof/>
                <w:color w:val="006100"/>
              </w:rPr>
              <w:t>Отговорният инвестиционен комитет одобри операции, възлизащи на 100 % от общото предвидено финансиране</w:t>
            </w:r>
          </w:p>
        </w:tc>
      </w:tr>
      <w:tr w:rsidR="00D21D80" w:rsidRPr="005241FC" w14:paraId="5B7E1168" w14:textId="77777777" w:rsidTr="267FDB55">
        <w:trPr>
          <w:trHeight w:val="302"/>
          <w:jc w:val="center"/>
        </w:trPr>
        <w:tc>
          <w:tcPr>
            <w:tcW w:w="1292" w:type="dxa"/>
            <w:tcBorders>
              <w:top w:val="nil"/>
              <w:left w:val="single" w:sz="4" w:space="0" w:color="auto"/>
              <w:bottom w:val="single" w:sz="4" w:space="0" w:color="auto"/>
              <w:right w:val="single" w:sz="4" w:space="0" w:color="auto"/>
            </w:tcBorders>
            <w:shd w:val="clear" w:color="auto" w:fill="C6EFCE"/>
            <w:noWrap/>
          </w:tcPr>
          <w:p w14:paraId="11B814E7"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71</w:t>
            </w:r>
          </w:p>
        </w:tc>
        <w:tc>
          <w:tcPr>
            <w:tcW w:w="3969" w:type="dxa"/>
            <w:tcBorders>
              <w:top w:val="nil"/>
              <w:left w:val="nil"/>
              <w:bottom w:val="single" w:sz="4" w:space="0" w:color="auto"/>
              <w:right w:val="single" w:sz="4" w:space="0" w:color="auto"/>
            </w:tcBorders>
            <w:shd w:val="clear" w:color="auto" w:fill="C6EFCE"/>
            <w:noWrap/>
          </w:tcPr>
          <w:p w14:paraId="5E069C6F" w14:textId="77777777" w:rsidR="00D21D80" w:rsidRPr="009674F2" w:rsidRDefault="00D21D80" w:rsidP="00C955DB">
            <w:pPr>
              <w:spacing w:after="0" w:line="240" w:lineRule="auto"/>
              <w:jc w:val="both"/>
              <w:rPr>
                <w:rFonts w:ascii="Times New Roman" w:eastAsia="Calibri" w:hAnsi="Times New Roman" w:cs="Times New Roman"/>
                <w:noProof/>
                <w:u w:val="single"/>
              </w:rPr>
            </w:pPr>
            <w:r>
              <w:rPr>
                <w:rFonts w:ascii="Times New Roman" w:hAnsi="Times New Roman"/>
                <w:noProof/>
                <w:color w:val="006100"/>
              </w:rPr>
              <w:t>C4I1 Подкрепа за обновяване на сградния фонд </w:t>
            </w:r>
          </w:p>
          <w:p w14:paraId="3EAC4935" w14:textId="77777777" w:rsidR="00D21D80" w:rsidRPr="008A0F8A" w:rsidRDefault="00D21D80" w:rsidP="00C955DB">
            <w:pPr>
              <w:spacing w:after="0" w:line="240" w:lineRule="auto"/>
              <w:jc w:val="both"/>
              <w:rPr>
                <w:rFonts w:ascii="Times New Roman" w:eastAsia="Calibri" w:hAnsi="Times New Roman" w:cs="Times New Roman"/>
                <w:noProof/>
                <w:u w:val="single"/>
                <w:lang w:val="ru-RU"/>
              </w:rPr>
            </w:pPr>
          </w:p>
          <w:p w14:paraId="72814BE5" w14:textId="77777777" w:rsidR="00D21D80" w:rsidRPr="009674F2" w:rsidRDefault="00D21D80" w:rsidP="00C955DB">
            <w:pPr>
              <w:spacing w:after="0" w:line="240" w:lineRule="auto"/>
              <w:jc w:val="both"/>
              <w:rPr>
                <w:rFonts w:ascii="Times New Roman" w:hAnsi="Times New Roman" w:cs="Times New Roman"/>
                <w:noProof/>
                <w:color w:val="006100"/>
              </w:rPr>
            </w:pPr>
            <w:r>
              <w:rPr>
                <w:rFonts w:ascii="Times New Roman" w:hAnsi="Times New Roman"/>
                <w:noProof/>
                <w:color w:val="006100"/>
              </w:rPr>
              <w:t>Подмярка 1: Обновяване на жилищни сгради</w:t>
            </w:r>
          </w:p>
          <w:p w14:paraId="654981A2" w14:textId="77777777" w:rsidR="00D21D80" w:rsidRPr="009674F2" w:rsidRDefault="00D21D80" w:rsidP="00C955DB">
            <w:pPr>
              <w:spacing w:after="0" w:line="240" w:lineRule="auto"/>
              <w:jc w:val="both"/>
              <w:rPr>
                <w:rFonts w:ascii="Times New Roman" w:hAnsi="Times New Roman" w:cs="Times New Roman"/>
                <w:noProof/>
                <w:color w:val="006100"/>
                <w:lang w:val="en-GB"/>
              </w:rPr>
            </w:pPr>
          </w:p>
        </w:tc>
        <w:tc>
          <w:tcPr>
            <w:tcW w:w="1559" w:type="dxa"/>
            <w:tcBorders>
              <w:top w:val="nil"/>
              <w:left w:val="nil"/>
              <w:bottom w:val="single" w:sz="4" w:space="0" w:color="auto"/>
              <w:right w:val="single" w:sz="4" w:space="0" w:color="auto"/>
            </w:tcBorders>
            <w:shd w:val="clear" w:color="auto" w:fill="C6EFCE"/>
            <w:noWrap/>
          </w:tcPr>
          <w:p w14:paraId="4FFEFDFD" w14:textId="77777777" w:rsidR="00D21D80" w:rsidRPr="009674F2" w:rsidRDefault="00D21D80" w:rsidP="00C955DB">
            <w:pPr>
              <w:spacing w:after="0" w:line="240" w:lineRule="auto"/>
              <w:jc w:val="center"/>
              <w:rPr>
                <w:rFonts w:ascii="Times New Roman" w:hAnsi="Times New Roman" w:cs="Times New Roman"/>
                <w:noProof/>
                <w:color w:val="006100"/>
              </w:rPr>
            </w:pPr>
            <w:r>
              <w:rPr>
                <w:rFonts w:ascii="Times New Roman" w:hAnsi="Times New Roman"/>
                <w:noProof/>
                <w:color w:val="006100"/>
              </w:rPr>
              <w:t>Цел</w:t>
            </w:r>
          </w:p>
        </w:tc>
        <w:tc>
          <w:tcPr>
            <w:tcW w:w="3418" w:type="dxa"/>
            <w:tcBorders>
              <w:top w:val="nil"/>
              <w:left w:val="nil"/>
              <w:bottom w:val="single" w:sz="4" w:space="0" w:color="auto"/>
              <w:right w:val="single" w:sz="4" w:space="0" w:color="auto"/>
            </w:tcBorders>
            <w:shd w:val="clear" w:color="auto" w:fill="C6EFCE"/>
            <w:noWrap/>
          </w:tcPr>
          <w:p w14:paraId="0462C076" w14:textId="77777777" w:rsidR="00D21D80" w:rsidRPr="009674F2" w:rsidRDefault="00D21D80" w:rsidP="00C955DB">
            <w:pPr>
              <w:spacing w:after="0" w:line="240" w:lineRule="auto"/>
              <w:jc w:val="both"/>
              <w:rPr>
                <w:rFonts w:ascii="Times New Roman" w:hAnsi="Times New Roman" w:cs="Times New Roman"/>
                <w:noProof/>
                <w:color w:val="006100"/>
              </w:rPr>
            </w:pPr>
            <w:r>
              <w:rPr>
                <w:rFonts w:ascii="Times New Roman" w:hAnsi="Times New Roman"/>
                <w:noProof/>
                <w:color w:val="006100"/>
              </w:rPr>
              <w:t>Завършено енергийно-ефективно обновяване на многофамилни жилищни сгради — площ обновена жилищна инфраструктура (брутна застроена площ)</w:t>
            </w:r>
          </w:p>
        </w:tc>
      </w:tr>
      <w:tr w:rsidR="00D21D80" w:rsidRPr="005241FC" w14:paraId="7BF09F53" w14:textId="77777777" w:rsidTr="267FDB55">
        <w:trPr>
          <w:trHeight w:val="302"/>
          <w:jc w:val="center"/>
        </w:trPr>
        <w:tc>
          <w:tcPr>
            <w:tcW w:w="1292" w:type="dxa"/>
            <w:tcBorders>
              <w:top w:val="nil"/>
              <w:left w:val="single" w:sz="4" w:space="0" w:color="auto"/>
              <w:bottom w:val="single" w:sz="4" w:space="0" w:color="auto"/>
              <w:right w:val="single" w:sz="4" w:space="0" w:color="auto"/>
            </w:tcBorders>
            <w:shd w:val="clear" w:color="auto" w:fill="C6EFCE"/>
            <w:noWrap/>
          </w:tcPr>
          <w:p w14:paraId="0E6EB8DF"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74</w:t>
            </w:r>
          </w:p>
        </w:tc>
        <w:tc>
          <w:tcPr>
            <w:tcW w:w="3969" w:type="dxa"/>
            <w:tcBorders>
              <w:top w:val="nil"/>
              <w:left w:val="nil"/>
              <w:bottom w:val="single" w:sz="4" w:space="0" w:color="auto"/>
              <w:right w:val="single" w:sz="4" w:space="0" w:color="auto"/>
            </w:tcBorders>
            <w:shd w:val="clear" w:color="auto" w:fill="C6EFCE"/>
            <w:noWrap/>
          </w:tcPr>
          <w:p w14:paraId="48B700AD" w14:textId="77777777" w:rsidR="00D21D80" w:rsidRPr="009674F2" w:rsidRDefault="00D21D80" w:rsidP="00C955DB">
            <w:pPr>
              <w:spacing w:after="0" w:line="240" w:lineRule="auto"/>
              <w:jc w:val="both"/>
              <w:rPr>
                <w:rFonts w:ascii="Times New Roman" w:hAnsi="Times New Roman" w:cs="Times New Roman"/>
                <w:noProof/>
                <w:color w:val="006100"/>
              </w:rPr>
            </w:pPr>
            <w:r>
              <w:rPr>
                <w:rFonts w:ascii="Times New Roman" w:hAnsi="Times New Roman"/>
                <w:noProof/>
                <w:color w:val="006100"/>
              </w:rPr>
              <w:t>C4I1 Подкрепа за обновяване на сградния фонд </w:t>
            </w:r>
          </w:p>
          <w:p w14:paraId="2FA1D97F" w14:textId="77777777" w:rsidR="00D21D80" w:rsidRPr="008A0F8A" w:rsidRDefault="00D21D80" w:rsidP="00C955DB">
            <w:pPr>
              <w:spacing w:after="0" w:line="240" w:lineRule="auto"/>
              <w:jc w:val="both"/>
              <w:rPr>
                <w:rFonts w:ascii="Times New Roman" w:hAnsi="Times New Roman" w:cs="Times New Roman"/>
                <w:noProof/>
                <w:color w:val="006100"/>
                <w:lang w:val="ru-RU"/>
              </w:rPr>
            </w:pPr>
          </w:p>
          <w:p w14:paraId="6F219F25" w14:textId="77777777" w:rsidR="00D21D80" w:rsidRPr="009674F2" w:rsidRDefault="00D21D80" w:rsidP="00C955DB">
            <w:pPr>
              <w:spacing w:after="0" w:line="240" w:lineRule="auto"/>
              <w:jc w:val="both"/>
              <w:rPr>
                <w:rFonts w:ascii="Times New Roman" w:hAnsi="Times New Roman" w:cs="Times New Roman"/>
                <w:noProof/>
                <w:color w:val="006100"/>
              </w:rPr>
            </w:pPr>
            <w:r>
              <w:rPr>
                <w:rFonts w:ascii="Times New Roman" w:hAnsi="Times New Roman"/>
                <w:noProof/>
                <w:color w:val="006100"/>
              </w:rPr>
              <w:t>Подмярка 2: Обновяване на нежилищни сгради, включително обществени сгради</w:t>
            </w:r>
          </w:p>
          <w:p w14:paraId="77E34F9D" w14:textId="77777777" w:rsidR="00D21D80" w:rsidRPr="008A0F8A" w:rsidRDefault="00D21D80" w:rsidP="00C955DB">
            <w:pPr>
              <w:spacing w:after="0" w:line="240" w:lineRule="auto"/>
              <w:jc w:val="both"/>
              <w:rPr>
                <w:rFonts w:ascii="Times New Roman" w:eastAsia="Times New Roman" w:hAnsi="Times New Roman" w:cs="Times New Roman"/>
                <w:noProof/>
                <w:color w:val="006100"/>
                <w:lang w:val="ru-RU" w:eastAsia="en-GB"/>
              </w:rPr>
            </w:pPr>
          </w:p>
        </w:tc>
        <w:tc>
          <w:tcPr>
            <w:tcW w:w="1559" w:type="dxa"/>
            <w:tcBorders>
              <w:top w:val="nil"/>
              <w:left w:val="nil"/>
              <w:bottom w:val="single" w:sz="4" w:space="0" w:color="auto"/>
              <w:right w:val="single" w:sz="4" w:space="0" w:color="auto"/>
            </w:tcBorders>
            <w:shd w:val="clear" w:color="auto" w:fill="C6EFCE"/>
            <w:noWrap/>
          </w:tcPr>
          <w:p w14:paraId="66723FEE"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Цел</w:t>
            </w:r>
          </w:p>
        </w:tc>
        <w:tc>
          <w:tcPr>
            <w:tcW w:w="3418" w:type="dxa"/>
            <w:tcBorders>
              <w:top w:val="nil"/>
              <w:left w:val="nil"/>
              <w:bottom w:val="single" w:sz="4" w:space="0" w:color="auto"/>
              <w:right w:val="single" w:sz="4" w:space="0" w:color="auto"/>
            </w:tcBorders>
            <w:shd w:val="clear" w:color="auto" w:fill="C6EFCE"/>
            <w:noWrap/>
          </w:tcPr>
          <w:p w14:paraId="480B7E14"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Завършено енергийно-ефективно обновяване на нежилищни сгради — обновена площ на обществени сгради (подмярка 2)</w:t>
            </w:r>
          </w:p>
        </w:tc>
      </w:tr>
      <w:tr w:rsidR="00D21D80" w:rsidRPr="005241FC" w14:paraId="01EC0965" w14:textId="77777777" w:rsidTr="267FDB55">
        <w:trPr>
          <w:trHeight w:val="302"/>
          <w:jc w:val="center"/>
        </w:trPr>
        <w:tc>
          <w:tcPr>
            <w:tcW w:w="1292" w:type="dxa"/>
            <w:tcBorders>
              <w:top w:val="nil"/>
              <w:left w:val="single" w:sz="4" w:space="0" w:color="auto"/>
              <w:bottom w:val="single" w:sz="4" w:space="0" w:color="auto"/>
              <w:right w:val="single" w:sz="4" w:space="0" w:color="auto"/>
            </w:tcBorders>
            <w:shd w:val="clear" w:color="auto" w:fill="C6EFCE"/>
            <w:noWrap/>
          </w:tcPr>
          <w:p w14:paraId="591D4017"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75</w:t>
            </w:r>
          </w:p>
        </w:tc>
        <w:tc>
          <w:tcPr>
            <w:tcW w:w="3969" w:type="dxa"/>
            <w:tcBorders>
              <w:top w:val="nil"/>
              <w:left w:val="nil"/>
              <w:bottom w:val="single" w:sz="4" w:space="0" w:color="auto"/>
              <w:right w:val="single" w:sz="4" w:space="0" w:color="auto"/>
            </w:tcBorders>
            <w:shd w:val="clear" w:color="auto" w:fill="C6EFCE"/>
            <w:noWrap/>
          </w:tcPr>
          <w:p w14:paraId="5230A5D2" w14:textId="77777777" w:rsidR="00D21D80" w:rsidRPr="009674F2" w:rsidRDefault="00D21D80" w:rsidP="00C955DB">
            <w:pPr>
              <w:spacing w:after="0" w:line="240" w:lineRule="auto"/>
              <w:jc w:val="both"/>
              <w:rPr>
                <w:rFonts w:ascii="Times New Roman" w:hAnsi="Times New Roman" w:cs="Times New Roman"/>
                <w:noProof/>
                <w:color w:val="006100"/>
              </w:rPr>
            </w:pPr>
            <w:r>
              <w:rPr>
                <w:rFonts w:ascii="Times New Roman" w:hAnsi="Times New Roman"/>
                <w:noProof/>
                <w:color w:val="006100"/>
              </w:rPr>
              <w:t>C4I1 Подкрепа за обновяване на сградния фонд </w:t>
            </w:r>
          </w:p>
          <w:p w14:paraId="2F563F9C" w14:textId="77777777" w:rsidR="00D21D80" w:rsidRPr="008A0F8A" w:rsidRDefault="00D21D80" w:rsidP="00C955DB">
            <w:pPr>
              <w:spacing w:after="0" w:line="240" w:lineRule="auto"/>
              <w:jc w:val="both"/>
              <w:rPr>
                <w:rFonts w:ascii="Times New Roman" w:hAnsi="Times New Roman" w:cs="Times New Roman"/>
                <w:noProof/>
                <w:color w:val="006100"/>
                <w:lang w:val="ru-RU"/>
              </w:rPr>
            </w:pPr>
          </w:p>
          <w:p w14:paraId="1AD300BE" w14:textId="77777777" w:rsidR="00D21D80" w:rsidRPr="009674F2" w:rsidRDefault="00D21D80" w:rsidP="00C955DB">
            <w:pPr>
              <w:spacing w:after="0" w:line="240" w:lineRule="auto"/>
              <w:jc w:val="both"/>
              <w:rPr>
                <w:rFonts w:ascii="Times New Roman" w:hAnsi="Times New Roman" w:cs="Times New Roman"/>
                <w:noProof/>
                <w:color w:val="006100"/>
              </w:rPr>
            </w:pPr>
            <w:r>
              <w:rPr>
                <w:rFonts w:ascii="Times New Roman" w:hAnsi="Times New Roman"/>
                <w:noProof/>
                <w:color w:val="006100"/>
              </w:rPr>
              <w:t>Подмярка 2: Обновяване на нежилищни сгради, включително обществени сгради</w:t>
            </w:r>
          </w:p>
          <w:p w14:paraId="2BD02DED" w14:textId="77777777" w:rsidR="00D21D80" w:rsidRPr="008A0F8A" w:rsidRDefault="00D21D80" w:rsidP="00C955DB">
            <w:pPr>
              <w:spacing w:after="0" w:line="240" w:lineRule="auto"/>
              <w:jc w:val="both"/>
              <w:rPr>
                <w:rFonts w:ascii="Times New Roman" w:hAnsi="Times New Roman" w:cs="Times New Roman"/>
                <w:noProof/>
                <w:color w:val="006100"/>
                <w:lang w:val="ru-RU"/>
              </w:rPr>
            </w:pPr>
          </w:p>
          <w:p w14:paraId="6C7E99B6" w14:textId="77777777" w:rsidR="00D21D80" w:rsidRPr="009674F2" w:rsidRDefault="00D21D80" w:rsidP="00C955DB">
            <w:pPr>
              <w:spacing w:after="0" w:line="240" w:lineRule="auto"/>
              <w:jc w:val="both"/>
              <w:rPr>
                <w:rFonts w:ascii="Times New Roman" w:hAnsi="Times New Roman" w:cs="Times New Roman"/>
                <w:noProof/>
                <w:color w:val="006100"/>
              </w:rPr>
            </w:pPr>
            <w:r>
              <w:rPr>
                <w:rFonts w:ascii="Times New Roman" w:hAnsi="Times New Roman"/>
                <w:noProof/>
                <w:color w:val="006100"/>
              </w:rPr>
              <w:t xml:space="preserve">както и </w:t>
            </w:r>
          </w:p>
          <w:p w14:paraId="4FDBD94C" w14:textId="77777777" w:rsidR="00D21D80" w:rsidRPr="008A0F8A" w:rsidRDefault="00D21D80" w:rsidP="00C955DB">
            <w:pPr>
              <w:spacing w:after="0" w:line="240" w:lineRule="auto"/>
              <w:jc w:val="both"/>
              <w:rPr>
                <w:rFonts w:ascii="Times New Roman" w:hAnsi="Times New Roman" w:cs="Times New Roman"/>
                <w:noProof/>
                <w:color w:val="006100"/>
                <w:lang w:val="ru-RU"/>
              </w:rPr>
            </w:pPr>
          </w:p>
          <w:p w14:paraId="402C0DF4" w14:textId="77777777" w:rsidR="00D21D80" w:rsidRPr="009674F2" w:rsidRDefault="00D21D80" w:rsidP="00C955DB">
            <w:pPr>
              <w:spacing w:after="0" w:line="240" w:lineRule="auto"/>
              <w:jc w:val="both"/>
              <w:rPr>
                <w:rFonts w:ascii="Times New Roman" w:hAnsi="Times New Roman" w:cs="Times New Roman"/>
                <w:noProof/>
                <w:color w:val="006100"/>
              </w:rPr>
            </w:pPr>
            <w:r>
              <w:rPr>
                <w:rFonts w:ascii="Times New Roman" w:hAnsi="Times New Roman"/>
                <w:noProof/>
                <w:color w:val="006100"/>
              </w:rPr>
              <w:t>Подмярка 3: Обновяване на нежилищни сгради в производството, търговията и услугите, както и на сгради от туристическия сектор</w:t>
            </w:r>
          </w:p>
          <w:p w14:paraId="75201F35" w14:textId="77777777" w:rsidR="00D21D80" w:rsidRPr="008A0F8A" w:rsidRDefault="00D21D80" w:rsidP="00C955DB">
            <w:pPr>
              <w:spacing w:after="0" w:line="240" w:lineRule="auto"/>
              <w:jc w:val="both"/>
              <w:rPr>
                <w:rFonts w:ascii="Times New Roman" w:eastAsia="Times New Roman" w:hAnsi="Times New Roman" w:cs="Times New Roman"/>
                <w:noProof/>
                <w:color w:val="006100"/>
                <w:lang w:val="ru-RU" w:eastAsia="en-GB"/>
              </w:rPr>
            </w:pPr>
          </w:p>
        </w:tc>
        <w:tc>
          <w:tcPr>
            <w:tcW w:w="1559" w:type="dxa"/>
            <w:tcBorders>
              <w:top w:val="nil"/>
              <w:left w:val="nil"/>
              <w:bottom w:val="single" w:sz="4" w:space="0" w:color="auto"/>
              <w:right w:val="single" w:sz="4" w:space="0" w:color="auto"/>
            </w:tcBorders>
            <w:shd w:val="clear" w:color="auto" w:fill="C6EFCE"/>
            <w:noWrap/>
          </w:tcPr>
          <w:p w14:paraId="6C5A1EBA"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Цел</w:t>
            </w:r>
          </w:p>
        </w:tc>
        <w:tc>
          <w:tcPr>
            <w:tcW w:w="3418" w:type="dxa"/>
            <w:tcBorders>
              <w:top w:val="nil"/>
              <w:left w:val="nil"/>
              <w:bottom w:val="single" w:sz="4" w:space="0" w:color="auto"/>
              <w:right w:val="single" w:sz="4" w:space="0" w:color="auto"/>
            </w:tcBorders>
            <w:shd w:val="clear" w:color="auto" w:fill="C6EFCE"/>
            <w:noWrap/>
          </w:tcPr>
          <w:p w14:paraId="5859A3C1"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Завършено енергийно-ефективно обновяване на нежилищни сгради — брой на обновените сгради (подмерки 2 и 3)</w:t>
            </w:r>
          </w:p>
        </w:tc>
      </w:tr>
      <w:tr w:rsidR="00D21D80" w:rsidRPr="005241FC" w14:paraId="0530B1CD" w14:textId="77777777" w:rsidTr="267FDB55">
        <w:trPr>
          <w:trHeight w:val="302"/>
          <w:jc w:val="center"/>
        </w:trPr>
        <w:tc>
          <w:tcPr>
            <w:tcW w:w="1292" w:type="dxa"/>
            <w:tcBorders>
              <w:top w:val="nil"/>
              <w:left w:val="single" w:sz="4" w:space="0" w:color="auto"/>
              <w:bottom w:val="single" w:sz="4" w:space="0" w:color="auto"/>
              <w:right w:val="single" w:sz="4" w:space="0" w:color="auto"/>
            </w:tcBorders>
            <w:shd w:val="clear" w:color="auto" w:fill="C6EFCE"/>
            <w:noWrap/>
          </w:tcPr>
          <w:p w14:paraId="573118D8"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89</w:t>
            </w:r>
          </w:p>
        </w:tc>
        <w:tc>
          <w:tcPr>
            <w:tcW w:w="3969" w:type="dxa"/>
            <w:tcBorders>
              <w:top w:val="nil"/>
              <w:left w:val="nil"/>
              <w:bottom w:val="single" w:sz="4" w:space="0" w:color="auto"/>
              <w:right w:val="single" w:sz="4" w:space="0" w:color="auto"/>
            </w:tcBorders>
            <w:shd w:val="clear" w:color="auto" w:fill="C6EFCE"/>
            <w:noWrap/>
          </w:tcPr>
          <w:p w14:paraId="1192F64F" w14:textId="77777777" w:rsidR="00D21D80" w:rsidRPr="009674F2" w:rsidRDefault="00D21D80" w:rsidP="00C955DB">
            <w:pPr>
              <w:spacing w:after="0" w:line="240" w:lineRule="auto"/>
              <w:jc w:val="both"/>
              <w:rPr>
                <w:rFonts w:ascii="Times New Roman" w:hAnsi="Times New Roman" w:cs="Times New Roman"/>
                <w:noProof/>
                <w:color w:val="006100"/>
              </w:rPr>
            </w:pPr>
            <w:r>
              <w:rPr>
                <w:rFonts w:ascii="Times New Roman" w:hAnsi="Times New Roman"/>
                <w:noProof/>
                <w:color w:val="006100"/>
              </w:rPr>
              <w:t>C4I4 Цифрова трансформация на електропреносната мрежа</w:t>
            </w:r>
          </w:p>
        </w:tc>
        <w:tc>
          <w:tcPr>
            <w:tcW w:w="1559" w:type="dxa"/>
            <w:tcBorders>
              <w:top w:val="nil"/>
              <w:left w:val="nil"/>
              <w:bottom w:val="single" w:sz="4" w:space="0" w:color="auto"/>
              <w:right w:val="single" w:sz="4" w:space="0" w:color="auto"/>
            </w:tcBorders>
            <w:shd w:val="clear" w:color="auto" w:fill="C6EFCE"/>
            <w:noWrap/>
          </w:tcPr>
          <w:p w14:paraId="4DFFE507" w14:textId="77777777" w:rsidR="00D21D80" w:rsidRPr="009674F2" w:rsidRDefault="00D21D80" w:rsidP="00C955DB">
            <w:pPr>
              <w:spacing w:after="0" w:line="240" w:lineRule="auto"/>
              <w:jc w:val="center"/>
              <w:rPr>
                <w:rFonts w:ascii="Times New Roman" w:hAnsi="Times New Roman" w:cs="Times New Roman"/>
                <w:noProof/>
                <w:color w:val="006100"/>
              </w:rPr>
            </w:pPr>
            <w:r>
              <w:rPr>
                <w:rFonts w:ascii="Times New Roman" w:hAnsi="Times New Roman"/>
                <w:noProof/>
                <w:color w:val="006100"/>
              </w:rPr>
              <w:t>Цел</w:t>
            </w:r>
          </w:p>
        </w:tc>
        <w:tc>
          <w:tcPr>
            <w:tcW w:w="3418" w:type="dxa"/>
            <w:tcBorders>
              <w:top w:val="nil"/>
              <w:left w:val="nil"/>
              <w:bottom w:val="single" w:sz="4" w:space="0" w:color="auto"/>
              <w:right w:val="single" w:sz="4" w:space="0" w:color="auto"/>
            </w:tcBorders>
            <w:shd w:val="clear" w:color="auto" w:fill="C6EFCE"/>
            <w:noWrap/>
          </w:tcPr>
          <w:p w14:paraId="6D021D73" w14:textId="77777777" w:rsidR="00D21D80" w:rsidRPr="009674F2" w:rsidRDefault="00D21D80" w:rsidP="00C955DB">
            <w:pPr>
              <w:spacing w:after="0" w:line="240" w:lineRule="auto"/>
              <w:jc w:val="both"/>
              <w:rPr>
                <w:rFonts w:ascii="Times New Roman" w:hAnsi="Times New Roman" w:cs="Times New Roman"/>
                <w:noProof/>
                <w:color w:val="006100"/>
              </w:rPr>
            </w:pPr>
            <w:r>
              <w:rPr>
                <w:rFonts w:ascii="Times New Roman" w:hAnsi="Times New Roman"/>
                <w:noProof/>
                <w:color w:val="006100"/>
              </w:rPr>
              <w:t>Технически условия за интегриране на допълнителни 2500 MW от възобновяеми източници (вятърна и слънчева енергия) в електроенергийната система</w:t>
            </w:r>
          </w:p>
        </w:tc>
      </w:tr>
      <w:tr w:rsidR="00D21D80" w:rsidRPr="00F41C75" w14:paraId="3A22ABB3" w14:textId="77777777" w:rsidTr="267FDB55">
        <w:trPr>
          <w:trHeight w:val="302"/>
          <w:jc w:val="center"/>
        </w:trPr>
        <w:tc>
          <w:tcPr>
            <w:tcW w:w="1292" w:type="dxa"/>
            <w:tcBorders>
              <w:top w:val="nil"/>
              <w:left w:val="single" w:sz="4" w:space="0" w:color="auto"/>
              <w:bottom w:val="single" w:sz="4" w:space="0" w:color="auto"/>
              <w:right w:val="single" w:sz="4" w:space="0" w:color="auto"/>
            </w:tcBorders>
            <w:shd w:val="clear" w:color="auto" w:fill="C6EFCE"/>
            <w:noWrap/>
          </w:tcPr>
          <w:p w14:paraId="3821C40A"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125</w:t>
            </w:r>
          </w:p>
        </w:tc>
        <w:tc>
          <w:tcPr>
            <w:tcW w:w="3969" w:type="dxa"/>
            <w:tcBorders>
              <w:top w:val="nil"/>
              <w:left w:val="nil"/>
              <w:bottom w:val="single" w:sz="4" w:space="0" w:color="auto"/>
              <w:right w:val="single" w:sz="4" w:space="0" w:color="auto"/>
            </w:tcBorders>
            <w:shd w:val="clear" w:color="auto" w:fill="C6EFCE"/>
            <w:noWrap/>
          </w:tcPr>
          <w:p w14:paraId="026A80D0" w14:textId="77777777" w:rsidR="00D21D80" w:rsidRPr="009674F2" w:rsidRDefault="00D21D80" w:rsidP="00C955DB">
            <w:pPr>
              <w:spacing w:after="0" w:line="240" w:lineRule="auto"/>
              <w:jc w:val="both"/>
              <w:rPr>
                <w:rFonts w:ascii="Times New Roman" w:hAnsi="Times New Roman" w:cs="Times New Roman"/>
                <w:noProof/>
                <w:color w:val="006100"/>
                <w:highlight w:val="yellow"/>
              </w:rPr>
            </w:pPr>
            <w:r>
              <w:rPr>
                <w:rFonts w:ascii="Times New Roman" w:hAnsi="Times New Roman"/>
                <w:noProof/>
                <w:color w:val="006100"/>
              </w:rPr>
              <w:t>C4I8 Национална инфраструктура за съхранение на електроенергия от възобновяеми източници (RESTORE)</w:t>
            </w:r>
          </w:p>
        </w:tc>
        <w:tc>
          <w:tcPr>
            <w:tcW w:w="1559" w:type="dxa"/>
            <w:tcBorders>
              <w:top w:val="nil"/>
              <w:left w:val="nil"/>
              <w:bottom w:val="single" w:sz="4" w:space="0" w:color="auto"/>
              <w:right w:val="single" w:sz="4" w:space="0" w:color="auto"/>
            </w:tcBorders>
            <w:shd w:val="clear" w:color="auto" w:fill="C6EFCE"/>
            <w:noWrap/>
          </w:tcPr>
          <w:p w14:paraId="4ADC627C" w14:textId="77777777" w:rsidR="00D21D80" w:rsidRPr="009674F2" w:rsidRDefault="00D21D80" w:rsidP="00C955DB">
            <w:pPr>
              <w:spacing w:after="0" w:line="240" w:lineRule="auto"/>
              <w:jc w:val="center"/>
              <w:rPr>
                <w:rFonts w:ascii="Times New Roman" w:hAnsi="Times New Roman" w:cs="Times New Roman"/>
                <w:noProof/>
                <w:color w:val="006100"/>
                <w:highlight w:val="yellow"/>
              </w:rPr>
            </w:pPr>
            <w:r>
              <w:rPr>
                <w:rFonts w:ascii="Times New Roman" w:hAnsi="Times New Roman"/>
                <w:noProof/>
                <w:color w:val="006100"/>
              </w:rPr>
              <w:t>Цел</w:t>
            </w:r>
          </w:p>
        </w:tc>
        <w:tc>
          <w:tcPr>
            <w:tcW w:w="3418" w:type="dxa"/>
            <w:tcBorders>
              <w:top w:val="nil"/>
              <w:left w:val="nil"/>
              <w:bottom w:val="single" w:sz="4" w:space="0" w:color="auto"/>
              <w:right w:val="single" w:sz="4" w:space="0" w:color="auto"/>
            </w:tcBorders>
            <w:shd w:val="clear" w:color="auto" w:fill="C6EFCE"/>
            <w:noWrap/>
          </w:tcPr>
          <w:p w14:paraId="03BB0E5D" w14:textId="77777777" w:rsidR="00D21D80" w:rsidRPr="009674F2" w:rsidRDefault="00D21D80" w:rsidP="00C955DB">
            <w:pPr>
              <w:spacing w:after="0" w:line="240" w:lineRule="auto"/>
              <w:jc w:val="both"/>
              <w:rPr>
                <w:rFonts w:ascii="Times New Roman" w:hAnsi="Times New Roman" w:cs="Times New Roman"/>
                <w:noProof/>
                <w:color w:val="006100"/>
                <w:highlight w:val="yellow"/>
              </w:rPr>
            </w:pPr>
            <w:r>
              <w:rPr>
                <w:rFonts w:ascii="Times New Roman" w:hAnsi="Times New Roman"/>
                <w:noProof/>
                <w:color w:val="006100"/>
              </w:rPr>
              <w:t>Съхранение на електроенергия (III)</w:t>
            </w:r>
          </w:p>
        </w:tc>
      </w:tr>
      <w:tr w:rsidR="00D21D80" w:rsidRPr="005241FC" w14:paraId="6DCB5DF7" w14:textId="77777777" w:rsidTr="267FDB55">
        <w:trPr>
          <w:trHeight w:val="302"/>
          <w:jc w:val="center"/>
        </w:trPr>
        <w:tc>
          <w:tcPr>
            <w:tcW w:w="1292" w:type="dxa"/>
            <w:tcBorders>
              <w:top w:val="nil"/>
              <w:left w:val="single" w:sz="4" w:space="0" w:color="auto"/>
              <w:bottom w:val="single" w:sz="4" w:space="0" w:color="auto"/>
              <w:right w:val="single" w:sz="4" w:space="0" w:color="auto"/>
            </w:tcBorders>
            <w:shd w:val="clear" w:color="auto" w:fill="C6EFCE"/>
            <w:noWrap/>
          </w:tcPr>
          <w:p w14:paraId="5F21C86B" w14:textId="77777777" w:rsidR="00D21D80" w:rsidRPr="009674F2" w:rsidRDefault="00D21D80" w:rsidP="00C955DB">
            <w:pPr>
              <w:spacing w:after="0" w:line="240" w:lineRule="auto"/>
              <w:jc w:val="center"/>
              <w:rPr>
                <w:rFonts w:ascii="Times New Roman" w:hAnsi="Times New Roman" w:cs="Times New Roman"/>
                <w:noProof/>
                <w:color w:val="006100"/>
              </w:rPr>
            </w:pPr>
            <w:r>
              <w:rPr>
                <w:rFonts w:ascii="Times New Roman" w:hAnsi="Times New Roman"/>
                <w:noProof/>
                <w:color w:val="006100"/>
              </w:rPr>
              <w:t>108</w:t>
            </w:r>
          </w:p>
        </w:tc>
        <w:tc>
          <w:tcPr>
            <w:tcW w:w="3969" w:type="dxa"/>
            <w:tcBorders>
              <w:top w:val="nil"/>
              <w:left w:val="nil"/>
              <w:bottom w:val="single" w:sz="4" w:space="0" w:color="auto"/>
              <w:right w:val="single" w:sz="4" w:space="0" w:color="auto"/>
            </w:tcBorders>
            <w:shd w:val="clear" w:color="auto" w:fill="C6EFCE"/>
            <w:noWrap/>
          </w:tcPr>
          <w:p w14:paraId="2E129B45" w14:textId="77777777" w:rsidR="00D21D80" w:rsidRPr="009674F2" w:rsidRDefault="00D21D80" w:rsidP="00C955DB">
            <w:pPr>
              <w:spacing w:after="0" w:line="240" w:lineRule="auto"/>
              <w:jc w:val="both"/>
              <w:rPr>
                <w:rFonts w:ascii="Times New Roman" w:hAnsi="Times New Roman" w:cs="Times New Roman"/>
                <w:noProof/>
                <w:color w:val="006100"/>
              </w:rPr>
            </w:pPr>
            <w:r>
              <w:rPr>
                <w:rFonts w:ascii="Times New Roman" w:hAnsi="Times New Roman"/>
                <w:noProof/>
                <w:color w:val="006100"/>
              </w:rPr>
              <w:t>C4I7 Пилотен проект за комбинирано производство на топлинна и електрическа енергия от геотермални източници</w:t>
            </w:r>
          </w:p>
        </w:tc>
        <w:tc>
          <w:tcPr>
            <w:tcW w:w="1559" w:type="dxa"/>
            <w:tcBorders>
              <w:top w:val="nil"/>
              <w:left w:val="nil"/>
              <w:bottom w:val="single" w:sz="4" w:space="0" w:color="auto"/>
              <w:right w:val="single" w:sz="4" w:space="0" w:color="auto"/>
            </w:tcBorders>
            <w:shd w:val="clear" w:color="auto" w:fill="C6EFCE"/>
            <w:noWrap/>
          </w:tcPr>
          <w:p w14:paraId="1ADB7D36" w14:textId="77777777" w:rsidR="00D21D80" w:rsidRPr="009674F2" w:rsidRDefault="00D21D80" w:rsidP="00C955DB">
            <w:pPr>
              <w:spacing w:after="0" w:line="240" w:lineRule="auto"/>
              <w:jc w:val="center"/>
              <w:rPr>
                <w:rFonts w:ascii="Times New Roman" w:hAnsi="Times New Roman" w:cs="Times New Roman"/>
                <w:noProof/>
                <w:color w:val="006100"/>
              </w:rPr>
            </w:pPr>
            <w:r>
              <w:rPr>
                <w:rFonts w:ascii="Times New Roman" w:hAnsi="Times New Roman"/>
                <w:noProof/>
                <w:color w:val="006100"/>
              </w:rPr>
              <w:t>Цел</w:t>
            </w:r>
          </w:p>
        </w:tc>
        <w:tc>
          <w:tcPr>
            <w:tcW w:w="3418" w:type="dxa"/>
            <w:tcBorders>
              <w:top w:val="nil"/>
              <w:left w:val="nil"/>
              <w:bottom w:val="single" w:sz="4" w:space="0" w:color="auto"/>
              <w:right w:val="single" w:sz="4" w:space="0" w:color="auto"/>
            </w:tcBorders>
            <w:shd w:val="clear" w:color="auto" w:fill="C6EFCE"/>
            <w:noWrap/>
          </w:tcPr>
          <w:p w14:paraId="715F3D9B" w14:textId="77777777" w:rsidR="00D21D80" w:rsidRPr="009674F2" w:rsidRDefault="00D21D80" w:rsidP="00C955DB">
            <w:pPr>
              <w:spacing w:after="0" w:line="240" w:lineRule="auto"/>
              <w:jc w:val="both"/>
              <w:rPr>
                <w:rFonts w:ascii="Times New Roman" w:hAnsi="Times New Roman" w:cs="Times New Roman"/>
                <w:noProof/>
                <w:color w:val="006100"/>
              </w:rPr>
            </w:pPr>
            <w:r>
              <w:rPr>
                <w:rFonts w:ascii="Times New Roman" w:hAnsi="Times New Roman"/>
                <w:noProof/>
                <w:color w:val="006100"/>
              </w:rPr>
              <w:t xml:space="preserve">В експлоатация е пилотна демонстрационна геотермална електроцентрала. </w:t>
            </w:r>
          </w:p>
        </w:tc>
      </w:tr>
      <w:tr w:rsidR="00D21D80" w:rsidRPr="005241FC" w14:paraId="622319C6" w14:textId="77777777" w:rsidTr="267FDB55">
        <w:trPr>
          <w:trHeight w:val="302"/>
          <w:jc w:val="center"/>
        </w:trPr>
        <w:tc>
          <w:tcPr>
            <w:tcW w:w="1292" w:type="dxa"/>
            <w:tcBorders>
              <w:top w:val="nil"/>
              <w:left w:val="single" w:sz="4" w:space="0" w:color="auto"/>
              <w:bottom w:val="single" w:sz="4" w:space="0" w:color="auto"/>
              <w:right w:val="single" w:sz="4" w:space="0" w:color="auto"/>
            </w:tcBorders>
            <w:shd w:val="clear" w:color="auto" w:fill="C6EFCE"/>
            <w:noWrap/>
          </w:tcPr>
          <w:p w14:paraId="2DE0B3E8"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103</w:t>
            </w:r>
          </w:p>
        </w:tc>
        <w:tc>
          <w:tcPr>
            <w:tcW w:w="3969" w:type="dxa"/>
            <w:tcBorders>
              <w:top w:val="nil"/>
              <w:left w:val="nil"/>
              <w:bottom w:val="single" w:sz="4" w:space="0" w:color="auto"/>
              <w:right w:val="single" w:sz="4" w:space="0" w:color="auto"/>
            </w:tcBorders>
            <w:shd w:val="clear" w:color="auto" w:fill="C6EFCE"/>
            <w:noWrap/>
          </w:tcPr>
          <w:p w14:paraId="2062A9C5" w14:textId="77777777" w:rsidR="00D21D80" w:rsidRPr="009674F2" w:rsidRDefault="00D21D80" w:rsidP="00C955DB">
            <w:pPr>
              <w:spacing w:after="0" w:line="240" w:lineRule="auto"/>
              <w:jc w:val="both"/>
              <w:rPr>
                <w:rFonts w:ascii="Times New Roman" w:hAnsi="Times New Roman" w:cs="Times New Roman"/>
                <w:noProof/>
                <w:color w:val="006100"/>
              </w:rPr>
            </w:pPr>
            <w:r>
              <w:rPr>
                <w:rFonts w:ascii="Times New Roman" w:hAnsi="Times New Roman"/>
                <w:noProof/>
                <w:color w:val="006100"/>
              </w:rPr>
              <w:t>C4I6 Подкрепа за нови мощности за производство на електроенергия от възобновяеми източници и съхранение на електроенергия</w:t>
            </w:r>
          </w:p>
        </w:tc>
        <w:tc>
          <w:tcPr>
            <w:tcW w:w="1559" w:type="dxa"/>
            <w:tcBorders>
              <w:top w:val="nil"/>
              <w:left w:val="nil"/>
              <w:bottom w:val="single" w:sz="4" w:space="0" w:color="auto"/>
              <w:right w:val="single" w:sz="4" w:space="0" w:color="auto"/>
            </w:tcBorders>
            <w:shd w:val="clear" w:color="auto" w:fill="C6EFCE"/>
            <w:noWrap/>
          </w:tcPr>
          <w:p w14:paraId="04179FEB" w14:textId="77777777" w:rsidR="00D21D80" w:rsidRPr="009674F2" w:rsidRDefault="00D21D80" w:rsidP="00C955DB">
            <w:pPr>
              <w:spacing w:after="0" w:line="240" w:lineRule="auto"/>
              <w:jc w:val="center"/>
              <w:rPr>
                <w:rFonts w:ascii="Times New Roman" w:hAnsi="Times New Roman" w:cs="Times New Roman"/>
                <w:noProof/>
                <w:color w:val="006100"/>
              </w:rPr>
            </w:pPr>
            <w:r>
              <w:rPr>
                <w:rFonts w:ascii="Times New Roman" w:hAnsi="Times New Roman"/>
                <w:noProof/>
                <w:color w:val="006100"/>
              </w:rPr>
              <w:t>Цел</w:t>
            </w:r>
          </w:p>
        </w:tc>
        <w:tc>
          <w:tcPr>
            <w:tcW w:w="3418" w:type="dxa"/>
            <w:tcBorders>
              <w:top w:val="nil"/>
              <w:left w:val="nil"/>
              <w:bottom w:val="single" w:sz="4" w:space="0" w:color="auto"/>
              <w:right w:val="single" w:sz="4" w:space="0" w:color="auto"/>
            </w:tcBorders>
            <w:shd w:val="clear" w:color="auto" w:fill="C6EFCE"/>
            <w:noWrap/>
          </w:tcPr>
          <w:p w14:paraId="195EBA70" w14:textId="77777777" w:rsidR="00D21D80" w:rsidRPr="009674F2" w:rsidRDefault="00D21D80" w:rsidP="00C955DB">
            <w:pPr>
              <w:spacing w:after="0" w:line="240" w:lineRule="auto"/>
              <w:jc w:val="both"/>
              <w:rPr>
                <w:rFonts w:ascii="Times New Roman" w:hAnsi="Times New Roman" w:cs="Times New Roman"/>
                <w:noProof/>
                <w:color w:val="006100"/>
              </w:rPr>
            </w:pPr>
            <w:r>
              <w:rPr>
                <w:rFonts w:ascii="Times New Roman" w:hAnsi="Times New Roman"/>
                <w:noProof/>
                <w:color w:val="006100"/>
              </w:rPr>
              <w:t>Допълнителен нов капацитет за производство на електроенергия от възобновяеми източници, разположен съвместно с въведен в експлоатация капацитет за съхранение на електроенергия</w:t>
            </w:r>
          </w:p>
        </w:tc>
      </w:tr>
      <w:tr w:rsidR="00D21D80" w:rsidRPr="005241FC" w14:paraId="16B04C42" w14:textId="77777777" w:rsidTr="267FDB55">
        <w:trPr>
          <w:trHeight w:val="302"/>
          <w:jc w:val="center"/>
        </w:trPr>
        <w:tc>
          <w:tcPr>
            <w:tcW w:w="1292" w:type="dxa"/>
            <w:tcBorders>
              <w:top w:val="nil"/>
              <w:left w:val="single" w:sz="4" w:space="0" w:color="auto"/>
              <w:bottom w:val="single" w:sz="4" w:space="0" w:color="auto"/>
              <w:right w:val="single" w:sz="4" w:space="0" w:color="auto"/>
            </w:tcBorders>
            <w:shd w:val="clear" w:color="auto" w:fill="C6EFCE"/>
            <w:noWrap/>
          </w:tcPr>
          <w:p w14:paraId="77A0BEE2" w14:textId="77777777" w:rsidR="00D21D80" w:rsidRPr="009674F2" w:rsidRDefault="00D21D80" w:rsidP="00C955DB">
            <w:pPr>
              <w:spacing w:after="0" w:line="240" w:lineRule="auto"/>
              <w:jc w:val="center"/>
              <w:rPr>
                <w:rFonts w:ascii="Times New Roman" w:hAnsi="Times New Roman" w:cs="Times New Roman"/>
                <w:noProof/>
                <w:color w:val="006100"/>
              </w:rPr>
            </w:pPr>
            <w:r>
              <w:rPr>
                <w:rFonts w:ascii="Times New Roman" w:hAnsi="Times New Roman"/>
                <w:noProof/>
                <w:color w:val="006100"/>
              </w:rPr>
              <w:t>104</w:t>
            </w:r>
          </w:p>
        </w:tc>
        <w:tc>
          <w:tcPr>
            <w:tcW w:w="3969" w:type="dxa"/>
            <w:tcBorders>
              <w:top w:val="nil"/>
              <w:left w:val="nil"/>
              <w:bottom w:val="single" w:sz="4" w:space="0" w:color="auto"/>
              <w:right w:val="single" w:sz="4" w:space="0" w:color="auto"/>
            </w:tcBorders>
            <w:shd w:val="clear" w:color="auto" w:fill="C6EFCE"/>
            <w:noWrap/>
          </w:tcPr>
          <w:p w14:paraId="6CC7CAE7" w14:textId="77777777" w:rsidR="00D21D80" w:rsidRPr="009674F2" w:rsidRDefault="00D21D80" w:rsidP="00C955DB">
            <w:pPr>
              <w:spacing w:after="0" w:line="240" w:lineRule="auto"/>
              <w:jc w:val="both"/>
              <w:rPr>
                <w:rFonts w:ascii="Times New Roman" w:hAnsi="Times New Roman" w:cs="Times New Roman"/>
                <w:noProof/>
                <w:color w:val="006100"/>
              </w:rPr>
            </w:pPr>
            <w:r>
              <w:rPr>
                <w:rFonts w:ascii="Times New Roman" w:hAnsi="Times New Roman"/>
                <w:noProof/>
                <w:color w:val="006100"/>
              </w:rPr>
              <w:t>C4R6 Стимулиране на производството на електроенергия от възобновяеми източници</w:t>
            </w:r>
          </w:p>
        </w:tc>
        <w:tc>
          <w:tcPr>
            <w:tcW w:w="1559" w:type="dxa"/>
            <w:tcBorders>
              <w:top w:val="nil"/>
              <w:left w:val="nil"/>
              <w:bottom w:val="single" w:sz="4" w:space="0" w:color="auto"/>
              <w:right w:val="single" w:sz="4" w:space="0" w:color="auto"/>
            </w:tcBorders>
            <w:shd w:val="clear" w:color="auto" w:fill="C6EFCE"/>
            <w:noWrap/>
          </w:tcPr>
          <w:p w14:paraId="47BFE1D9" w14:textId="77777777" w:rsidR="00D21D80" w:rsidRPr="009674F2" w:rsidRDefault="00D21D80" w:rsidP="00C955DB">
            <w:pPr>
              <w:spacing w:after="0" w:line="240" w:lineRule="auto"/>
              <w:jc w:val="center"/>
              <w:rPr>
                <w:rFonts w:ascii="Times New Roman" w:hAnsi="Times New Roman" w:cs="Times New Roman"/>
                <w:noProof/>
                <w:color w:val="006100"/>
              </w:rPr>
            </w:pPr>
            <w:r>
              <w:rPr>
                <w:rFonts w:ascii="Times New Roman" w:hAnsi="Times New Roman"/>
                <w:noProof/>
                <w:color w:val="006100"/>
              </w:rPr>
              <w:t>Цел</w:t>
            </w:r>
          </w:p>
        </w:tc>
        <w:tc>
          <w:tcPr>
            <w:tcW w:w="3418" w:type="dxa"/>
            <w:tcBorders>
              <w:top w:val="nil"/>
              <w:left w:val="nil"/>
              <w:bottom w:val="single" w:sz="4" w:space="0" w:color="auto"/>
              <w:right w:val="single" w:sz="4" w:space="0" w:color="auto"/>
            </w:tcBorders>
            <w:shd w:val="clear" w:color="auto" w:fill="C6EFCE"/>
            <w:noWrap/>
          </w:tcPr>
          <w:p w14:paraId="27482B42" w14:textId="77777777" w:rsidR="00D21D80" w:rsidRPr="009674F2" w:rsidRDefault="00D21D80" w:rsidP="00C955DB">
            <w:pPr>
              <w:spacing w:after="0" w:line="240" w:lineRule="auto"/>
              <w:jc w:val="both"/>
              <w:rPr>
                <w:rFonts w:ascii="Times New Roman" w:hAnsi="Times New Roman" w:cs="Times New Roman"/>
                <w:noProof/>
                <w:color w:val="006100"/>
              </w:rPr>
            </w:pPr>
            <w:r>
              <w:rPr>
                <w:rFonts w:ascii="Times New Roman" w:hAnsi="Times New Roman"/>
                <w:noProof/>
                <w:color w:val="006100"/>
              </w:rPr>
              <w:t xml:space="preserve">Въведен в експлоатация общ нов капацитет за производство на електроенергия от възобновяеми източници (вятърна и слънчева енергия) </w:t>
            </w:r>
          </w:p>
        </w:tc>
      </w:tr>
      <w:tr w:rsidR="00D21D80" w:rsidRPr="005241FC" w14:paraId="09947C0B" w14:textId="77777777" w:rsidTr="267FDB55">
        <w:trPr>
          <w:trHeight w:val="302"/>
          <w:jc w:val="center"/>
        </w:trPr>
        <w:tc>
          <w:tcPr>
            <w:tcW w:w="1292" w:type="dxa"/>
            <w:tcBorders>
              <w:top w:val="nil"/>
              <w:left w:val="single" w:sz="4" w:space="0" w:color="auto"/>
              <w:bottom w:val="single" w:sz="4" w:space="0" w:color="auto"/>
              <w:right w:val="single" w:sz="4" w:space="0" w:color="auto"/>
            </w:tcBorders>
            <w:shd w:val="clear" w:color="auto" w:fill="C6EFCE"/>
            <w:noWrap/>
          </w:tcPr>
          <w:p w14:paraId="046A4C2F"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120</w:t>
            </w:r>
          </w:p>
        </w:tc>
        <w:tc>
          <w:tcPr>
            <w:tcW w:w="3969" w:type="dxa"/>
            <w:tcBorders>
              <w:top w:val="nil"/>
              <w:left w:val="nil"/>
              <w:bottom w:val="single" w:sz="4" w:space="0" w:color="auto"/>
              <w:right w:val="single" w:sz="4" w:space="0" w:color="auto"/>
            </w:tcBorders>
            <w:shd w:val="clear" w:color="auto" w:fill="C6EFCE"/>
            <w:noWrap/>
          </w:tcPr>
          <w:p w14:paraId="7CF95022" w14:textId="77777777" w:rsidR="00D21D80" w:rsidRPr="009674F2" w:rsidRDefault="00D21D80" w:rsidP="00C955DB">
            <w:pPr>
              <w:spacing w:after="0" w:line="240" w:lineRule="auto"/>
              <w:jc w:val="both"/>
              <w:rPr>
                <w:rFonts w:ascii="Times New Roman" w:eastAsia="Times New Roman" w:hAnsi="Times New Roman" w:cs="Times New Roman"/>
                <w:noProof/>
                <w:color w:val="006100"/>
                <w:highlight w:val="yellow"/>
              </w:rPr>
            </w:pPr>
            <w:r>
              <w:rPr>
                <w:rFonts w:ascii="Times New Roman" w:hAnsi="Times New Roman"/>
                <w:noProof/>
                <w:color w:val="006100"/>
              </w:rPr>
              <w:t>C4R10 Декарбонизация на енергийния сектор</w:t>
            </w:r>
          </w:p>
        </w:tc>
        <w:tc>
          <w:tcPr>
            <w:tcW w:w="1559" w:type="dxa"/>
            <w:tcBorders>
              <w:top w:val="nil"/>
              <w:left w:val="nil"/>
              <w:bottom w:val="single" w:sz="4" w:space="0" w:color="auto"/>
              <w:right w:val="single" w:sz="4" w:space="0" w:color="auto"/>
            </w:tcBorders>
            <w:shd w:val="clear" w:color="auto" w:fill="C6EFCE"/>
            <w:noWrap/>
          </w:tcPr>
          <w:p w14:paraId="038416E0" w14:textId="77777777" w:rsidR="00D21D80" w:rsidRPr="009674F2" w:rsidRDefault="00D21D80" w:rsidP="00C955DB">
            <w:pPr>
              <w:spacing w:after="0" w:line="240" w:lineRule="auto"/>
              <w:jc w:val="center"/>
              <w:rPr>
                <w:rFonts w:ascii="Times New Roman" w:eastAsia="Times New Roman" w:hAnsi="Times New Roman" w:cs="Times New Roman"/>
                <w:noProof/>
                <w:color w:val="006100"/>
                <w:highlight w:val="yellow"/>
              </w:rPr>
            </w:pPr>
            <w:r>
              <w:rPr>
                <w:rFonts w:ascii="Times New Roman" w:hAnsi="Times New Roman"/>
                <w:noProof/>
                <w:color w:val="006100"/>
              </w:rPr>
              <w:t>Цел</w:t>
            </w:r>
          </w:p>
        </w:tc>
        <w:tc>
          <w:tcPr>
            <w:tcW w:w="3418" w:type="dxa"/>
            <w:tcBorders>
              <w:top w:val="nil"/>
              <w:left w:val="nil"/>
              <w:bottom w:val="single" w:sz="4" w:space="0" w:color="auto"/>
              <w:right w:val="single" w:sz="4" w:space="0" w:color="auto"/>
            </w:tcBorders>
            <w:shd w:val="clear" w:color="auto" w:fill="C6EFCE"/>
            <w:noWrap/>
          </w:tcPr>
          <w:p w14:paraId="7D6E3FDA"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Намаляване на емисиите на въглероден диоксид от енергийния сектор (IV)</w:t>
            </w:r>
          </w:p>
        </w:tc>
      </w:tr>
      <w:tr w:rsidR="00D21D80" w:rsidRPr="005241FC" w14:paraId="472E5818" w14:textId="77777777" w:rsidTr="267FDB55">
        <w:trPr>
          <w:trHeight w:val="302"/>
          <w:jc w:val="center"/>
        </w:trPr>
        <w:tc>
          <w:tcPr>
            <w:tcW w:w="1292" w:type="dxa"/>
            <w:tcBorders>
              <w:top w:val="nil"/>
              <w:left w:val="single" w:sz="4" w:space="0" w:color="auto"/>
              <w:bottom w:val="single" w:sz="4" w:space="0" w:color="auto"/>
              <w:right w:val="single" w:sz="4" w:space="0" w:color="auto"/>
            </w:tcBorders>
            <w:shd w:val="clear" w:color="auto" w:fill="C6EFCE"/>
            <w:noWrap/>
            <w:hideMark/>
          </w:tcPr>
          <w:p w14:paraId="20677090"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132</w:t>
            </w:r>
          </w:p>
        </w:tc>
        <w:tc>
          <w:tcPr>
            <w:tcW w:w="3969" w:type="dxa"/>
            <w:tcBorders>
              <w:top w:val="nil"/>
              <w:left w:val="nil"/>
              <w:bottom w:val="single" w:sz="4" w:space="0" w:color="auto"/>
              <w:right w:val="single" w:sz="4" w:space="0" w:color="auto"/>
            </w:tcBorders>
            <w:shd w:val="clear" w:color="auto" w:fill="C6EFCE"/>
            <w:noWrap/>
            <w:vAlign w:val="bottom"/>
            <w:hideMark/>
          </w:tcPr>
          <w:p w14:paraId="3B56117D"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C6R1 Актуализиране на стратегическата рамка на сектора на здравеопазването</w:t>
            </w:r>
          </w:p>
        </w:tc>
        <w:tc>
          <w:tcPr>
            <w:tcW w:w="1559" w:type="dxa"/>
            <w:tcBorders>
              <w:top w:val="nil"/>
              <w:left w:val="nil"/>
              <w:bottom w:val="single" w:sz="4" w:space="0" w:color="auto"/>
              <w:right w:val="single" w:sz="4" w:space="0" w:color="auto"/>
            </w:tcBorders>
            <w:shd w:val="clear" w:color="auto" w:fill="C6EFCE"/>
            <w:noWrap/>
            <w:vAlign w:val="bottom"/>
            <w:hideMark/>
          </w:tcPr>
          <w:p w14:paraId="6FE9C5B1"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Цел</w:t>
            </w:r>
          </w:p>
        </w:tc>
        <w:tc>
          <w:tcPr>
            <w:tcW w:w="3418" w:type="dxa"/>
            <w:tcBorders>
              <w:top w:val="nil"/>
              <w:left w:val="nil"/>
              <w:bottom w:val="single" w:sz="4" w:space="0" w:color="auto"/>
              <w:right w:val="single" w:sz="4" w:space="0" w:color="auto"/>
            </w:tcBorders>
            <w:shd w:val="clear" w:color="auto" w:fill="C6EFCE"/>
            <w:noWrap/>
            <w:vAlign w:val="bottom"/>
            <w:hideMark/>
          </w:tcPr>
          <w:p w14:paraId="76521CF8"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Увеличаване на дела на биологичното земеделие, което в съобразено с изискванията на екологичния и цифровия преход</w:t>
            </w:r>
          </w:p>
        </w:tc>
      </w:tr>
      <w:tr w:rsidR="00D21D80" w:rsidRPr="005241FC" w14:paraId="53EBABF3" w14:textId="77777777" w:rsidTr="267FDB55">
        <w:trPr>
          <w:trHeight w:val="302"/>
          <w:jc w:val="center"/>
        </w:trPr>
        <w:tc>
          <w:tcPr>
            <w:tcW w:w="1292" w:type="dxa"/>
            <w:tcBorders>
              <w:top w:val="nil"/>
              <w:left w:val="single" w:sz="4" w:space="0" w:color="auto"/>
              <w:bottom w:val="single" w:sz="4" w:space="0" w:color="auto"/>
              <w:right w:val="single" w:sz="4" w:space="0" w:color="auto"/>
            </w:tcBorders>
            <w:shd w:val="clear" w:color="auto" w:fill="C6EFCE"/>
            <w:noWrap/>
          </w:tcPr>
          <w:p w14:paraId="57F67040"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210</w:t>
            </w:r>
          </w:p>
        </w:tc>
        <w:tc>
          <w:tcPr>
            <w:tcW w:w="3969" w:type="dxa"/>
            <w:tcBorders>
              <w:top w:val="nil"/>
              <w:left w:val="nil"/>
              <w:bottom w:val="single" w:sz="4" w:space="0" w:color="auto"/>
              <w:right w:val="single" w:sz="4" w:space="0" w:color="auto"/>
            </w:tcBorders>
            <w:shd w:val="clear" w:color="auto" w:fill="C6EFCE"/>
            <w:noWrap/>
          </w:tcPr>
          <w:p w14:paraId="243D37CB" w14:textId="77777777" w:rsidR="00D21D80" w:rsidRPr="009674F2" w:rsidRDefault="00D21D80" w:rsidP="00C955DB">
            <w:pPr>
              <w:spacing w:after="0" w:line="240" w:lineRule="auto"/>
              <w:jc w:val="both"/>
              <w:rPr>
                <w:rFonts w:ascii="Times New Roman" w:eastAsia="Times New Roman" w:hAnsi="Times New Roman" w:cs="Times New Roman"/>
                <w:noProof/>
                <w:color w:val="006100"/>
                <w:highlight w:val="yellow"/>
              </w:rPr>
            </w:pPr>
            <w:r>
              <w:rPr>
                <w:rFonts w:ascii="Times New Roman" w:hAnsi="Times New Roman"/>
                <w:noProof/>
                <w:color w:val="006100"/>
              </w:rPr>
              <w:t>C9I1 Програма за изграждане/доизграждане/реконструкция на водоснабдителни и канализационни системи, включително пречиствателни станции за отпадъчни води за агломерациите между 5 000 и 10 000 еквивалент жители</w:t>
            </w:r>
          </w:p>
        </w:tc>
        <w:tc>
          <w:tcPr>
            <w:tcW w:w="1559" w:type="dxa"/>
            <w:tcBorders>
              <w:top w:val="nil"/>
              <w:left w:val="nil"/>
              <w:bottom w:val="single" w:sz="4" w:space="0" w:color="auto"/>
              <w:right w:val="single" w:sz="4" w:space="0" w:color="auto"/>
            </w:tcBorders>
            <w:shd w:val="clear" w:color="auto" w:fill="C6EFCE"/>
            <w:noWrap/>
          </w:tcPr>
          <w:p w14:paraId="5B9239D7"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Цел</w:t>
            </w:r>
          </w:p>
        </w:tc>
        <w:tc>
          <w:tcPr>
            <w:tcW w:w="3418" w:type="dxa"/>
            <w:tcBorders>
              <w:top w:val="nil"/>
              <w:left w:val="nil"/>
              <w:bottom w:val="single" w:sz="4" w:space="0" w:color="auto"/>
              <w:right w:val="single" w:sz="4" w:space="0" w:color="auto"/>
            </w:tcBorders>
            <w:shd w:val="clear" w:color="auto" w:fill="C6EFCE"/>
            <w:noWrap/>
          </w:tcPr>
          <w:p w14:paraId="13C1D7CE"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 xml:space="preserve">Новопостроена/ </w:t>
            </w:r>
          </w:p>
          <w:p w14:paraId="0E80C67E"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 xml:space="preserve">реконструирана </w:t>
            </w:r>
          </w:p>
          <w:p w14:paraId="7D4B7C47"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 xml:space="preserve">водоснабдителна мрежа, свързана с новопостроени/реконструирани пречиствателни станции за отпадъчни води </w:t>
            </w:r>
          </w:p>
        </w:tc>
      </w:tr>
      <w:tr w:rsidR="00E6049B" w:rsidRPr="005241FC" w14:paraId="520281E6" w14:textId="77777777" w:rsidTr="00E7285C">
        <w:trPr>
          <w:trHeight w:val="302"/>
          <w:jc w:val="center"/>
        </w:trPr>
        <w:tc>
          <w:tcPr>
            <w:tcW w:w="1292" w:type="dxa"/>
            <w:tcBorders>
              <w:top w:val="nil"/>
              <w:left w:val="single" w:sz="4" w:space="0" w:color="auto"/>
              <w:bottom w:val="single" w:sz="4" w:space="0" w:color="auto"/>
              <w:right w:val="single" w:sz="4" w:space="0" w:color="auto"/>
            </w:tcBorders>
            <w:shd w:val="clear" w:color="auto" w:fill="C6EFCE"/>
            <w:noWrap/>
          </w:tcPr>
          <w:p w14:paraId="6D562CB0" w14:textId="1AC25134" w:rsidR="00E6049B" w:rsidRPr="009674F2" w:rsidRDefault="00E6049B" w:rsidP="00E6049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134</w:t>
            </w:r>
          </w:p>
        </w:tc>
        <w:tc>
          <w:tcPr>
            <w:tcW w:w="3969" w:type="dxa"/>
            <w:tcBorders>
              <w:top w:val="nil"/>
              <w:left w:val="nil"/>
              <w:bottom w:val="single" w:sz="4" w:space="0" w:color="auto"/>
              <w:right w:val="single" w:sz="4" w:space="0" w:color="auto"/>
            </w:tcBorders>
            <w:shd w:val="clear" w:color="auto" w:fill="C6EFCE"/>
            <w:noWrap/>
            <w:vAlign w:val="bottom"/>
          </w:tcPr>
          <w:p w14:paraId="1DFD3E78" w14:textId="2BB1F841" w:rsidR="00E6049B" w:rsidRPr="009674F2" w:rsidRDefault="00E6049B" w:rsidP="00E6049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C6I1 Фонд за насърчаване на технологичния и екологичен преход на селското стопанство</w:t>
            </w:r>
          </w:p>
        </w:tc>
        <w:tc>
          <w:tcPr>
            <w:tcW w:w="1559" w:type="dxa"/>
            <w:tcBorders>
              <w:top w:val="nil"/>
              <w:left w:val="nil"/>
              <w:bottom w:val="single" w:sz="4" w:space="0" w:color="auto"/>
              <w:right w:val="single" w:sz="4" w:space="0" w:color="auto"/>
            </w:tcBorders>
            <w:shd w:val="clear" w:color="auto" w:fill="C6EFCE"/>
            <w:noWrap/>
            <w:vAlign w:val="bottom"/>
          </w:tcPr>
          <w:p w14:paraId="1752560A" w14:textId="658DB093" w:rsidR="00E6049B" w:rsidRDefault="00E6049B" w:rsidP="00E6049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 Цел</w:t>
            </w:r>
          </w:p>
        </w:tc>
        <w:tc>
          <w:tcPr>
            <w:tcW w:w="3418" w:type="dxa"/>
            <w:tcBorders>
              <w:top w:val="nil"/>
              <w:left w:val="nil"/>
              <w:bottom w:val="single" w:sz="4" w:space="0" w:color="auto"/>
              <w:right w:val="single" w:sz="4" w:space="0" w:color="auto"/>
            </w:tcBorders>
            <w:shd w:val="clear" w:color="auto" w:fill="C6EFCE"/>
            <w:noWrap/>
            <w:vAlign w:val="bottom"/>
          </w:tcPr>
          <w:p w14:paraId="4CBB8C4F" w14:textId="07BBE4E0" w:rsidR="00E6049B" w:rsidRPr="009674F2" w:rsidRDefault="00E6049B" w:rsidP="00E6049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Брой на бенефициерите на проекти, получили подкрепа чрез фонда</w:t>
            </w:r>
          </w:p>
        </w:tc>
      </w:tr>
      <w:tr w:rsidR="00D21D80" w:rsidRPr="00F41C75" w14:paraId="525722CA" w14:textId="77777777" w:rsidTr="267FDB55">
        <w:trPr>
          <w:trHeight w:val="302"/>
          <w:jc w:val="center"/>
        </w:trPr>
        <w:tc>
          <w:tcPr>
            <w:tcW w:w="1292" w:type="dxa"/>
            <w:tcBorders>
              <w:top w:val="nil"/>
              <w:left w:val="single" w:sz="4" w:space="0" w:color="auto"/>
              <w:bottom w:val="single" w:sz="4" w:space="0" w:color="auto"/>
              <w:right w:val="single" w:sz="4" w:space="0" w:color="auto"/>
            </w:tcBorders>
            <w:shd w:val="clear" w:color="auto" w:fill="C6EFCE"/>
            <w:noWrap/>
          </w:tcPr>
          <w:p w14:paraId="1330625F"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146</w:t>
            </w:r>
          </w:p>
        </w:tc>
        <w:tc>
          <w:tcPr>
            <w:tcW w:w="3969" w:type="dxa"/>
            <w:tcBorders>
              <w:top w:val="nil"/>
              <w:left w:val="nil"/>
              <w:bottom w:val="single" w:sz="4" w:space="0" w:color="auto"/>
              <w:right w:val="single" w:sz="4" w:space="0" w:color="auto"/>
            </w:tcBorders>
            <w:shd w:val="clear" w:color="auto" w:fill="C6EFCE"/>
            <w:noWrap/>
          </w:tcPr>
          <w:p w14:paraId="423A88DD"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C7I1 Широкомащабно внедряване на цифрова инфраструктура</w:t>
            </w:r>
          </w:p>
        </w:tc>
        <w:tc>
          <w:tcPr>
            <w:tcW w:w="1559" w:type="dxa"/>
            <w:tcBorders>
              <w:top w:val="nil"/>
              <w:left w:val="nil"/>
              <w:bottom w:val="single" w:sz="4" w:space="0" w:color="auto"/>
              <w:right w:val="single" w:sz="4" w:space="0" w:color="auto"/>
            </w:tcBorders>
            <w:shd w:val="clear" w:color="auto" w:fill="C6EFCE"/>
            <w:noWrap/>
          </w:tcPr>
          <w:p w14:paraId="5AA16285"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Цел</w:t>
            </w:r>
          </w:p>
        </w:tc>
        <w:tc>
          <w:tcPr>
            <w:tcW w:w="3418" w:type="dxa"/>
            <w:tcBorders>
              <w:top w:val="nil"/>
              <w:left w:val="nil"/>
              <w:bottom w:val="single" w:sz="4" w:space="0" w:color="auto"/>
              <w:right w:val="single" w:sz="4" w:space="0" w:color="auto"/>
            </w:tcBorders>
            <w:shd w:val="clear" w:color="auto" w:fill="C6EFCE"/>
            <w:noWrap/>
          </w:tcPr>
          <w:p w14:paraId="7C4D7928"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 xml:space="preserve">Общински центрове с нови възли за достъп до </w:t>
            </w:r>
          </w:p>
          <w:p w14:paraId="432DE280"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 xml:space="preserve">мрежи с много голям капацитет </w:t>
            </w:r>
          </w:p>
        </w:tc>
      </w:tr>
      <w:tr w:rsidR="00D21D80" w:rsidRPr="005241FC" w14:paraId="240C9F07" w14:textId="77777777" w:rsidTr="267FDB55">
        <w:trPr>
          <w:trHeight w:val="302"/>
          <w:jc w:val="center"/>
        </w:trPr>
        <w:tc>
          <w:tcPr>
            <w:tcW w:w="1292" w:type="dxa"/>
            <w:tcBorders>
              <w:top w:val="nil"/>
              <w:left w:val="single" w:sz="4" w:space="0" w:color="auto"/>
              <w:bottom w:val="single" w:sz="4" w:space="0" w:color="auto"/>
              <w:right w:val="single" w:sz="4" w:space="0" w:color="auto"/>
            </w:tcBorders>
            <w:shd w:val="clear" w:color="auto" w:fill="C6EFCE"/>
            <w:noWrap/>
          </w:tcPr>
          <w:p w14:paraId="73DE7480"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147</w:t>
            </w:r>
          </w:p>
        </w:tc>
        <w:tc>
          <w:tcPr>
            <w:tcW w:w="3969" w:type="dxa"/>
            <w:tcBorders>
              <w:top w:val="nil"/>
              <w:left w:val="nil"/>
              <w:bottom w:val="single" w:sz="4" w:space="0" w:color="auto"/>
              <w:right w:val="single" w:sz="4" w:space="0" w:color="auto"/>
            </w:tcBorders>
            <w:shd w:val="clear" w:color="auto" w:fill="C6EFCE"/>
            <w:noWrap/>
          </w:tcPr>
          <w:p w14:paraId="38283987"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C7I1 Широкомащабно внедряване на цифрова инфраструктура</w:t>
            </w:r>
          </w:p>
        </w:tc>
        <w:tc>
          <w:tcPr>
            <w:tcW w:w="1559" w:type="dxa"/>
            <w:tcBorders>
              <w:top w:val="nil"/>
              <w:left w:val="nil"/>
              <w:bottom w:val="single" w:sz="4" w:space="0" w:color="auto"/>
              <w:right w:val="single" w:sz="4" w:space="0" w:color="auto"/>
            </w:tcBorders>
            <w:shd w:val="clear" w:color="auto" w:fill="C6EFCE"/>
            <w:noWrap/>
          </w:tcPr>
          <w:p w14:paraId="7A33C096"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Цел</w:t>
            </w:r>
          </w:p>
        </w:tc>
        <w:tc>
          <w:tcPr>
            <w:tcW w:w="3418" w:type="dxa"/>
            <w:tcBorders>
              <w:top w:val="nil"/>
              <w:left w:val="nil"/>
              <w:bottom w:val="single" w:sz="4" w:space="0" w:color="auto"/>
              <w:right w:val="single" w:sz="4" w:space="0" w:color="auto"/>
            </w:tcBorders>
            <w:shd w:val="clear" w:color="auto" w:fill="C6EFCE"/>
            <w:noWrap/>
          </w:tcPr>
          <w:p w14:paraId="2E7044D0"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Население с достъп до мрежи с много голям капацитет със скорост от 1 Gbps или по-висока</w:t>
            </w:r>
          </w:p>
        </w:tc>
      </w:tr>
      <w:tr w:rsidR="00D21D80" w:rsidRPr="005241FC" w14:paraId="0965B8ED" w14:textId="77777777" w:rsidTr="267FDB55">
        <w:trPr>
          <w:trHeight w:val="302"/>
          <w:jc w:val="center"/>
        </w:trPr>
        <w:tc>
          <w:tcPr>
            <w:tcW w:w="1292" w:type="dxa"/>
            <w:tcBorders>
              <w:top w:val="nil"/>
              <w:left w:val="single" w:sz="4" w:space="0" w:color="auto"/>
              <w:bottom w:val="single" w:sz="4" w:space="0" w:color="auto"/>
              <w:right w:val="single" w:sz="4" w:space="0" w:color="auto"/>
            </w:tcBorders>
            <w:shd w:val="clear" w:color="auto" w:fill="C6EFCE"/>
            <w:noWrap/>
            <w:hideMark/>
          </w:tcPr>
          <w:p w14:paraId="31AF9CF0"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166</w:t>
            </w:r>
          </w:p>
        </w:tc>
        <w:tc>
          <w:tcPr>
            <w:tcW w:w="3969" w:type="dxa"/>
            <w:tcBorders>
              <w:top w:val="nil"/>
              <w:left w:val="nil"/>
              <w:bottom w:val="single" w:sz="4" w:space="0" w:color="auto"/>
              <w:right w:val="single" w:sz="4" w:space="0" w:color="auto"/>
            </w:tcBorders>
            <w:shd w:val="clear" w:color="auto" w:fill="C6EFCE"/>
            <w:noWrap/>
            <w:hideMark/>
          </w:tcPr>
          <w:p w14:paraId="392466EC"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 xml:space="preserve">C8R1 Стратегическа рамка за транспорта </w:t>
            </w:r>
          </w:p>
        </w:tc>
        <w:tc>
          <w:tcPr>
            <w:tcW w:w="1559" w:type="dxa"/>
            <w:tcBorders>
              <w:top w:val="nil"/>
              <w:left w:val="nil"/>
              <w:bottom w:val="single" w:sz="4" w:space="0" w:color="auto"/>
              <w:right w:val="single" w:sz="4" w:space="0" w:color="auto"/>
            </w:tcBorders>
            <w:shd w:val="clear" w:color="auto" w:fill="C6EFCE"/>
            <w:noWrap/>
            <w:hideMark/>
          </w:tcPr>
          <w:p w14:paraId="448D4D5E"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Цел</w:t>
            </w:r>
          </w:p>
        </w:tc>
        <w:tc>
          <w:tcPr>
            <w:tcW w:w="3418" w:type="dxa"/>
            <w:tcBorders>
              <w:top w:val="nil"/>
              <w:left w:val="nil"/>
              <w:bottom w:val="single" w:sz="4" w:space="0" w:color="auto"/>
              <w:right w:val="single" w:sz="4" w:space="0" w:color="auto"/>
            </w:tcBorders>
            <w:shd w:val="clear" w:color="auto" w:fill="C6EFCE"/>
            <w:noWrap/>
            <w:hideMark/>
          </w:tcPr>
          <w:p w14:paraId="7BDDDC9F"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 xml:space="preserve">Внедряване на ERTMS в TEN-T </w:t>
            </w:r>
          </w:p>
        </w:tc>
      </w:tr>
      <w:tr w:rsidR="00D21D80" w:rsidRPr="005241FC" w14:paraId="6B7E56D5" w14:textId="77777777" w:rsidTr="267FDB55">
        <w:trPr>
          <w:trHeight w:val="302"/>
          <w:jc w:val="center"/>
        </w:trPr>
        <w:tc>
          <w:tcPr>
            <w:tcW w:w="1292" w:type="dxa"/>
            <w:tcBorders>
              <w:top w:val="nil"/>
              <w:left w:val="single" w:sz="4" w:space="0" w:color="auto"/>
              <w:bottom w:val="single" w:sz="4" w:space="0" w:color="auto"/>
              <w:right w:val="single" w:sz="4" w:space="0" w:color="auto"/>
            </w:tcBorders>
            <w:shd w:val="clear" w:color="auto" w:fill="C6EFCE"/>
            <w:noWrap/>
            <w:hideMark/>
          </w:tcPr>
          <w:p w14:paraId="1E7404A3"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167</w:t>
            </w:r>
          </w:p>
        </w:tc>
        <w:tc>
          <w:tcPr>
            <w:tcW w:w="3969" w:type="dxa"/>
            <w:tcBorders>
              <w:top w:val="nil"/>
              <w:left w:val="nil"/>
              <w:bottom w:val="single" w:sz="4" w:space="0" w:color="auto"/>
              <w:right w:val="single" w:sz="4" w:space="0" w:color="auto"/>
            </w:tcBorders>
            <w:shd w:val="clear" w:color="auto" w:fill="C6EFCE"/>
            <w:noWrap/>
            <w:hideMark/>
          </w:tcPr>
          <w:p w14:paraId="63E29EF4"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C8R1 Стратегическа рамка за транспорта</w:t>
            </w:r>
          </w:p>
        </w:tc>
        <w:tc>
          <w:tcPr>
            <w:tcW w:w="1559" w:type="dxa"/>
            <w:tcBorders>
              <w:top w:val="nil"/>
              <w:left w:val="nil"/>
              <w:bottom w:val="single" w:sz="4" w:space="0" w:color="auto"/>
              <w:right w:val="single" w:sz="4" w:space="0" w:color="auto"/>
            </w:tcBorders>
            <w:shd w:val="clear" w:color="auto" w:fill="C6EFCE"/>
            <w:noWrap/>
            <w:hideMark/>
          </w:tcPr>
          <w:p w14:paraId="07F8EA42"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Цел</w:t>
            </w:r>
          </w:p>
        </w:tc>
        <w:tc>
          <w:tcPr>
            <w:tcW w:w="3418" w:type="dxa"/>
            <w:tcBorders>
              <w:top w:val="nil"/>
              <w:left w:val="nil"/>
              <w:bottom w:val="single" w:sz="4" w:space="0" w:color="auto"/>
              <w:right w:val="single" w:sz="4" w:space="0" w:color="auto"/>
            </w:tcBorders>
            <w:shd w:val="clear" w:color="auto" w:fill="C6EFCE"/>
            <w:noWrap/>
            <w:hideMark/>
          </w:tcPr>
          <w:p w14:paraId="733FA3DD"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Увеличаване на броя на превозваните с железопътен транспорт пътници</w:t>
            </w:r>
          </w:p>
        </w:tc>
      </w:tr>
      <w:tr w:rsidR="00D21D80" w:rsidRPr="005241FC" w14:paraId="212CC19E" w14:textId="77777777" w:rsidTr="267FDB55">
        <w:trPr>
          <w:trHeight w:val="302"/>
          <w:jc w:val="center"/>
        </w:trPr>
        <w:tc>
          <w:tcPr>
            <w:tcW w:w="1292" w:type="dxa"/>
            <w:tcBorders>
              <w:top w:val="nil"/>
              <w:left w:val="single" w:sz="4" w:space="0" w:color="auto"/>
              <w:bottom w:val="single" w:sz="4" w:space="0" w:color="auto"/>
              <w:right w:val="single" w:sz="4" w:space="0" w:color="auto"/>
            </w:tcBorders>
            <w:shd w:val="clear" w:color="auto" w:fill="C6EFCE"/>
            <w:noWrap/>
          </w:tcPr>
          <w:p w14:paraId="68D62BD4"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168</w:t>
            </w:r>
          </w:p>
        </w:tc>
        <w:tc>
          <w:tcPr>
            <w:tcW w:w="3969" w:type="dxa"/>
            <w:tcBorders>
              <w:top w:val="nil"/>
              <w:left w:val="nil"/>
              <w:bottom w:val="single" w:sz="4" w:space="0" w:color="auto"/>
              <w:right w:val="single" w:sz="4" w:space="0" w:color="auto"/>
            </w:tcBorders>
            <w:shd w:val="clear" w:color="auto" w:fill="C6EFCE"/>
            <w:noWrap/>
          </w:tcPr>
          <w:p w14:paraId="7B5C46FE"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C8R1 Стратегическа рамка за транспорта</w:t>
            </w:r>
          </w:p>
        </w:tc>
        <w:tc>
          <w:tcPr>
            <w:tcW w:w="1559" w:type="dxa"/>
            <w:tcBorders>
              <w:top w:val="nil"/>
              <w:left w:val="nil"/>
              <w:bottom w:val="single" w:sz="4" w:space="0" w:color="auto"/>
              <w:right w:val="single" w:sz="4" w:space="0" w:color="auto"/>
            </w:tcBorders>
            <w:shd w:val="clear" w:color="auto" w:fill="C6EFCE"/>
            <w:noWrap/>
          </w:tcPr>
          <w:p w14:paraId="1E1C7C74"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Цел</w:t>
            </w:r>
          </w:p>
        </w:tc>
        <w:tc>
          <w:tcPr>
            <w:tcW w:w="3418" w:type="dxa"/>
            <w:tcBorders>
              <w:top w:val="nil"/>
              <w:left w:val="nil"/>
              <w:bottom w:val="single" w:sz="4" w:space="0" w:color="auto"/>
              <w:right w:val="single" w:sz="4" w:space="0" w:color="auto"/>
            </w:tcBorders>
            <w:shd w:val="clear" w:color="auto" w:fill="C6EFCE"/>
            <w:noWrap/>
          </w:tcPr>
          <w:p w14:paraId="45DF437C"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 xml:space="preserve">Време за пътуване за железопътната отсечка София — Пловдив — Бургас </w:t>
            </w:r>
          </w:p>
        </w:tc>
      </w:tr>
      <w:tr w:rsidR="00D21D80" w:rsidRPr="005241FC" w14:paraId="79A9D66F" w14:textId="77777777" w:rsidTr="267FDB55">
        <w:trPr>
          <w:trHeight w:val="302"/>
          <w:jc w:val="center"/>
        </w:trPr>
        <w:tc>
          <w:tcPr>
            <w:tcW w:w="1292" w:type="dxa"/>
            <w:tcBorders>
              <w:top w:val="nil"/>
              <w:left w:val="single" w:sz="4" w:space="0" w:color="auto"/>
              <w:bottom w:val="single" w:sz="4" w:space="0" w:color="auto"/>
              <w:right w:val="single" w:sz="4" w:space="0" w:color="auto"/>
            </w:tcBorders>
            <w:shd w:val="clear" w:color="auto" w:fill="C6EFCE"/>
            <w:noWrap/>
          </w:tcPr>
          <w:p w14:paraId="4D0C8E82"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171</w:t>
            </w:r>
          </w:p>
        </w:tc>
        <w:tc>
          <w:tcPr>
            <w:tcW w:w="3969" w:type="dxa"/>
            <w:tcBorders>
              <w:top w:val="nil"/>
              <w:left w:val="nil"/>
              <w:bottom w:val="single" w:sz="4" w:space="0" w:color="auto"/>
              <w:right w:val="single" w:sz="4" w:space="0" w:color="auto"/>
            </w:tcBorders>
            <w:shd w:val="clear" w:color="auto" w:fill="C6EFCE"/>
            <w:noWrap/>
          </w:tcPr>
          <w:p w14:paraId="75C3EF55"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C8R2 Безопасност на движението по пътищата</w:t>
            </w:r>
          </w:p>
        </w:tc>
        <w:tc>
          <w:tcPr>
            <w:tcW w:w="1559" w:type="dxa"/>
            <w:tcBorders>
              <w:top w:val="nil"/>
              <w:left w:val="nil"/>
              <w:bottom w:val="single" w:sz="4" w:space="0" w:color="auto"/>
              <w:right w:val="single" w:sz="4" w:space="0" w:color="auto"/>
            </w:tcBorders>
            <w:shd w:val="clear" w:color="auto" w:fill="C6EFCE"/>
            <w:noWrap/>
          </w:tcPr>
          <w:p w14:paraId="78C19579"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Цел</w:t>
            </w:r>
          </w:p>
        </w:tc>
        <w:tc>
          <w:tcPr>
            <w:tcW w:w="3418" w:type="dxa"/>
            <w:tcBorders>
              <w:top w:val="nil"/>
              <w:left w:val="nil"/>
              <w:bottom w:val="single" w:sz="4" w:space="0" w:color="auto"/>
              <w:right w:val="single" w:sz="4" w:space="0" w:color="auto"/>
            </w:tcBorders>
            <w:shd w:val="clear" w:color="auto" w:fill="C6EFCE"/>
            <w:noWrap/>
          </w:tcPr>
          <w:p w14:paraId="35903E11"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Премахване на опасните/критичните участъци за движението по пътищата</w:t>
            </w:r>
          </w:p>
        </w:tc>
      </w:tr>
      <w:tr w:rsidR="00D21D80" w:rsidRPr="005241FC" w14:paraId="4B497FE0" w14:textId="77777777" w:rsidTr="267FDB55">
        <w:trPr>
          <w:trHeight w:val="302"/>
          <w:jc w:val="center"/>
        </w:trPr>
        <w:tc>
          <w:tcPr>
            <w:tcW w:w="1292" w:type="dxa"/>
            <w:tcBorders>
              <w:top w:val="nil"/>
              <w:left w:val="single" w:sz="4" w:space="0" w:color="auto"/>
              <w:bottom w:val="single" w:sz="4" w:space="0" w:color="auto"/>
              <w:right w:val="single" w:sz="4" w:space="0" w:color="auto"/>
            </w:tcBorders>
            <w:shd w:val="clear" w:color="auto" w:fill="C6EFCE"/>
            <w:noWrap/>
          </w:tcPr>
          <w:p w14:paraId="03944C60"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172</w:t>
            </w:r>
          </w:p>
        </w:tc>
        <w:tc>
          <w:tcPr>
            <w:tcW w:w="3969" w:type="dxa"/>
            <w:tcBorders>
              <w:top w:val="nil"/>
              <w:left w:val="nil"/>
              <w:bottom w:val="single" w:sz="4" w:space="0" w:color="auto"/>
              <w:right w:val="single" w:sz="4" w:space="0" w:color="auto"/>
            </w:tcBorders>
            <w:shd w:val="clear" w:color="auto" w:fill="C6EFCE"/>
            <w:noWrap/>
          </w:tcPr>
          <w:p w14:paraId="6B42AFA7"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C8R2 Безопасност на движението по пътищата</w:t>
            </w:r>
          </w:p>
        </w:tc>
        <w:tc>
          <w:tcPr>
            <w:tcW w:w="1559" w:type="dxa"/>
            <w:tcBorders>
              <w:top w:val="nil"/>
              <w:left w:val="nil"/>
              <w:bottom w:val="single" w:sz="4" w:space="0" w:color="auto"/>
              <w:right w:val="single" w:sz="4" w:space="0" w:color="auto"/>
            </w:tcBorders>
            <w:shd w:val="clear" w:color="auto" w:fill="C6EFCE"/>
            <w:noWrap/>
          </w:tcPr>
          <w:p w14:paraId="78597D05"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Цел</w:t>
            </w:r>
          </w:p>
        </w:tc>
        <w:tc>
          <w:tcPr>
            <w:tcW w:w="3418" w:type="dxa"/>
            <w:tcBorders>
              <w:top w:val="nil"/>
              <w:left w:val="nil"/>
              <w:bottom w:val="single" w:sz="4" w:space="0" w:color="auto"/>
              <w:right w:val="single" w:sz="4" w:space="0" w:color="auto"/>
            </w:tcBorders>
            <w:shd w:val="clear" w:color="auto" w:fill="C6EFCE"/>
            <w:noWrap/>
          </w:tcPr>
          <w:p w14:paraId="1C1E23A0"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Намаляване на броя на жертвите на пътнотранспортни произшествия</w:t>
            </w:r>
          </w:p>
        </w:tc>
      </w:tr>
      <w:tr w:rsidR="00D21D80" w:rsidRPr="005241FC" w14:paraId="62425198" w14:textId="77777777" w:rsidTr="267FDB55">
        <w:trPr>
          <w:trHeight w:val="302"/>
          <w:jc w:val="center"/>
        </w:trPr>
        <w:tc>
          <w:tcPr>
            <w:tcW w:w="1292" w:type="dxa"/>
            <w:tcBorders>
              <w:top w:val="nil"/>
              <w:left w:val="single" w:sz="4" w:space="0" w:color="auto"/>
              <w:bottom w:val="single" w:sz="4" w:space="0" w:color="auto"/>
              <w:right w:val="single" w:sz="4" w:space="0" w:color="auto"/>
            </w:tcBorders>
            <w:shd w:val="clear" w:color="auto" w:fill="C6EFCE"/>
            <w:noWrap/>
          </w:tcPr>
          <w:p w14:paraId="5DBB8A8B"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180</w:t>
            </w:r>
          </w:p>
        </w:tc>
        <w:tc>
          <w:tcPr>
            <w:tcW w:w="3969" w:type="dxa"/>
            <w:tcBorders>
              <w:top w:val="nil"/>
              <w:left w:val="nil"/>
              <w:bottom w:val="single" w:sz="4" w:space="0" w:color="auto"/>
              <w:right w:val="single" w:sz="4" w:space="0" w:color="auto"/>
            </w:tcBorders>
            <w:shd w:val="clear" w:color="auto" w:fill="C6EFCE"/>
            <w:noWrap/>
          </w:tcPr>
          <w:p w14:paraId="7EBECBFC"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C8R5 Електрическа мобилност</w:t>
            </w:r>
          </w:p>
        </w:tc>
        <w:tc>
          <w:tcPr>
            <w:tcW w:w="1559" w:type="dxa"/>
            <w:tcBorders>
              <w:top w:val="nil"/>
              <w:left w:val="nil"/>
              <w:bottom w:val="single" w:sz="4" w:space="0" w:color="auto"/>
              <w:right w:val="single" w:sz="4" w:space="0" w:color="auto"/>
            </w:tcBorders>
            <w:shd w:val="clear" w:color="auto" w:fill="C6EFCE"/>
            <w:noWrap/>
          </w:tcPr>
          <w:p w14:paraId="78A48C69"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Цел</w:t>
            </w:r>
          </w:p>
        </w:tc>
        <w:tc>
          <w:tcPr>
            <w:tcW w:w="3418" w:type="dxa"/>
            <w:tcBorders>
              <w:top w:val="nil"/>
              <w:left w:val="nil"/>
              <w:bottom w:val="single" w:sz="4" w:space="0" w:color="auto"/>
              <w:right w:val="single" w:sz="4" w:space="0" w:color="auto"/>
            </w:tcBorders>
            <w:shd w:val="clear" w:color="auto" w:fill="C6EFCE"/>
            <w:noWrap/>
          </w:tcPr>
          <w:p w14:paraId="5BABA0BD"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Нови публични електрически зарядни станции</w:t>
            </w:r>
          </w:p>
        </w:tc>
      </w:tr>
      <w:tr w:rsidR="00D21D80" w:rsidRPr="005241FC" w14:paraId="3F148D38" w14:textId="77777777" w:rsidTr="267FDB55">
        <w:trPr>
          <w:trHeight w:val="302"/>
          <w:jc w:val="center"/>
        </w:trPr>
        <w:tc>
          <w:tcPr>
            <w:tcW w:w="1292" w:type="dxa"/>
            <w:tcBorders>
              <w:top w:val="nil"/>
              <w:left w:val="single" w:sz="4" w:space="0" w:color="auto"/>
              <w:bottom w:val="single" w:sz="4" w:space="0" w:color="auto"/>
              <w:right w:val="single" w:sz="4" w:space="0" w:color="auto"/>
            </w:tcBorders>
            <w:shd w:val="clear" w:color="auto" w:fill="C6EFCE"/>
            <w:noWrap/>
          </w:tcPr>
          <w:p w14:paraId="25411361"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183</w:t>
            </w:r>
          </w:p>
        </w:tc>
        <w:tc>
          <w:tcPr>
            <w:tcW w:w="3969" w:type="dxa"/>
            <w:tcBorders>
              <w:top w:val="nil"/>
              <w:left w:val="nil"/>
              <w:bottom w:val="single" w:sz="4" w:space="0" w:color="auto"/>
              <w:right w:val="single" w:sz="4" w:space="0" w:color="auto"/>
            </w:tcBorders>
            <w:shd w:val="clear" w:color="auto" w:fill="C6EFCE"/>
            <w:noWrap/>
          </w:tcPr>
          <w:p w14:paraId="4C913DF0"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C8R5 Електрическа мобилност</w:t>
            </w:r>
          </w:p>
        </w:tc>
        <w:tc>
          <w:tcPr>
            <w:tcW w:w="1559" w:type="dxa"/>
            <w:tcBorders>
              <w:top w:val="nil"/>
              <w:left w:val="nil"/>
              <w:bottom w:val="single" w:sz="4" w:space="0" w:color="auto"/>
              <w:right w:val="single" w:sz="4" w:space="0" w:color="auto"/>
            </w:tcBorders>
            <w:shd w:val="clear" w:color="auto" w:fill="C6EFCE"/>
            <w:noWrap/>
          </w:tcPr>
          <w:p w14:paraId="7B0207E3"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Цел</w:t>
            </w:r>
          </w:p>
        </w:tc>
        <w:tc>
          <w:tcPr>
            <w:tcW w:w="3418" w:type="dxa"/>
            <w:tcBorders>
              <w:top w:val="nil"/>
              <w:left w:val="nil"/>
              <w:bottom w:val="single" w:sz="4" w:space="0" w:color="auto"/>
              <w:right w:val="single" w:sz="4" w:space="0" w:color="auto"/>
            </w:tcBorders>
            <w:shd w:val="clear" w:color="auto" w:fill="C6EFCE"/>
            <w:noWrap/>
          </w:tcPr>
          <w:p w14:paraId="17F5784B"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Регистрирани превозни средства с нулеви и ниски емисии</w:t>
            </w:r>
          </w:p>
        </w:tc>
      </w:tr>
      <w:tr w:rsidR="00D21D80" w:rsidRPr="005241FC" w14:paraId="50E4BB94" w14:textId="77777777" w:rsidTr="267FDB55">
        <w:trPr>
          <w:trHeight w:val="302"/>
          <w:jc w:val="center"/>
        </w:trPr>
        <w:tc>
          <w:tcPr>
            <w:tcW w:w="1292" w:type="dxa"/>
            <w:tcBorders>
              <w:top w:val="nil"/>
              <w:left w:val="single" w:sz="4" w:space="0" w:color="auto"/>
              <w:bottom w:val="single" w:sz="4" w:space="0" w:color="auto"/>
              <w:right w:val="single" w:sz="4" w:space="0" w:color="auto"/>
            </w:tcBorders>
            <w:shd w:val="clear" w:color="auto" w:fill="C6EFCE"/>
            <w:noWrap/>
          </w:tcPr>
          <w:p w14:paraId="127A6B1F"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186</w:t>
            </w:r>
          </w:p>
        </w:tc>
        <w:tc>
          <w:tcPr>
            <w:tcW w:w="3969" w:type="dxa"/>
            <w:tcBorders>
              <w:top w:val="nil"/>
              <w:left w:val="nil"/>
              <w:bottom w:val="single" w:sz="4" w:space="0" w:color="auto"/>
              <w:right w:val="single" w:sz="4" w:space="0" w:color="auto"/>
            </w:tcBorders>
            <w:shd w:val="clear" w:color="auto" w:fill="C6EFCE"/>
            <w:noWrap/>
          </w:tcPr>
          <w:p w14:paraId="7D6C4C90"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C8I1 Железопътен подвижен състав</w:t>
            </w:r>
          </w:p>
        </w:tc>
        <w:tc>
          <w:tcPr>
            <w:tcW w:w="1559" w:type="dxa"/>
            <w:tcBorders>
              <w:top w:val="nil"/>
              <w:left w:val="nil"/>
              <w:bottom w:val="single" w:sz="4" w:space="0" w:color="auto"/>
              <w:right w:val="single" w:sz="4" w:space="0" w:color="auto"/>
            </w:tcBorders>
            <w:shd w:val="clear" w:color="auto" w:fill="C6EFCE"/>
            <w:noWrap/>
          </w:tcPr>
          <w:p w14:paraId="3EC23B61" w14:textId="77777777" w:rsidR="00D21D80" w:rsidRPr="009674F2" w:rsidRDefault="00D21D80" w:rsidP="00C955DB">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Цел</w:t>
            </w:r>
          </w:p>
        </w:tc>
        <w:tc>
          <w:tcPr>
            <w:tcW w:w="3418" w:type="dxa"/>
            <w:tcBorders>
              <w:top w:val="nil"/>
              <w:left w:val="nil"/>
              <w:bottom w:val="single" w:sz="4" w:space="0" w:color="auto"/>
              <w:right w:val="single" w:sz="4" w:space="0" w:color="auto"/>
            </w:tcBorders>
            <w:shd w:val="clear" w:color="auto" w:fill="C6EFCE"/>
            <w:noWrap/>
          </w:tcPr>
          <w:p w14:paraId="3C6CD6E0" w14:textId="77777777" w:rsidR="00D21D80" w:rsidRPr="009674F2" w:rsidRDefault="00D21D80" w:rsidP="00C955DB">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Въвеждане в експлоатация на нов железопътен подвижен състав</w:t>
            </w:r>
            <w:r>
              <w:rPr>
                <w:rFonts w:ascii="Times New Roman" w:hAnsi="Times New Roman"/>
                <w:noProof/>
                <w:color w:val="385623"/>
              </w:rPr>
              <w:t xml:space="preserve"> с нулеви емисии (II)</w:t>
            </w:r>
          </w:p>
          <w:p w14:paraId="367C12A9" w14:textId="77777777" w:rsidR="00D21D80" w:rsidRPr="008A0F8A" w:rsidRDefault="00D21D80" w:rsidP="00C955DB">
            <w:pPr>
              <w:spacing w:after="0" w:line="240" w:lineRule="auto"/>
              <w:jc w:val="both"/>
              <w:rPr>
                <w:rFonts w:ascii="Times New Roman" w:eastAsia="Times New Roman" w:hAnsi="Times New Roman" w:cs="Times New Roman"/>
                <w:noProof/>
                <w:color w:val="006100"/>
                <w:lang w:val="ru-RU" w:eastAsia="en-IE"/>
              </w:rPr>
            </w:pPr>
          </w:p>
        </w:tc>
      </w:tr>
      <w:tr w:rsidR="00222412" w:rsidRPr="005241FC" w14:paraId="7ACF0932" w14:textId="77777777" w:rsidTr="267FDB55">
        <w:trPr>
          <w:trHeight w:val="302"/>
          <w:jc w:val="center"/>
        </w:trPr>
        <w:tc>
          <w:tcPr>
            <w:tcW w:w="1292" w:type="dxa"/>
            <w:tcBorders>
              <w:top w:val="nil"/>
              <w:left w:val="single" w:sz="4" w:space="0" w:color="auto"/>
              <w:bottom w:val="single" w:sz="4" w:space="0" w:color="auto"/>
              <w:right w:val="single" w:sz="4" w:space="0" w:color="auto"/>
            </w:tcBorders>
            <w:shd w:val="clear" w:color="auto" w:fill="C6EFCE"/>
            <w:noWrap/>
          </w:tcPr>
          <w:p w14:paraId="0D42E9D1" w14:textId="3F59F2F7" w:rsidR="00222412" w:rsidRPr="009674F2" w:rsidRDefault="00222412" w:rsidP="00222412">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190</w:t>
            </w:r>
          </w:p>
        </w:tc>
        <w:tc>
          <w:tcPr>
            <w:tcW w:w="3969" w:type="dxa"/>
            <w:tcBorders>
              <w:top w:val="nil"/>
              <w:left w:val="nil"/>
              <w:bottom w:val="single" w:sz="4" w:space="0" w:color="auto"/>
              <w:right w:val="single" w:sz="4" w:space="0" w:color="auto"/>
            </w:tcBorders>
            <w:shd w:val="clear" w:color="auto" w:fill="C6EFCE"/>
            <w:noWrap/>
          </w:tcPr>
          <w:p w14:paraId="5B109F29" w14:textId="78CAB908" w:rsidR="00222412" w:rsidRPr="009674F2" w:rsidRDefault="00222412" w:rsidP="00222412">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C8I2 Бордово оборудване за Европейската система за управление на влаковете</w:t>
            </w:r>
          </w:p>
        </w:tc>
        <w:tc>
          <w:tcPr>
            <w:tcW w:w="1559" w:type="dxa"/>
            <w:tcBorders>
              <w:top w:val="nil"/>
              <w:left w:val="nil"/>
              <w:bottom w:val="single" w:sz="4" w:space="0" w:color="auto"/>
              <w:right w:val="single" w:sz="4" w:space="0" w:color="auto"/>
            </w:tcBorders>
            <w:shd w:val="clear" w:color="auto" w:fill="C6EFCE"/>
            <w:noWrap/>
          </w:tcPr>
          <w:p w14:paraId="27B6D67E" w14:textId="142956CE" w:rsidR="00222412" w:rsidRPr="009674F2" w:rsidRDefault="00222412" w:rsidP="00222412">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Цел</w:t>
            </w:r>
          </w:p>
        </w:tc>
        <w:tc>
          <w:tcPr>
            <w:tcW w:w="3418" w:type="dxa"/>
            <w:tcBorders>
              <w:top w:val="nil"/>
              <w:left w:val="nil"/>
              <w:bottom w:val="single" w:sz="4" w:space="0" w:color="auto"/>
              <w:right w:val="single" w:sz="4" w:space="0" w:color="auto"/>
            </w:tcBorders>
            <w:shd w:val="clear" w:color="auto" w:fill="C6EFCE"/>
            <w:noWrap/>
          </w:tcPr>
          <w:p w14:paraId="2C4F5726" w14:textId="10F3C9B9" w:rsidR="00222412" w:rsidRPr="009674F2" w:rsidRDefault="00222412" w:rsidP="00222412">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Доставка и инсталиране на бордовото оборудване за ERTMS/ETCS</w:t>
            </w:r>
          </w:p>
        </w:tc>
      </w:tr>
      <w:tr w:rsidR="00222412" w:rsidRPr="005241FC" w14:paraId="5EDC9BB3" w14:textId="77777777" w:rsidTr="267FDB55">
        <w:trPr>
          <w:trHeight w:val="302"/>
          <w:jc w:val="center"/>
        </w:trPr>
        <w:tc>
          <w:tcPr>
            <w:tcW w:w="1292" w:type="dxa"/>
            <w:tcBorders>
              <w:top w:val="nil"/>
              <w:left w:val="single" w:sz="4" w:space="0" w:color="auto"/>
              <w:bottom w:val="single" w:sz="4" w:space="0" w:color="auto"/>
              <w:right w:val="single" w:sz="4" w:space="0" w:color="auto"/>
            </w:tcBorders>
            <w:shd w:val="clear" w:color="auto" w:fill="C6EFCE"/>
            <w:noWrap/>
          </w:tcPr>
          <w:p w14:paraId="285EBE95" w14:textId="77777777" w:rsidR="00222412" w:rsidRPr="009674F2" w:rsidRDefault="00222412" w:rsidP="00222412">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177</w:t>
            </w:r>
          </w:p>
        </w:tc>
        <w:tc>
          <w:tcPr>
            <w:tcW w:w="3969" w:type="dxa"/>
            <w:tcBorders>
              <w:top w:val="nil"/>
              <w:left w:val="nil"/>
              <w:bottom w:val="single" w:sz="4" w:space="0" w:color="auto"/>
              <w:right w:val="single" w:sz="4" w:space="0" w:color="auto"/>
            </w:tcBorders>
            <w:shd w:val="clear" w:color="auto" w:fill="C6EFCE"/>
            <w:noWrap/>
          </w:tcPr>
          <w:p w14:paraId="55C21506" w14:textId="77777777" w:rsidR="00222412" w:rsidRPr="009674F2" w:rsidRDefault="00222412" w:rsidP="00222412">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C8R4 Интегриран обществен транспорт</w:t>
            </w:r>
          </w:p>
        </w:tc>
        <w:tc>
          <w:tcPr>
            <w:tcW w:w="1559" w:type="dxa"/>
            <w:tcBorders>
              <w:top w:val="nil"/>
              <w:left w:val="nil"/>
              <w:bottom w:val="single" w:sz="4" w:space="0" w:color="auto"/>
              <w:right w:val="single" w:sz="4" w:space="0" w:color="auto"/>
            </w:tcBorders>
            <w:shd w:val="clear" w:color="auto" w:fill="C6EFCE"/>
            <w:noWrap/>
          </w:tcPr>
          <w:p w14:paraId="11AD582E" w14:textId="77777777" w:rsidR="00222412" w:rsidRPr="009674F2" w:rsidRDefault="00222412" w:rsidP="00222412">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Ключов етап</w:t>
            </w:r>
          </w:p>
        </w:tc>
        <w:tc>
          <w:tcPr>
            <w:tcW w:w="3418" w:type="dxa"/>
            <w:tcBorders>
              <w:top w:val="nil"/>
              <w:left w:val="nil"/>
              <w:bottom w:val="single" w:sz="4" w:space="0" w:color="auto"/>
              <w:right w:val="single" w:sz="4" w:space="0" w:color="auto"/>
            </w:tcBorders>
            <w:shd w:val="clear" w:color="auto" w:fill="C6EFCE"/>
            <w:noWrap/>
          </w:tcPr>
          <w:p w14:paraId="421C9DC0" w14:textId="77777777" w:rsidR="00222412" w:rsidRPr="009674F2" w:rsidRDefault="00222412" w:rsidP="00222412">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Въвеждане на услугата за единен билет за обществения транспорт</w:t>
            </w:r>
          </w:p>
        </w:tc>
      </w:tr>
      <w:tr w:rsidR="00222412" w:rsidRPr="005241FC" w14:paraId="045FF8E5" w14:textId="77777777" w:rsidTr="267FDB55">
        <w:trPr>
          <w:trHeight w:val="302"/>
          <w:jc w:val="center"/>
        </w:trPr>
        <w:tc>
          <w:tcPr>
            <w:tcW w:w="1292" w:type="dxa"/>
            <w:tcBorders>
              <w:top w:val="nil"/>
              <w:left w:val="single" w:sz="4" w:space="0" w:color="auto"/>
              <w:bottom w:val="single" w:sz="4" w:space="0" w:color="auto"/>
              <w:right w:val="single" w:sz="4" w:space="0" w:color="auto"/>
            </w:tcBorders>
            <w:shd w:val="clear" w:color="auto" w:fill="C6EFCE"/>
            <w:noWrap/>
          </w:tcPr>
          <w:p w14:paraId="504E10C5" w14:textId="77777777" w:rsidR="00222412" w:rsidRPr="009674F2" w:rsidRDefault="00222412" w:rsidP="00222412">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216</w:t>
            </w:r>
          </w:p>
        </w:tc>
        <w:tc>
          <w:tcPr>
            <w:tcW w:w="3969" w:type="dxa"/>
            <w:tcBorders>
              <w:top w:val="nil"/>
              <w:left w:val="nil"/>
              <w:bottom w:val="single" w:sz="4" w:space="0" w:color="auto"/>
              <w:right w:val="single" w:sz="4" w:space="0" w:color="auto"/>
            </w:tcBorders>
            <w:shd w:val="clear" w:color="auto" w:fill="C6EFCE"/>
            <w:noWrap/>
          </w:tcPr>
          <w:p w14:paraId="5DE6413D" w14:textId="77777777" w:rsidR="00222412" w:rsidRPr="009674F2" w:rsidRDefault="00222412" w:rsidP="00222412">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C10R1 Достъпно, ефективно и предвидимо правосъдие</w:t>
            </w:r>
          </w:p>
        </w:tc>
        <w:tc>
          <w:tcPr>
            <w:tcW w:w="1559" w:type="dxa"/>
            <w:tcBorders>
              <w:top w:val="nil"/>
              <w:left w:val="nil"/>
              <w:bottom w:val="single" w:sz="4" w:space="0" w:color="auto"/>
              <w:right w:val="single" w:sz="4" w:space="0" w:color="auto"/>
            </w:tcBorders>
            <w:shd w:val="clear" w:color="auto" w:fill="C6EFCE"/>
            <w:noWrap/>
          </w:tcPr>
          <w:p w14:paraId="65619BAC" w14:textId="77777777" w:rsidR="00222412" w:rsidRPr="009674F2" w:rsidRDefault="00222412" w:rsidP="00222412">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Цел</w:t>
            </w:r>
          </w:p>
        </w:tc>
        <w:tc>
          <w:tcPr>
            <w:tcW w:w="3418" w:type="dxa"/>
            <w:tcBorders>
              <w:top w:val="nil"/>
              <w:left w:val="nil"/>
              <w:bottom w:val="single" w:sz="4" w:space="0" w:color="auto"/>
              <w:right w:val="single" w:sz="4" w:space="0" w:color="auto"/>
            </w:tcBorders>
            <w:shd w:val="clear" w:color="auto" w:fill="C6EFCE"/>
            <w:noWrap/>
          </w:tcPr>
          <w:p w14:paraId="6C9DFF81" w14:textId="77777777" w:rsidR="00222412" w:rsidRPr="009674F2" w:rsidRDefault="00222412" w:rsidP="00222412">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Публикуване на четири годишни анализа на прилагането на правилата за електронно правосъдие в Гражданския процесуален кодекс и Наказателно-процесуалния кодекс</w:t>
            </w:r>
          </w:p>
        </w:tc>
      </w:tr>
      <w:tr w:rsidR="00222412" w:rsidRPr="005241FC" w14:paraId="57227B3B" w14:textId="77777777" w:rsidTr="267FDB55">
        <w:trPr>
          <w:trHeight w:val="302"/>
          <w:jc w:val="center"/>
        </w:trPr>
        <w:tc>
          <w:tcPr>
            <w:tcW w:w="1292" w:type="dxa"/>
            <w:tcBorders>
              <w:top w:val="nil"/>
              <w:left w:val="single" w:sz="4" w:space="0" w:color="auto"/>
              <w:bottom w:val="single" w:sz="4" w:space="0" w:color="auto"/>
              <w:right w:val="single" w:sz="4" w:space="0" w:color="auto"/>
            </w:tcBorders>
            <w:shd w:val="clear" w:color="auto" w:fill="C6EFCE"/>
            <w:noWrap/>
          </w:tcPr>
          <w:p w14:paraId="70DC1492" w14:textId="77777777" w:rsidR="00222412" w:rsidRPr="009674F2" w:rsidRDefault="00222412" w:rsidP="00222412">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226</w:t>
            </w:r>
          </w:p>
        </w:tc>
        <w:tc>
          <w:tcPr>
            <w:tcW w:w="3969" w:type="dxa"/>
            <w:tcBorders>
              <w:top w:val="nil"/>
              <w:left w:val="nil"/>
              <w:bottom w:val="single" w:sz="4" w:space="0" w:color="auto"/>
              <w:right w:val="single" w:sz="4" w:space="0" w:color="auto"/>
            </w:tcBorders>
            <w:shd w:val="clear" w:color="auto" w:fill="C6EFCE"/>
            <w:noWrap/>
          </w:tcPr>
          <w:p w14:paraId="460E2BC3" w14:textId="77777777" w:rsidR="00222412" w:rsidRPr="009674F2" w:rsidRDefault="00222412" w:rsidP="00222412">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C10R2 Противодействие на корупцията</w:t>
            </w:r>
          </w:p>
        </w:tc>
        <w:tc>
          <w:tcPr>
            <w:tcW w:w="1559" w:type="dxa"/>
            <w:tcBorders>
              <w:top w:val="nil"/>
              <w:left w:val="nil"/>
              <w:bottom w:val="single" w:sz="4" w:space="0" w:color="auto"/>
              <w:right w:val="single" w:sz="4" w:space="0" w:color="auto"/>
            </w:tcBorders>
            <w:shd w:val="clear" w:color="auto" w:fill="C6EFCE"/>
            <w:noWrap/>
          </w:tcPr>
          <w:p w14:paraId="28B1A218" w14:textId="77777777" w:rsidR="00222412" w:rsidRPr="009674F2" w:rsidRDefault="00222412" w:rsidP="00222412">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Ключов етап</w:t>
            </w:r>
          </w:p>
        </w:tc>
        <w:tc>
          <w:tcPr>
            <w:tcW w:w="3418" w:type="dxa"/>
            <w:tcBorders>
              <w:top w:val="nil"/>
              <w:left w:val="nil"/>
              <w:bottom w:val="single" w:sz="4" w:space="0" w:color="auto"/>
              <w:right w:val="single" w:sz="4" w:space="0" w:color="auto"/>
            </w:tcBorders>
            <w:shd w:val="clear" w:color="auto" w:fill="C6EFCE"/>
            <w:noWrap/>
          </w:tcPr>
          <w:p w14:paraId="41A44CC8" w14:textId="77777777" w:rsidR="00222412" w:rsidRPr="009674F2" w:rsidRDefault="00222412" w:rsidP="00222412">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 xml:space="preserve">Годишни анализи на изпълнението на националната стратегия за превенция и противодействие на корупцията (2021—2027 г.) и свързаната с нея пътна карта и годишни доклади за напредъка до Европейската комисия в контекста на механизма за върховенството на закона </w:t>
            </w:r>
          </w:p>
        </w:tc>
      </w:tr>
      <w:tr w:rsidR="00222412" w:rsidRPr="005241FC" w14:paraId="3E9BF2AD" w14:textId="77777777" w:rsidTr="267FDB55">
        <w:trPr>
          <w:trHeight w:val="302"/>
          <w:jc w:val="center"/>
        </w:trPr>
        <w:tc>
          <w:tcPr>
            <w:tcW w:w="1292" w:type="dxa"/>
            <w:tcBorders>
              <w:top w:val="nil"/>
              <w:left w:val="single" w:sz="4" w:space="0" w:color="auto"/>
              <w:bottom w:val="single" w:sz="4" w:space="0" w:color="auto"/>
              <w:right w:val="single" w:sz="4" w:space="0" w:color="auto"/>
            </w:tcBorders>
            <w:shd w:val="clear" w:color="auto" w:fill="C6EFCE"/>
            <w:noWrap/>
          </w:tcPr>
          <w:p w14:paraId="60DE79D2" w14:textId="77777777" w:rsidR="00222412" w:rsidRPr="009674F2" w:rsidRDefault="00222412" w:rsidP="00222412">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270</w:t>
            </w:r>
          </w:p>
        </w:tc>
        <w:tc>
          <w:tcPr>
            <w:tcW w:w="3969" w:type="dxa"/>
            <w:tcBorders>
              <w:top w:val="nil"/>
              <w:left w:val="nil"/>
              <w:bottom w:val="single" w:sz="4" w:space="0" w:color="auto"/>
              <w:right w:val="single" w:sz="4" w:space="0" w:color="auto"/>
            </w:tcBorders>
            <w:shd w:val="clear" w:color="auto" w:fill="C6EFCE"/>
            <w:noWrap/>
          </w:tcPr>
          <w:p w14:paraId="51F46300" w14:textId="77777777" w:rsidR="00222412" w:rsidRPr="009674F2" w:rsidRDefault="00222412" w:rsidP="00222412">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C10I6 Подкрепа на пилотна фаза за въвеждане на строително информационното моделиране</w:t>
            </w:r>
          </w:p>
        </w:tc>
        <w:tc>
          <w:tcPr>
            <w:tcW w:w="1559" w:type="dxa"/>
            <w:tcBorders>
              <w:top w:val="nil"/>
              <w:left w:val="nil"/>
              <w:bottom w:val="single" w:sz="4" w:space="0" w:color="auto"/>
              <w:right w:val="single" w:sz="4" w:space="0" w:color="auto"/>
            </w:tcBorders>
            <w:shd w:val="clear" w:color="auto" w:fill="C6EFCE"/>
            <w:noWrap/>
          </w:tcPr>
          <w:p w14:paraId="2786DE8D" w14:textId="77777777" w:rsidR="00222412" w:rsidRPr="009674F2" w:rsidRDefault="00222412" w:rsidP="00222412">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Ключов етап</w:t>
            </w:r>
          </w:p>
        </w:tc>
        <w:tc>
          <w:tcPr>
            <w:tcW w:w="3418" w:type="dxa"/>
            <w:tcBorders>
              <w:top w:val="nil"/>
              <w:left w:val="nil"/>
              <w:bottom w:val="single" w:sz="4" w:space="0" w:color="auto"/>
              <w:right w:val="single" w:sz="4" w:space="0" w:color="auto"/>
            </w:tcBorders>
            <w:shd w:val="clear" w:color="auto" w:fill="C6EFCE"/>
            <w:noWrap/>
          </w:tcPr>
          <w:p w14:paraId="7C14A21B" w14:textId="77777777" w:rsidR="00222412" w:rsidRPr="009674F2" w:rsidRDefault="00222412" w:rsidP="00222412">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Създаден е уебсайт с онлайн курсове и материали за онлайн обучение по строително-информационно управление за експерти от частния сектор.</w:t>
            </w:r>
          </w:p>
        </w:tc>
      </w:tr>
      <w:tr w:rsidR="00222412" w:rsidRPr="005241FC" w14:paraId="11B318C1" w14:textId="77777777" w:rsidTr="267FDB55">
        <w:trPr>
          <w:trHeight w:val="302"/>
          <w:jc w:val="center"/>
        </w:trPr>
        <w:tc>
          <w:tcPr>
            <w:tcW w:w="1292" w:type="dxa"/>
            <w:tcBorders>
              <w:top w:val="nil"/>
              <w:left w:val="single" w:sz="4" w:space="0" w:color="auto"/>
              <w:bottom w:val="single" w:sz="4" w:space="0" w:color="auto"/>
              <w:right w:val="single" w:sz="4" w:space="0" w:color="auto"/>
            </w:tcBorders>
            <w:shd w:val="clear" w:color="auto" w:fill="C6EFCE"/>
            <w:noWrap/>
          </w:tcPr>
          <w:p w14:paraId="7FB99CE7" w14:textId="77777777" w:rsidR="00222412" w:rsidRPr="009674F2" w:rsidRDefault="00222412" w:rsidP="00222412">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271</w:t>
            </w:r>
          </w:p>
        </w:tc>
        <w:tc>
          <w:tcPr>
            <w:tcW w:w="3969" w:type="dxa"/>
            <w:tcBorders>
              <w:top w:val="nil"/>
              <w:left w:val="nil"/>
              <w:bottom w:val="single" w:sz="4" w:space="0" w:color="auto"/>
              <w:right w:val="single" w:sz="4" w:space="0" w:color="auto"/>
            </w:tcBorders>
            <w:shd w:val="clear" w:color="auto" w:fill="C6EFCE"/>
            <w:noWrap/>
          </w:tcPr>
          <w:p w14:paraId="0EC543C1" w14:textId="77777777" w:rsidR="00222412" w:rsidRPr="009674F2" w:rsidRDefault="00222412" w:rsidP="00222412">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C10I6 Подкрепа на пилотна фаза за въвеждане на строително информационното моделиране</w:t>
            </w:r>
          </w:p>
        </w:tc>
        <w:tc>
          <w:tcPr>
            <w:tcW w:w="1559" w:type="dxa"/>
            <w:tcBorders>
              <w:top w:val="nil"/>
              <w:left w:val="nil"/>
              <w:bottom w:val="single" w:sz="4" w:space="0" w:color="auto"/>
              <w:right w:val="single" w:sz="4" w:space="0" w:color="auto"/>
            </w:tcBorders>
            <w:shd w:val="clear" w:color="auto" w:fill="C6EFCE"/>
            <w:noWrap/>
          </w:tcPr>
          <w:p w14:paraId="40C50414" w14:textId="77777777" w:rsidR="00222412" w:rsidRPr="009674F2" w:rsidRDefault="00222412" w:rsidP="00222412">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Цел</w:t>
            </w:r>
          </w:p>
        </w:tc>
        <w:tc>
          <w:tcPr>
            <w:tcW w:w="3418" w:type="dxa"/>
            <w:tcBorders>
              <w:top w:val="nil"/>
              <w:left w:val="nil"/>
              <w:bottom w:val="single" w:sz="4" w:space="0" w:color="auto"/>
              <w:right w:val="single" w:sz="4" w:space="0" w:color="auto"/>
            </w:tcBorders>
            <w:shd w:val="clear" w:color="auto" w:fill="C6EFCE"/>
            <w:noWrap/>
          </w:tcPr>
          <w:p w14:paraId="613A393F" w14:textId="77777777" w:rsidR="00222412" w:rsidRPr="009674F2" w:rsidRDefault="00222412" w:rsidP="00222412">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 xml:space="preserve">Осигуряване на напълно оборудвани работни станции за строително-информационно моделиране и обучение </w:t>
            </w:r>
          </w:p>
        </w:tc>
      </w:tr>
      <w:tr w:rsidR="00222412" w:rsidRPr="005241FC" w14:paraId="33B696F4" w14:textId="77777777" w:rsidTr="267FDB55">
        <w:trPr>
          <w:trHeight w:val="302"/>
          <w:jc w:val="center"/>
        </w:trPr>
        <w:tc>
          <w:tcPr>
            <w:tcW w:w="1292" w:type="dxa"/>
            <w:tcBorders>
              <w:top w:val="nil"/>
              <w:left w:val="single" w:sz="4" w:space="0" w:color="auto"/>
              <w:bottom w:val="single" w:sz="4" w:space="0" w:color="auto"/>
              <w:right w:val="single" w:sz="4" w:space="0" w:color="auto"/>
            </w:tcBorders>
            <w:shd w:val="clear" w:color="auto" w:fill="C6EFCE"/>
            <w:noWrap/>
          </w:tcPr>
          <w:p w14:paraId="1EC9690D" w14:textId="77777777" w:rsidR="00222412" w:rsidRPr="009674F2" w:rsidRDefault="00222412" w:rsidP="00222412">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272</w:t>
            </w:r>
          </w:p>
        </w:tc>
        <w:tc>
          <w:tcPr>
            <w:tcW w:w="3969" w:type="dxa"/>
            <w:tcBorders>
              <w:top w:val="nil"/>
              <w:left w:val="nil"/>
              <w:bottom w:val="single" w:sz="4" w:space="0" w:color="auto"/>
              <w:right w:val="single" w:sz="4" w:space="0" w:color="auto"/>
            </w:tcBorders>
            <w:shd w:val="clear" w:color="auto" w:fill="C6EFCE"/>
            <w:noWrap/>
          </w:tcPr>
          <w:p w14:paraId="2FCFCF65" w14:textId="77777777" w:rsidR="00222412" w:rsidRPr="009674F2" w:rsidRDefault="00222412" w:rsidP="00222412">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C10I6 Подкрепа на пилотна фаза за въвеждане на строително информационното моделиране</w:t>
            </w:r>
          </w:p>
        </w:tc>
        <w:tc>
          <w:tcPr>
            <w:tcW w:w="1559" w:type="dxa"/>
            <w:tcBorders>
              <w:top w:val="nil"/>
              <w:left w:val="nil"/>
              <w:bottom w:val="single" w:sz="4" w:space="0" w:color="auto"/>
              <w:right w:val="single" w:sz="4" w:space="0" w:color="auto"/>
            </w:tcBorders>
            <w:shd w:val="clear" w:color="auto" w:fill="C6EFCE"/>
            <w:noWrap/>
          </w:tcPr>
          <w:p w14:paraId="52542DF5" w14:textId="77777777" w:rsidR="00222412" w:rsidRPr="009674F2" w:rsidRDefault="00222412" w:rsidP="00222412">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Ключов етап</w:t>
            </w:r>
          </w:p>
        </w:tc>
        <w:tc>
          <w:tcPr>
            <w:tcW w:w="3418" w:type="dxa"/>
            <w:tcBorders>
              <w:top w:val="nil"/>
              <w:left w:val="nil"/>
              <w:bottom w:val="single" w:sz="4" w:space="0" w:color="auto"/>
              <w:right w:val="single" w:sz="4" w:space="0" w:color="auto"/>
            </w:tcBorders>
            <w:shd w:val="clear" w:color="auto" w:fill="C6EFCE"/>
            <w:noWrap/>
          </w:tcPr>
          <w:p w14:paraId="0273E8CC" w14:textId="77777777" w:rsidR="00222412" w:rsidRPr="009674F2" w:rsidRDefault="00222412" w:rsidP="00222412">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Създаване и експлоатация на интегриран модул за строително-информационно моделиране за Единната информационна система по устройство на територията, инвестиционно проектиране и разрешаване на строителството</w:t>
            </w:r>
          </w:p>
        </w:tc>
      </w:tr>
      <w:tr w:rsidR="00222412" w:rsidRPr="005241FC" w14:paraId="5C047451" w14:textId="77777777" w:rsidTr="267FDB55">
        <w:trPr>
          <w:trHeight w:val="302"/>
          <w:jc w:val="center"/>
        </w:trPr>
        <w:tc>
          <w:tcPr>
            <w:tcW w:w="1292" w:type="dxa"/>
            <w:tcBorders>
              <w:top w:val="nil"/>
              <w:left w:val="single" w:sz="4" w:space="0" w:color="auto"/>
              <w:bottom w:val="single" w:sz="4" w:space="0" w:color="auto"/>
              <w:right w:val="single" w:sz="4" w:space="0" w:color="auto"/>
            </w:tcBorders>
            <w:shd w:val="clear" w:color="auto" w:fill="C6EFCE"/>
            <w:noWrap/>
          </w:tcPr>
          <w:p w14:paraId="7EC9D4FF" w14:textId="77777777" w:rsidR="00222412" w:rsidRPr="009674F2" w:rsidRDefault="00222412" w:rsidP="00222412">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273</w:t>
            </w:r>
          </w:p>
        </w:tc>
        <w:tc>
          <w:tcPr>
            <w:tcW w:w="3969" w:type="dxa"/>
            <w:tcBorders>
              <w:top w:val="nil"/>
              <w:left w:val="nil"/>
              <w:bottom w:val="single" w:sz="4" w:space="0" w:color="auto"/>
              <w:right w:val="single" w:sz="4" w:space="0" w:color="auto"/>
            </w:tcBorders>
            <w:shd w:val="clear" w:color="auto" w:fill="C6EFCE"/>
            <w:noWrap/>
          </w:tcPr>
          <w:p w14:paraId="1FFD40FC" w14:textId="77777777" w:rsidR="00222412" w:rsidRPr="009674F2" w:rsidRDefault="00222412" w:rsidP="00222412">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C10I7 Единна информационна система по устройство на територията, инвестиционно проектиране и разрешаване на строителството</w:t>
            </w:r>
          </w:p>
        </w:tc>
        <w:tc>
          <w:tcPr>
            <w:tcW w:w="1559" w:type="dxa"/>
            <w:tcBorders>
              <w:top w:val="nil"/>
              <w:left w:val="nil"/>
              <w:bottom w:val="single" w:sz="4" w:space="0" w:color="auto"/>
              <w:right w:val="single" w:sz="4" w:space="0" w:color="auto"/>
            </w:tcBorders>
            <w:shd w:val="clear" w:color="auto" w:fill="C6EFCE"/>
            <w:noWrap/>
          </w:tcPr>
          <w:p w14:paraId="51B2D13F" w14:textId="77777777" w:rsidR="00222412" w:rsidRPr="009674F2" w:rsidRDefault="00222412" w:rsidP="00222412">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Ключов етап</w:t>
            </w:r>
          </w:p>
        </w:tc>
        <w:tc>
          <w:tcPr>
            <w:tcW w:w="3418" w:type="dxa"/>
            <w:tcBorders>
              <w:top w:val="nil"/>
              <w:left w:val="nil"/>
              <w:bottom w:val="single" w:sz="4" w:space="0" w:color="auto"/>
              <w:right w:val="single" w:sz="4" w:space="0" w:color="auto"/>
            </w:tcBorders>
            <w:shd w:val="clear" w:color="auto" w:fill="C6EFCE"/>
            <w:noWrap/>
          </w:tcPr>
          <w:p w14:paraId="54124596" w14:textId="77777777" w:rsidR="00222412" w:rsidRPr="009674F2" w:rsidRDefault="00222412" w:rsidP="00222412">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Единна информационна система по устройство на територията, инвестиционно проектиране и разрешаване на строителството</w:t>
            </w:r>
          </w:p>
        </w:tc>
      </w:tr>
      <w:tr w:rsidR="00E11D77" w:rsidRPr="005241FC" w14:paraId="4804FDE9" w14:textId="77777777" w:rsidTr="267FDB55">
        <w:trPr>
          <w:trHeight w:val="302"/>
          <w:jc w:val="center"/>
        </w:trPr>
        <w:tc>
          <w:tcPr>
            <w:tcW w:w="1292" w:type="dxa"/>
            <w:tcBorders>
              <w:top w:val="nil"/>
              <w:left w:val="single" w:sz="4" w:space="0" w:color="auto"/>
              <w:bottom w:val="single" w:sz="4" w:space="0" w:color="auto"/>
              <w:right w:val="single" w:sz="4" w:space="0" w:color="auto"/>
            </w:tcBorders>
            <w:shd w:val="clear" w:color="auto" w:fill="C6EFCE"/>
            <w:noWrap/>
          </w:tcPr>
          <w:p w14:paraId="7AE36691" w14:textId="09602652" w:rsidR="00E11D77" w:rsidRPr="009674F2" w:rsidRDefault="00E11D77" w:rsidP="00E11D77">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277</w:t>
            </w:r>
          </w:p>
        </w:tc>
        <w:tc>
          <w:tcPr>
            <w:tcW w:w="3969" w:type="dxa"/>
            <w:tcBorders>
              <w:top w:val="nil"/>
              <w:left w:val="nil"/>
              <w:bottom w:val="single" w:sz="4" w:space="0" w:color="auto"/>
              <w:right w:val="single" w:sz="4" w:space="0" w:color="auto"/>
            </w:tcBorders>
            <w:shd w:val="clear" w:color="auto" w:fill="C6EFCE"/>
            <w:noWrap/>
          </w:tcPr>
          <w:p w14:paraId="00E2C3DD" w14:textId="48AACC04" w:rsidR="00E11D77" w:rsidRPr="009674F2" w:rsidRDefault="00E11D77" w:rsidP="00E11D77">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 xml:space="preserve">C10I9 Дигитализиране на информационни масиви в администрацията, съдържащи регистрови данни </w:t>
            </w:r>
          </w:p>
        </w:tc>
        <w:tc>
          <w:tcPr>
            <w:tcW w:w="1559" w:type="dxa"/>
            <w:tcBorders>
              <w:top w:val="nil"/>
              <w:left w:val="nil"/>
              <w:bottom w:val="single" w:sz="4" w:space="0" w:color="auto"/>
              <w:right w:val="single" w:sz="4" w:space="0" w:color="auto"/>
            </w:tcBorders>
            <w:shd w:val="clear" w:color="auto" w:fill="C6EFCE"/>
            <w:noWrap/>
          </w:tcPr>
          <w:p w14:paraId="16809A14" w14:textId="5B618015" w:rsidR="00E11D77" w:rsidRPr="009674F2" w:rsidRDefault="00E11D77" w:rsidP="00E11D77">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Цел</w:t>
            </w:r>
          </w:p>
        </w:tc>
        <w:tc>
          <w:tcPr>
            <w:tcW w:w="3418" w:type="dxa"/>
            <w:tcBorders>
              <w:top w:val="nil"/>
              <w:left w:val="nil"/>
              <w:bottom w:val="single" w:sz="4" w:space="0" w:color="auto"/>
              <w:right w:val="single" w:sz="4" w:space="0" w:color="auto"/>
            </w:tcBorders>
            <w:shd w:val="clear" w:color="auto" w:fill="C6EFCE"/>
            <w:noWrap/>
          </w:tcPr>
          <w:p w14:paraId="5EA3ABDC" w14:textId="467B7C2C" w:rsidR="00E11D77" w:rsidRPr="009674F2" w:rsidRDefault="00E11D77" w:rsidP="00E11D77">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Цифровизиране на данните от регистрите и регистрите за гражданско състояние</w:t>
            </w:r>
          </w:p>
        </w:tc>
      </w:tr>
      <w:tr w:rsidR="00E11D77" w:rsidRPr="005241FC" w14:paraId="4C8275FC" w14:textId="77777777" w:rsidTr="267FDB55">
        <w:trPr>
          <w:trHeight w:val="302"/>
          <w:jc w:val="center"/>
        </w:trPr>
        <w:tc>
          <w:tcPr>
            <w:tcW w:w="1292" w:type="dxa"/>
            <w:tcBorders>
              <w:top w:val="nil"/>
              <w:left w:val="single" w:sz="4" w:space="0" w:color="auto"/>
              <w:bottom w:val="single" w:sz="4" w:space="0" w:color="auto"/>
              <w:right w:val="single" w:sz="4" w:space="0" w:color="auto"/>
            </w:tcBorders>
            <w:shd w:val="clear" w:color="auto" w:fill="C6EFCE"/>
            <w:noWrap/>
          </w:tcPr>
          <w:p w14:paraId="31EF25B0" w14:textId="77777777" w:rsidR="00E11D77" w:rsidRPr="009674F2" w:rsidRDefault="00E11D77" w:rsidP="00E11D77">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294</w:t>
            </w:r>
          </w:p>
        </w:tc>
        <w:tc>
          <w:tcPr>
            <w:tcW w:w="3969" w:type="dxa"/>
            <w:tcBorders>
              <w:top w:val="nil"/>
              <w:left w:val="nil"/>
              <w:bottom w:val="single" w:sz="4" w:space="0" w:color="auto"/>
              <w:right w:val="single" w:sz="4" w:space="0" w:color="auto"/>
            </w:tcBorders>
            <w:shd w:val="clear" w:color="auto" w:fill="C6EFCE"/>
            <w:noWrap/>
          </w:tcPr>
          <w:p w14:paraId="3E8597BF" w14:textId="77777777" w:rsidR="00E11D77" w:rsidRPr="009674F2" w:rsidRDefault="00E11D77" w:rsidP="00E11D77">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C11I1 Модернизация на дългосрочните грижи</w:t>
            </w:r>
          </w:p>
        </w:tc>
        <w:tc>
          <w:tcPr>
            <w:tcW w:w="1559" w:type="dxa"/>
            <w:tcBorders>
              <w:top w:val="nil"/>
              <w:left w:val="nil"/>
              <w:bottom w:val="single" w:sz="4" w:space="0" w:color="auto"/>
              <w:right w:val="single" w:sz="4" w:space="0" w:color="auto"/>
            </w:tcBorders>
            <w:shd w:val="clear" w:color="auto" w:fill="C6EFCE"/>
            <w:noWrap/>
          </w:tcPr>
          <w:p w14:paraId="261B46D1" w14:textId="77777777" w:rsidR="00E11D77" w:rsidRPr="009674F2" w:rsidRDefault="00E11D77" w:rsidP="00E11D77">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Цел</w:t>
            </w:r>
          </w:p>
        </w:tc>
        <w:tc>
          <w:tcPr>
            <w:tcW w:w="3418" w:type="dxa"/>
            <w:tcBorders>
              <w:top w:val="nil"/>
              <w:left w:val="nil"/>
              <w:bottom w:val="single" w:sz="4" w:space="0" w:color="auto"/>
              <w:right w:val="single" w:sz="4" w:space="0" w:color="auto"/>
            </w:tcBorders>
            <w:shd w:val="clear" w:color="auto" w:fill="C6EFCE"/>
            <w:noWrap/>
          </w:tcPr>
          <w:p w14:paraId="7F787DE3" w14:textId="77777777" w:rsidR="00E11D77" w:rsidRPr="009674F2" w:rsidRDefault="00E11D77" w:rsidP="00E11D77">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Нови заведения, предоставящи грижи с настаняване за лица с увреждания</w:t>
            </w:r>
          </w:p>
        </w:tc>
      </w:tr>
      <w:tr w:rsidR="00E11D77" w:rsidRPr="005241FC" w14:paraId="6177C1AA" w14:textId="77777777" w:rsidTr="267FDB55">
        <w:trPr>
          <w:trHeight w:val="302"/>
          <w:jc w:val="center"/>
        </w:trPr>
        <w:tc>
          <w:tcPr>
            <w:tcW w:w="1292" w:type="dxa"/>
            <w:tcBorders>
              <w:top w:val="nil"/>
              <w:left w:val="single" w:sz="4" w:space="0" w:color="auto"/>
              <w:bottom w:val="single" w:sz="4" w:space="0" w:color="auto"/>
              <w:right w:val="single" w:sz="4" w:space="0" w:color="auto"/>
            </w:tcBorders>
            <w:shd w:val="clear" w:color="auto" w:fill="C6EFCE"/>
            <w:noWrap/>
          </w:tcPr>
          <w:p w14:paraId="43F51C96" w14:textId="77777777" w:rsidR="00E11D77" w:rsidRPr="009674F2" w:rsidRDefault="00E11D77" w:rsidP="00E11D77">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295</w:t>
            </w:r>
          </w:p>
        </w:tc>
        <w:tc>
          <w:tcPr>
            <w:tcW w:w="3969" w:type="dxa"/>
            <w:tcBorders>
              <w:top w:val="nil"/>
              <w:left w:val="nil"/>
              <w:bottom w:val="single" w:sz="4" w:space="0" w:color="auto"/>
              <w:right w:val="single" w:sz="4" w:space="0" w:color="auto"/>
            </w:tcBorders>
            <w:shd w:val="clear" w:color="auto" w:fill="C6EFCE"/>
            <w:noWrap/>
          </w:tcPr>
          <w:p w14:paraId="2D5690BE" w14:textId="77777777" w:rsidR="00E11D77" w:rsidRPr="009674F2" w:rsidRDefault="00E11D77" w:rsidP="00E11D77">
            <w:pPr>
              <w:spacing w:after="0" w:line="240" w:lineRule="auto"/>
              <w:jc w:val="both"/>
              <w:rPr>
                <w:rFonts w:ascii="Times New Roman" w:hAnsi="Times New Roman" w:cs="Times New Roman"/>
                <w:noProof/>
                <w:color w:val="006100"/>
              </w:rPr>
            </w:pPr>
            <w:r>
              <w:rPr>
                <w:rFonts w:ascii="Times New Roman" w:hAnsi="Times New Roman"/>
                <w:noProof/>
                <w:color w:val="006100"/>
              </w:rPr>
              <w:t>C11I1 Модернизация на дългосрочните грижи</w:t>
            </w:r>
          </w:p>
        </w:tc>
        <w:tc>
          <w:tcPr>
            <w:tcW w:w="1559" w:type="dxa"/>
            <w:tcBorders>
              <w:top w:val="nil"/>
              <w:left w:val="nil"/>
              <w:bottom w:val="single" w:sz="4" w:space="0" w:color="auto"/>
              <w:right w:val="single" w:sz="4" w:space="0" w:color="auto"/>
            </w:tcBorders>
            <w:shd w:val="clear" w:color="auto" w:fill="C6EFCE"/>
            <w:noWrap/>
          </w:tcPr>
          <w:p w14:paraId="6CFB923A" w14:textId="77777777" w:rsidR="00E11D77" w:rsidRPr="009674F2" w:rsidRDefault="00E11D77" w:rsidP="00E11D77">
            <w:pPr>
              <w:spacing w:after="0" w:line="240" w:lineRule="auto"/>
              <w:jc w:val="center"/>
              <w:rPr>
                <w:rFonts w:ascii="Times New Roman" w:hAnsi="Times New Roman" w:cs="Times New Roman"/>
                <w:noProof/>
                <w:color w:val="006100"/>
              </w:rPr>
            </w:pPr>
            <w:r>
              <w:rPr>
                <w:rFonts w:ascii="Times New Roman" w:hAnsi="Times New Roman"/>
                <w:noProof/>
                <w:color w:val="006100"/>
              </w:rPr>
              <w:t>Цел</w:t>
            </w:r>
          </w:p>
        </w:tc>
        <w:tc>
          <w:tcPr>
            <w:tcW w:w="3418" w:type="dxa"/>
            <w:tcBorders>
              <w:top w:val="nil"/>
              <w:left w:val="nil"/>
              <w:bottom w:val="single" w:sz="4" w:space="0" w:color="auto"/>
              <w:right w:val="single" w:sz="4" w:space="0" w:color="auto"/>
            </w:tcBorders>
            <w:shd w:val="clear" w:color="auto" w:fill="C6EFCE"/>
            <w:noWrap/>
          </w:tcPr>
          <w:p w14:paraId="0A25A6AC" w14:textId="77777777" w:rsidR="00E11D77" w:rsidRPr="009674F2" w:rsidRDefault="00E11D77" w:rsidP="00E11D77">
            <w:pPr>
              <w:spacing w:after="0" w:line="240" w:lineRule="auto"/>
              <w:jc w:val="both"/>
              <w:rPr>
                <w:rFonts w:ascii="Times New Roman" w:hAnsi="Times New Roman" w:cs="Times New Roman"/>
                <w:noProof/>
                <w:color w:val="006100"/>
              </w:rPr>
            </w:pPr>
            <w:r>
              <w:rPr>
                <w:rFonts w:ascii="Times New Roman" w:hAnsi="Times New Roman"/>
                <w:noProof/>
                <w:color w:val="006100"/>
              </w:rPr>
              <w:t>Саниране с цел икономии на енергия на съществуващи заведения, предоставящи социални услуги</w:t>
            </w:r>
          </w:p>
        </w:tc>
      </w:tr>
      <w:tr w:rsidR="00E11D77" w:rsidRPr="005241FC" w14:paraId="2DBEC79B" w14:textId="77777777" w:rsidTr="267FDB55">
        <w:trPr>
          <w:trHeight w:val="302"/>
          <w:jc w:val="center"/>
        </w:trPr>
        <w:tc>
          <w:tcPr>
            <w:tcW w:w="1292" w:type="dxa"/>
            <w:tcBorders>
              <w:top w:val="nil"/>
              <w:left w:val="single" w:sz="4" w:space="0" w:color="auto"/>
              <w:bottom w:val="single" w:sz="4" w:space="0" w:color="auto"/>
              <w:right w:val="single" w:sz="4" w:space="0" w:color="auto"/>
            </w:tcBorders>
            <w:shd w:val="clear" w:color="auto" w:fill="C6EFCE"/>
            <w:noWrap/>
          </w:tcPr>
          <w:p w14:paraId="4A4D84E7" w14:textId="77777777" w:rsidR="00E11D77" w:rsidRPr="009674F2" w:rsidRDefault="00E11D77" w:rsidP="00E11D77">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296</w:t>
            </w:r>
          </w:p>
        </w:tc>
        <w:tc>
          <w:tcPr>
            <w:tcW w:w="3969" w:type="dxa"/>
            <w:tcBorders>
              <w:top w:val="nil"/>
              <w:left w:val="nil"/>
              <w:bottom w:val="single" w:sz="4" w:space="0" w:color="auto"/>
              <w:right w:val="single" w:sz="4" w:space="0" w:color="auto"/>
            </w:tcBorders>
            <w:shd w:val="clear" w:color="auto" w:fill="C6EFCE"/>
            <w:noWrap/>
          </w:tcPr>
          <w:p w14:paraId="1AF06C36" w14:textId="77777777" w:rsidR="00E11D77" w:rsidRPr="009674F2" w:rsidRDefault="00E11D77" w:rsidP="00E11D77">
            <w:pPr>
              <w:spacing w:after="0" w:line="240" w:lineRule="auto"/>
              <w:jc w:val="both"/>
              <w:rPr>
                <w:rFonts w:ascii="Times New Roman" w:hAnsi="Times New Roman" w:cs="Times New Roman"/>
                <w:noProof/>
                <w:color w:val="006100"/>
              </w:rPr>
            </w:pPr>
            <w:r>
              <w:rPr>
                <w:rFonts w:ascii="Times New Roman" w:hAnsi="Times New Roman"/>
                <w:noProof/>
                <w:color w:val="006100"/>
              </w:rPr>
              <w:t>C11I1 Модернизация на дългосрочните грижи</w:t>
            </w:r>
          </w:p>
        </w:tc>
        <w:tc>
          <w:tcPr>
            <w:tcW w:w="1559" w:type="dxa"/>
            <w:tcBorders>
              <w:top w:val="nil"/>
              <w:left w:val="nil"/>
              <w:bottom w:val="single" w:sz="4" w:space="0" w:color="auto"/>
              <w:right w:val="single" w:sz="4" w:space="0" w:color="auto"/>
            </w:tcBorders>
            <w:shd w:val="clear" w:color="auto" w:fill="C6EFCE"/>
            <w:noWrap/>
          </w:tcPr>
          <w:p w14:paraId="14740260" w14:textId="77777777" w:rsidR="00E11D77" w:rsidRPr="009674F2" w:rsidRDefault="00E11D77" w:rsidP="00E11D77">
            <w:pPr>
              <w:spacing w:after="0" w:line="240" w:lineRule="auto"/>
              <w:jc w:val="center"/>
              <w:rPr>
                <w:rFonts w:ascii="Times New Roman" w:hAnsi="Times New Roman" w:cs="Times New Roman"/>
                <w:noProof/>
                <w:color w:val="006100"/>
              </w:rPr>
            </w:pPr>
            <w:r>
              <w:rPr>
                <w:rFonts w:ascii="Times New Roman" w:hAnsi="Times New Roman"/>
                <w:noProof/>
                <w:color w:val="006100"/>
              </w:rPr>
              <w:t>Цел</w:t>
            </w:r>
          </w:p>
        </w:tc>
        <w:tc>
          <w:tcPr>
            <w:tcW w:w="3418" w:type="dxa"/>
            <w:tcBorders>
              <w:top w:val="nil"/>
              <w:left w:val="nil"/>
              <w:bottom w:val="single" w:sz="4" w:space="0" w:color="auto"/>
              <w:right w:val="single" w:sz="4" w:space="0" w:color="auto"/>
            </w:tcBorders>
            <w:shd w:val="clear" w:color="auto" w:fill="C6EFCE"/>
            <w:noWrap/>
          </w:tcPr>
          <w:p w14:paraId="418BDD8A" w14:textId="77777777" w:rsidR="00E11D77" w:rsidRPr="009674F2" w:rsidRDefault="00E11D77" w:rsidP="00E11D77">
            <w:pPr>
              <w:spacing w:after="0" w:line="240" w:lineRule="auto"/>
              <w:jc w:val="both"/>
              <w:rPr>
                <w:rFonts w:ascii="Times New Roman" w:hAnsi="Times New Roman" w:cs="Times New Roman"/>
                <w:noProof/>
                <w:color w:val="006100"/>
              </w:rPr>
            </w:pPr>
            <w:r>
              <w:rPr>
                <w:rFonts w:ascii="Times New Roman" w:hAnsi="Times New Roman"/>
                <w:noProof/>
                <w:color w:val="006100"/>
              </w:rPr>
              <w:t>Дял на пълнолетните лица, получаващи помощ в специализирани медицински институции, в сравнение с тези, които получават помощ посредством услуги в общността или у дома</w:t>
            </w:r>
          </w:p>
        </w:tc>
      </w:tr>
      <w:tr w:rsidR="00E11D77" w:rsidRPr="005241FC" w14:paraId="40C99C38" w14:textId="77777777" w:rsidTr="267FDB55">
        <w:trPr>
          <w:trHeight w:val="302"/>
          <w:jc w:val="center"/>
        </w:trPr>
        <w:tc>
          <w:tcPr>
            <w:tcW w:w="1292" w:type="dxa"/>
            <w:tcBorders>
              <w:top w:val="nil"/>
              <w:left w:val="single" w:sz="4" w:space="0" w:color="auto"/>
              <w:bottom w:val="single" w:sz="4" w:space="0" w:color="auto"/>
              <w:right w:val="single" w:sz="4" w:space="0" w:color="auto"/>
            </w:tcBorders>
            <w:shd w:val="clear" w:color="auto" w:fill="C6EFCE"/>
            <w:noWrap/>
          </w:tcPr>
          <w:p w14:paraId="0AFC624C" w14:textId="77777777" w:rsidR="00E11D77" w:rsidRPr="009674F2" w:rsidRDefault="00E11D77" w:rsidP="00E11D77">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314</w:t>
            </w:r>
          </w:p>
        </w:tc>
        <w:tc>
          <w:tcPr>
            <w:tcW w:w="3969" w:type="dxa"/>
            <w:tcBorders>
              <w:top w:val="nil"/>
              <w:left w:val="nil"/>
              <w:bottom w:val="single" w:sz="4" w:space="0" w:color="auto"/>
              <w:right w:val="single" w:sz="4" w:space="0" w:color="auto"/>
            </w:tcBorders>
            <w:shd w:val="clear" w:color="auto" w:fill="C6EFCE"/>
            <w:noWrap/>
          </w:tcPr>
          <w:p w14:paraId="0F53C10C" w14:textId="77777777" w:rsidR="00E11D77" w:rsidRPr="009674F2" w:rsidRDefault="00E11D77" w:rsidP="00E11D77">
            <w:pPr>
              <w:spacing w:after="0" w:line="240" w:lineRule="auto"/>
              <w:jc w:val="both"/>
              <w:rPr>
                <w:rFonts w:ascii="Times New Roman" w:hAnsi="Times New Roman" w:cs="Times New Roman"/>
                <w:noProof/>
                <w:color w:val="006100"/>
              </w:rPr>
            </w:pPr>
            <w:r>
              <w:rPr>
                <w:rFonts w:ascii="Times New Roman" w:hAnsi="Times New Roman"/>
                <w:noProof/>
                <w:color w:val="006100"/>
              </w:rPr>
              <w:t>C11I7 Цифровизация на музейни колекции, библиотеки и архиви</w:t>
            </w:r>
          </w:p>
        </w:tc>
        <w:tc>
          <w:tcPr>
            <w:tcW w:w="1559" w:type="dxa"/>
            <w:tcBorders>
              <w:top w:val="nil"/>
              <w:left w:val="nil"/>
              <w:bottom w:val="single" w:sz="4" w:space="0" w:color="auto"/>
              <w:right w:val="single" w:sz="4" w:space="0" w:color="auto"/>
            </w:tcBorders>
            <w:shd w:val="clear" w:color="auto" w:fill="C6EFCE"/>
            <w:noWrap/>
          </w:tcPr>
          <w:p w14:paraId="1B21AF1F" w14:textId="77777777" w:rsidR="00E11D77" w:rsidRPr="009674F2" w:rsidRDefault="00E11D77" w:rsidP="00E11D77">
            <w:pPr>
              <w:spacing w:after="0" w:line="240" w:lineRule="auto"/>
              <w:jc w:val="center"/>
              <w:rPr>
                <w:rFonts w:ascii="Times New Roman" w:hAnsi="Times New Roman" w:cs="Times New Roman"/>
                <w:noProof/>
                <w:color w:val="006100"/>
              </w:rPr>
            </w:pPr>
            <w:r>
              <w:rPr>
                <w:rFonts w:ascii="Times New Roman" w:hAnsi="Times New Roman"/>
                <w:noProof/>
                <w:color w:val="006100"/>
              </w:rPr>
              <w:t>Цел</w:t>
            </w:r>
          </w:p>
        </w:tc>
        <w:tc>
          <w:tcPr>
            <w:tcW w:w="3418" w:type="dxa"/>
            <w:tcBorders>
              <w:top w:val="nil"/>
              <w:left w:val="nil"/>
              <w:bottom w:val="single" w:sz="4" w:space="0" w:color="auto"/>
              <w:right w:val="single" w:sz="4" w:space="0" w:color="auto"/>
            </w:tcBorders>
            <w:shd w:val="clear" w:color="auto" w:fill="C6EFCE"/>
            <w:noWrap/>
          </w:tcPr>
          <w:p w14:paraId="7647EFDB" w14:textId="77777777" w:rsidR="00E11D77" w:rsidRPr="009674F2" w:rsidRDefault="00E11D77" w:rsidP="00E11D77">
            <w:pPr>
              <w:spacing w:after="0" w:line="240" w:lineRule="auto"/>
              <w:jc w:val="both"/>
              <w:rPr>
                <w:rFonts w:ascii="Times New Roman" w:hAnsi="Times New Roman" w:cs="Times New Roman"/>
                <w:noProof/>
                <w:color w:val="006100"/>
              </w:rPr>
            </w:pPr>
            <w:r>
              <w:rPr>
                <w:rFonts w:ascii="Times New Roman" w:hAnsi="Times New Roman"/>
                <w:noProof/>
                <w:color w:val="006100"/>
              </w:rPr>
              <w:t>Цифровизирано съдържание, публично достъпно на електронната платформа</w:t>
            </w:r>
          </w:p>
        </w:tc>
      </w:tr>
      <w:tr w:rsidR="00E11D77" w:rsidRPr="005241FC" w14:paraId="35A9BD91" w14:textId="77777777" w:rsidTr="267FDB55">
        <w:trPr>
          <w:trHeight w:val="302"/>
          <w:jc w:val="center"/>
        </w:trPr>
        <w:tc>
          <w:tcPr>
            <w:tcW w:w="1292" w:type="dxa"/>
            <w:tcBorders>
              <w:top w:val="nil"/>
              <w:left w:val="single" w:sz="4" w:space="0" w:color="auto"/>
              <w:bottom w:val="single" w:sz="4" w:space="0" w:color="auto"/>
              <w:right w:val="single" w:sz="4" w:space="0" w:color="auto"/>
            </w:tcBorders>
            <w:shd w:val="clear" w:color="auto" w:fill="C6EFCE"/>
            <w:noWrap/>
          </w:tcPr>
          <w:p w14:paraId="117AED55" w14:textId="77777777" w:rsidR="00E11D77" w:rsidRPr="009674F2" w:rsidRDefault="00E11D77" w:rsidP="00E11D77">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337</w:t>
            </w:r>
          </w:p>
        </w:tc>
        <w:tc>
          <w:tcPr>
            <w:tcW w:w="3969" w:type="dxa"/>
            <w:tcBorders>
              <w:top w:val="nil"/>
              <w:left w:val="nil"/>
              <w:bottom w:val="single" w:sz="4" w:space="0" w:color="auto"/>
              <w:right w:val="single" w:sz="4" w:space="0" w:color="auto"/>
            </w:tcBorders>
            <w:shd w:val="clear" w:color="auto" w:fill="C6EFCE"/>
            <w:noWrap/>
          </w:tcPr>
          <w:p w14:paraId="33EF9951" w14:textId="77777777" w:rsidR="00E11D77" w:rsidRPr="009674F2" w:rsidRDefault="00E11D77" w:rsidP="00E11D77">
            <w:pPr>
              <w:spacing w:after="0"/>
              <w:jc w:val="both"/>
              <w:rPr>
                <w:rFonts w:ascii="Times New Roman" w:hAnsi="Times New Roman" w:cs="Times New Roman"/>
                <w:noProof/>
                <w:color w:val="006100"/>
              </w:rPr>
            </w:pPr>
            <w:r>
              <w:rPr>
                <w:rFonts w:ascii="Times New Roman" w:hAnsi="Times New Roman"/>
                <w:noProof/>
                <w:color w:val="006100"/>
              </w:rPr>
              <w:t>C12I4 Създаване на система за оказване на спешна медицинска помощ по въздуха</w:t>
            </w:r>
          </w:p>
        </w:tc>
        <w:tc>
          <w:tcPr>
            <w:tcW w:w="1559" w:type="dxa"/>
            <w:tcBorders>
              <w:top w:val="nil"/>
              <w:left w:val="nil"/>
              <w:bottom w:val="single" w:sz="4" w:space="0" w:color="auto"/>
              <w:right w:val="single" w:sz="4" w:space="0" w:color="auto"/>
            </w:tcBorders>
            <w:shd w:val="clear" w:color="auto" w:fill="C6EFCE"/>
            <w:noWrap/>
          </w:tcPr>
          <w:p w14:paraId="09D97E30" w14:textId="77777777" w:rsidR="00E11D77" w:rsidRPr="009674F2" w:rsidRDefault="00E11D77" w:rsidP="00E11D77">
            <w:pPr>
              <w:spacing w:after="0" w:line="240" w:lineRule="auto"/>
              <w:jc w:val="center"/>
              <w:rPr>
                <w:rFonts w:ascii="Times New Roman" w:hAnsi="Times New Roman" w:cs="Times New Roman"/>
                <w:noProof/>
                <w:color w:val="006100"/>
              </w:rPr>
            </w:pPr>
            <w:r>
              <w:rPr>
                <w:rFonts w:ascii="Times New Roman" w:hAnsi="Times New Roman"/>
                <w:noProof/>
                <w:color w:val="006100"/>
              </w:rPr>
              <w:t>Цел</w:t>
            </w:r>
          </w:p>
        </w:tc>
        <w:tc>
          <w:tcPr>
            <w:tcW w:w="3418" w:type="dxa"/>
            <w:tcBorders>
              <w:top w:val="nil"/>
              <w:left w:val="nil"/>
              <w:bottom w:val="single" w:sz="4" w:space="0" w:color="auto"/>
              <w:right w:val="single" w:sz="4" w:space="0" w:color="auto"/>
            </w:tcBorders>
            <w:shd w:val="clear" w:color="auto" w:fill="C6EFCE"/>
            <w:noWrap/>
          </w:tcPr>
          <w:p w14:paraId="77CAAF08" w14:textId="77777777" w:rsidR="00E11D77" w:rsidRPr="009674F2" w:rsidRDefault="00E11D77" w:rsidP="00E11D77">
            <w:pPr>
              <w:spacing w:after="0" w:line="240" w:lineRule="auto"/>
              <w:jc w:val="both"/>
              <w:rPr>
                <w:rFonts w:ascii="Times New Roman" w:hAnsi="Times New Roman" w:cs="Times New Roman"/>
                <w:noProof/>
                <w:color w:val="006100"/>
              </w:rPr>
            </w:pPr>
            <w:r>
              <w:rPr>
                <w:rFonts w:ascii="Times New Roman" w:hAnsi="Times New Roman"/>
                <w:noProof/>
                <w:color w:val="006100"/>
              </w:rPr>
              <w:t>Доставка на вертолетите за системата за оказване на спешна помощ по въздуха</w:t>
            </w:r>
          </w:p>
        </w:tc>
      </w:tr>
      <w:tr w:rsidR="00E11D77" w:rsidRPr="005241FC" w14:paraId="4523F8F6" w14:textId="77777777" w:rsidTr="267FDB55">
        <w:trPr>
          <w:trHeight w:val="302"/>
          <w:jc w:val="center"/>
        </w:trPr>
        <w:tc>
          <w:tcPr>
            <w:tcW w:w="1292" w:type="dxa"/>
            <w:tcBorders>
              <w:top w:val="nil"/>
              <w:left w:val="single" w:sz="4" w:space="0" w:color="auto"/>
              <w:bottom w:val="single" w:sz="4" w:space="0" w:color="auto"/>
              <w:right w:val="single" w:sz="4" w:space="0" w:color="auto"/>
            </w:tcBorders>
            <w:shd w:val="clear" w:color="auto" w:fill="C6EFCE"/>
            <w:noWrap/>
          </w:tcPr>
          <w:p w14:paraId="4BDA40A9" w14:textId="77777777" w:rsidR="00E11D77" w:rsidRPr="009674F2" w:rsidRDefault="00E11D77" w:rsidP="00E11D77">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338</w:t>
            </w:r>
          </w:p>
        </w:tc>
        <w:tc>
          <w:tcPr>
            <w:tcW w:w="3969" w:type="dxa"/>
            <w:tcBorders>
              <w:top w:val="nil"/>
              <w:left w:val="nil"/>
              <w:bottom w:val="single" w:sz="4" w:space="0" w:color="auto"/>
              <w:right w:val="single" w:sz="4" w:space="0" w:color="auto"/>
            </w:tcBorders>
            <w:shd w:val="clear" w:color="auto" w:fill="C6EFCE"/>
            <w:noWrap/>
          </w:tcPr>
          <w:p w14:paraId="0EEF7D32" w14:textId="77777777" w:rsidR="00E11D77" w:rsidRPr="009674F2" w:rsidRDefault="00E11D77" w:rsidP="00E11D77">
            <w:pPr>
              <w:spacing w:after="0"/>
              <w:jc w:val="both"/>
              <w:rPr>
                <w:rFonts w:ascii="Times New Roman" w:hAnsi="Times New Roman" w:cs="Times New Roman"/>
                <w:noProof/>
                <w:color w:val="006100"/>
              </w:rPr>
            </w:pPr>
            <w:r>
              <w:rPr>
                <w:rFonts w:ascii="Times New Roman" w:hAnsi="Times New Roman"/>
                <w:noProof/>
                <w:color w:val="006100"/>
              </w:rPr>
              <w:t>C12I4 Създаване на система за оказване на спешна медицинска помощ по въздуха</w:t>
            </w:r>
          </w:p>
        </w:tc>
        <w:tc>
          <w:tcPr>
            <w:tcW w:w="1559" w:type="dxa"/>
            <w:tcBorders>
              <w:top w:val="nil"/>
              <w:left w:val="nil"/>
              <w:bottom w:val="single" w:sz="4" w:space="0" w:color="auto"/>
              <w:right w:val="single" w:sz="4" w:space="0" w:color="auto"/>
            </w:tcBorders>
            <w:shd w:val="clear" w:color="auto" w:fill="C6EFCE"/>
            <w:noWrap/>
          </w:tcPr>
          <w:p w14:paraId="14A2ACED" w14:textId="77777777" w:rsidR="00E11D77" w:rsidRPr="009674F2" w:rsidRDefault="00E11D77" w:rsidP="00E11D77">
            <w:pPr>
              <w:spacing w:after="0" w:line="240" w:lineRule="auto"/>
              <w:jc w:val="center"/>
              <w:rPr>
                <w:rFonts w:ascii="Times New Roman" w:hAnsi="Times New Roman" w:cs="Times New Roman"/>
                <w:noProof/>
                <w:color w:val="006100"/>
              </w:rPr>
            </w:pPr>
            <w:r>
              <w:rPr>
                <w:rFonts w:ascii="Times New Roman" w:hAnsi="Times New Roman"/>
                <w:noProof/>
                <w:color w:val="006100"/>
              </w:rPr>
              <w:t>Цел</w:t>
            </w:r>
          </w:p>
        </w:tc>
        <w:tc>
          <w:tcPr>
            <w:tcW w:w="3418" w:type="dxa"/>
            <w:tcBorders>
              <w:top w:val="nil"/>
              <w:left w:val="nil"/>
              <w:bottom w:val="single" w:sz="4" w:space="0" w:color="auto"/>
              <w:right w:val="single" w:sz="4" w:space="0" w:color="auto"/>
            </w:tcBorders>
            <w:shd w:val="clear" w:color="auto" w:fill="C6EFCE"/>
            <w:noWrap/>
          </w:tcPr>
          <w:p w14:paraId="3FD0B7B2" w14:textId="77777777" w:rsidR="00E11D77" w:rsidRPr="009674F2" w:rsidRDefault="00E11D77" w:rsidP="00E11D77">
            <w:pPr>
              <w:spacing w:after="0" w:line="240" w:lineRule="auto"/>
              <w:jc w:val="both"/>
              <w:rPr>
                <w:rFonts w:ascii="Times New Roman" w:hAnsi="Times New Roman" w:cs="Times New Roman"/>
                <w:noProof/>
                <w:color w:val="006100"/>
              </w:rPr>
            </w:pPr>
            <w:r>
              <w:rPr>
                <w:rFonts w:ascii="Times New Roman" w:hAnsi="Times New Roman"/>
                <w:noProof/>
                <w:color w:val="006100"/>
              </w:rPr>
              <w:t>Хангари за системата за оказване на спешна медицинска помощ по въздуха</w:t>
            </w:r>
          </w:p>
        </w:tc>
      </w:tr>
      <w:tr w:rsidR="00E11D77" w:rsidRPr="005241FC" w14:paraId="59F04A18" w14:textId="77777777" w:rsidTr="267FDB55">
        <w:trPr>
          <w:trHeight w:val="302"/>
          <w:jc w:val="center"/>
        </w:trPr>
        <w:tc>
          <w:tcPr>
            <w:tcW w:w="1292" w:type="dxa"/>
            <w:tcBorders>
              <w:top w:val="nil"/>
              <w:left w:val="single" w:sz="4" w:space="0" w:color="auto"/>
              <w:bottom w:val="single" w:sz="4" w:space="0" w:color="auto"/>
              <w:right w:val="single" w:sz="4" w:space="0" w:color="auto"/>
            </w:tcBorders>
            <w:shd w:val="clear" w:color="auto" w:fill="C6EFCE"/>
            <w:noWrap/>
          </w:tcPr>
          <w:p w14:paraId="1012D248" w14:textId="77777777" w:rsidR="00E11D77" w:rsidRPr="009674F2" w:rsidRDefault="00E11D77" w:rsidP="00E11D77">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345</w:t>
            </w:r>
          </w:p>
        </w:tc>
        <w:tc>
          <w:tcPr>
            <w:tcW w:w="3969" w:type="dxa"/>
            <w:tcBorders>
              <w:top w:val="nil"/>
              <w:left w:val="nil"/>
              <w:bottom w:val="single" w:sz="4" w:space="0" w:color="auto"/>
              <w:right w:val="single" w:sz="4" w:space="0" w:color="auto"/>
            </w:tcBorders>
            <w:shd w:val="clear" w:color="auto" w:fill="C6EFCE"/>
            <w:noWrap/>
          </w:tcPr>
          <w:p w14:paraId="3D19D0A0" w14:textId="77777777" w:rsidR="00E11D77" w:rsidRPr="009674F2" w:rsidRDefault="00E11D77" w:rsidP="00E11D77">
            <w:pPr>
              <w:spacing w:after="0"/>
              <w:jc w:val="both"/>
              <w:rPr>
                <w:rFonts w:ascii="Times New Roman" w:hAnsi="Times New Roman" w:cs="Times New Roman"/>
                <w:noProof/>
                <w:color w:val="006100"/>
              </w:rPr>
            </w:pPr>
            <w:r>
              <w:rPr>
                <w:rFonts w:ascii="Times New Roman" w:hAnsi="Times New Roman"/>
                <w:noProof/>
                <w:color w:val="006100"/>
              </w:rPr>
              <w:t>C12I7 Развитие на амбулаторните грижи</w:t>
            </w:r>
          </w:p>
        </w:tc>
        <w:tc>
          <w:tcPr>
            <w:tcW w:w="1559" w:type="dxa"/>
            <w:tcBorders>
              <w:top w:val="nil"/>
              <w:left w:val="nil"/>
              <w:bottom w:val="single" w:sz="4" w:space="0" w:color="auto"/>
              <w:right w:val="single" w:sz="4" w:space="0" w:color="auto"/>
            </w:tcBorders>
            <w:shd w:val="clear" w:color="auto" w:fill="C6EFCE"/>
            <w:noWrap/>
          </w:tcPr>
          <w:p w14:paraId="22655402" w14:textId="77777777" w:rsidR="00E11D77" w:rsidRPr="009674F2" w:rsidRDefault="00E11D77" w:rsidP="00E11D77">
            <w:pPr>
              <w:spacing w:after="0" w:line="240" w:lineRule="auto"/>
              <w:jc w:val="center"/>
              <w:rPr>
                <w:rFonts w:ascii="Times New Roman" w:hAnsi="Times New Roman" w:cs="Times New Roman"/>
                <w:noProof/>
                <w:color w:val="006100"/>
              </w:rPr>
            </w:pPr>
            <w:r>
              <w:rPr>
                <w:rFonts w:ascii="Times New Roman" w:hAnsi="Times New Roman"/>
                <w:noProof/>
                <w:color w:val="006100"/>
              </w:rPr>
              <w:t>Цел</w:t>
            </w:r>
          </w:p>
        </w:tc>
        <w:tc>
          <w:tcPr>
            <w:tcW w:w="3418" w:type="dxa"/>
            <w:tcBorders>
              <w:top w:val="nil"/>
              <w:left w:val="nil"/>
              <w:bottom w:val="single" w:sz="4" w:space="0" w:color="auto"/>
              <w:right w:val="single" w:sz="4" w:space="0" w:color="auto"/>
            </w:tcBorders>
            <w:shd w:val="clear" w:color="auto" w:fill="C6EFCE"/>
            <w:noWrap/>
          </w:tcPr>
          <w:p w14:paraId="245487F3" w14:textId="77777777" w:rsidR="00E11D77" w:rsidRPr="009674F2" w:rsidRDefault="00E11D77" w:rsidP="00E11D77">
            <w:pPr>
              <w:spacing w:after="0" w:line="240" w:lineRule="auto"/>
              <w:jc w:val="both"/>
              <w:rPr>
                <w:rFonts w:ascii="Times New Roman" w:hAnsi="Times New Roman" w:cs="Times New Roman"/>
                <w:noProof/>
                <w:color w:val="006100"/>
              </w:rPr>
            </w:pPr>
            <w:r>
              <w:rPr>
                <w:rFonts w:ascii="Times New Roman" w:hAnsi="Times New Roman"/>
                <w:noProof/>
                <w:color w:val="006100"/>
              </w:rPr>
              <w:t>Строителни/ремонтни работи, оборудване и осигуряване на персонал за амбулатории в отдалечени населени места в цялата страна</w:t>
            </w:r>
          </w:p>
        </w:tc>
      </w:tr>
      <w:tr w:rsidR="00E11D77" w:rsidRPr="005241FC" w14:paraId="691C8CD3" w14:textId="77777777" w:rsidTr="267FDB55">
        <w:trPr>
          <w:trHeight w:val="302"/>
          <w:jc w:val="center"/>
        </w:trPr>
        <w:tc>
          <w:tcPr>
            <w:tcW w:w="1292" w:type="dxa"/>
            <w:tcBorders>
              <w:top w:val="nil"/>
              <w:left w:val="single" w:sz="4" w:space="0" w:color="auto"/>
              <w:bottom w:val="single" w:sz="4" w:space="0" w:color="auto"/>
              <w:right w:val="single" w:sz="4" w:space="0" w:color="auto"/>
            </w:tcBorders>
            <w:shd w:val="clear" w:color="auto" w:fill="C6EFCE"/>
            <w:noWrap/>
          </w:tcPr>
          <w:p w14:paraId="72576C3B" w14:textId="77777777" w:rsidR="00E11D77" w:rsidRPr="009674F2" w:rsidRDefault="00E11D77" w:rsidP="00E11D77">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346</w:t>
            </w:r>
          </w:p>
        </w:tc>
        <w:tc>
          <w:tcPr>
            <w:tcW w:w="3969" w:type="dxa"/>
            <w:tcBorders>
              <w:top w:val="nil"/>
              <w:left w:val="nil"/>
              <w:bottom w:val="single" w:sz="4" w:space="0" w:color="auto"/>
              <w:right w:val="single" w:sz="4" w:space="0" w:color="auto"/>
            </w:tcBorders>
            <w:shd w:val="clear" w:color="auto" w:fill="C6EFCE"/>
            <w:noWrap/>
          </w:tcPr>
          <w:p w14:paraId="1EE01AC2" w14:textId="77777777" w:rsidR="00E11D77" w:rsidRPr="009674F2" w:rsidRDefault="00E11D77" w:rsidP="00E11D77">
            <w:pPr>
              <w:spacing w:after="0"/>
              <w:jc w:val="both"/>
              <w:rPr>
                <w:rFonts w:ascii="Times New Roman" w:hAnsi="Times New Roman" w:cs="Times New Roman"/>
                <w:noProof/>
                <w:color w:val="006100"/>
              </w:rPr>
            </w:pPr>
            <w:r>
              <w:rPr>
                <w:rFonts w:ascii="Times New Roman" w:hAnsi="Times New Roman"/>
                <w:noProof/>
                <w:color w:val="006100"/>
              </w:rPr>
              <w:t xml:space="preserve">C12I7 Развитие на амбулаторните грижи </w:t>
            </w:r>
          </w:p>
        </w:tc>
        <w:tc>
          <w:tcPr>
            <w:tcW w:w="1559" w:type="dxa"/>
            <w:tcBorders>
              <w:top w:val="nil"/>
              <w:left w:val="nil"/>
              <w:bottom w:val="single" w:sz="4" w:space="0" w:color="auto"/>
              <w:right w:val="single" w:sz="4" w:space="0" w:color="auto"/>
            </w:tcBorders>
            <w:shd w:val="clear" w:color="auto" w:fill="C6EFCE"/>
            <w:noWrap/>
          </w:tcPr>
          <w:p w14:paraId="166F39C1" w14:textId="77777777" w:rsidR="00E11D77" w:rsidRPr="009674F2" w:rsidRDefault="00E11D77" w:rsidP="00E11D77">
            <w:pPr>
              <w:spacing w:after="0" w:line="240" w:lineRule="auto"/>
              <w:jc w:val="center"/>
              <w:rPr>
                <w:rFonts w:ascii="Times New Roman" w:hAnsi="Times New Roman" w:cs="Times New Roman"/>
                <w:noProof/>
                <w:color w:val="006100"/>
              </w:rPr>
            </w:pPr>
            <w:r>
              <w:rPr>
                <w:rFonts w:ascii="Times New Roman" w:hAnsi="Times New Roman"/>
                <w:noProof/>
                <w:color w:val="006100"/>
              </w:rPr>
              <w:t>Ключов етап</w:t>
            </w:r>
          </w:p>
        </w:tc>
        <w:tc>
          <w:tcPr>
            <w:tcW w:w="3418" w:type="dxa"/>
            <w:tcBorders>
              <w:top w:val="nil"/>
              <w:left w:val="nil"/>
              <w:bottom w:val="single" w:sz="4" w:space="0" w:color="auto"/>
              <w:right w:val="single" w:sz="4" w:space="0" w:color="auto"/>
            </w:tcBorders>
            <w:shd w:val="clear" w:color="auto" w:fill="C6EFCE"/>
            <w:noWrap/>
          </w:tcPr>
          <w:p w14:paraId="44075A35" w14:textId="77777777" w:rsidR="00E11D77" w:rsidRPr="009674F2" w:rsidRDefault="00E11D77" w:rsidP="00E11D77">
            <w:pPr>
              <w:spacing w:after="0" w:line="240" w:lineRule="auto"/>
              <w:jc w:val="both"/>
              <w:rPr>
                <w:rFonts w:ascii="Times New Roman" w:hAnsi="Times New Roman" w:cs="Times New Roman"/>
                <w:noProof/>
                <w:color w:val="006100"/>
              </w:rPr>
            </w:pPr>
            <w:r>
              <w:rPr>
                <w:rFonts w:ascii="Times New Roman" w:hAnsi="Times New Roman"/>
                <w:noProof/>
                <w:color w:val="006100"/>
              </w:rPr>
              <w:t xml:space="preserve">Създаване на Национален интердисциплинарен център за скрининг </w:t>
            </w:r>
          </w:p>
        </w:tc>
      </w:tr>
      <w:tr w:rsidR="00E11D77" w:rsidRPr="005241FC" w14:paraId="1A6F64F9" w14:textId="77777777" w:rsidTr="267FDB55">
        <w:trPr>
          <w:trHeight w:val="302"/>
          <w:jc w:val="center"/>
        </w:trPr>
        <w:tc>
          <w:tcPr>
            <w:tcW w:w="1292" w:type="dxa"/>
            <w:tcBorders>
              <w:top w:val="nil"/>
              <w:left w:val="single" w:sz="4" w:space="0" w:color="auto"/>
              <w:bottom w:val="single" w:sz="4" w:space="0" w:color="auto"/>
              <w:right w:val="single" w:sz="4" w:space="0" w:color="auto"/>
            </w:tcBorders>
            <w:shd w:val="clear" w:color="auto" w:fill="C6EFCE"/>
            <w:noWrap/>
          </w:tcPr>
          <w:p w14:paraId="29BC6007" w14:textId="77777777" w:rsidR="00E11D77" w:rsidRPr="009674F2" w:rsidRDefault="00E11D77" w:rsidP="00E11D77">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325</w:t>
            </w:r>
          </w:p>
        </w:tc>
        <w:tc>
          <w:tcPr>
            <w:tcW w:w="3969" w:type="dxa"/>
            <w:tcBorders>
              <w:top w:val="nil"/>
              <w:left w:val="nil"/>
              <w:bottom w:val="single" w:sz="4" w:space="0" w:color="auto"/>
              <w:right w:val="single" w:sz="4" w:space="0" w:color="auto"/>
            </w:tcBorders>
            <w:shd w:val="clear" w:color="auto" w:fill="C6EFCE"/>
            <w:noWrap/>
          </w:tcPr>
          <w:p w14:paraId="3ABCB23A" w14:textId="77777777" w:rsidR="00E11D77" w:rsidRPr="009674F2" w:rsidRDefault="00E11D77" w:rsidP="00E11D77">
            <w:pPr>
              <w:spacing w:after="0"/>
              <w:jc w:val="both"/>
              <w:rPr>
                <w:rFonts w:ascii="Times New Roman" w:hAnsi="Times New Roman" w:cs="Times New Roman"/>
                <w:noProof/>
                <w:color w:val="006100"/>
              </w:rPr>
            </w:pPr>
            <w:r>
              <w:rPr>
                <w:rFonts w:ascii="Times New Roman" w:hAnsi="Times New Roman"/>
                <w:noProof/>
                <w:color w:val="006100"/>
              </w:rPr>
              <w:t>C12R3 Повишаване на привлекателността на здравните професии и насърчаване на по-балансираното разпределение на здравните специалисти на територията на страната</w:t>
            </w:r>
          </w:p>
        </w:tc>
        <w:tc>
          <w:tcPr>
            <w:tcW w:w="1559" w:type="dxa"/>
            <w:tcBorders>
              <w:top w:val="nil"/>
              <w:left w:val="nil"/>
              <w:bottom w:val="single" w:sz="4" w:space="0" w:color="auto"/>
              <w:right w:val="single" w:sz="4" w:space="0" w:color="auto"/>
            </w:tcBorders>
            <w:shd w:val="clear" w:color="auto" w:fill="C6EFCE"/>
            <w:noWrap/>
          </w:tcPr>
          <w:p w14:paraId="740E320F" w14:textId="77777777" w:rsidR="00E11D77" w:rsidRPr="009674F2" w:rsidRDefault="00E11D77" w:rsidP="00E11D77">
            <w:pPr>
              <w:spacing w:after="0" w:line="240" w:lineRule="auto"/>
              <w:jc w:val="center"/>
              <w:rPr>
                <w:rFonts w:ascii="Times New Roman" w:hAnsi="Times New Roman" w:cs="Times New Roman"/>
                <w:noProof/>
                <w:color w:val="006100"/>
              </w:rPr>
            </w:pPr>
            <w:r>
              <w:rPr>
                <w:rFonts w:ascii="Times New Roman" w:hAnsi="Times New Roman"/>
                <w:noProof/>
                <w:color w:val="006100"/>
              </w:rPr>
              <w:t>Цел</w:t>
            </w:r>
          </w:p>
        </w:tc>
        <w:tc>
          <w:tcPr>
            <w:tcW w:w="3418" w:type="dxa"/>
            <w:tcBorders>
              <w:top w:val="nil"/>
              <w:left w:val="nil"/>
              <w:bottom w:val="single" w:sz="4" w:space="0" w:color="auto"/>
              <w:right w:val="single" w:sz="4" w:space="0" w:color="auto"/>
            </w:tcBorders>
            <w:shd w:val="clear" w:color="auto" w:fill="C6EFCE"/>
            <w:noWrap/>
          </w:tcPr>
          <w:p w14:paraId="5FA3653B" w14:textId="77777777" w:rsidR="00E11D77" w:rsidRPr="009674F2" w:rsidRDefault="00E11D77" w:rsidP="00E11D77">
            <w:pPr>
              <w:spacing w:after="0" w:line="240" w:lineRule="auto"/>
              <w:jc w:val="both"/>
              <w:rPr>
                <w:rFonts w:ascii="Times New Roman" w:hAnsi="Times New Roman" w:cs="Times New Roman"/>
                <w:noProof/>
                <w:color w:val="006100"/>
              </w:rPr>
            </w:pPr>
            <w:r>
              <w:rPr>
                <w:rFonts w:ascii="Times New Roman" w:hAnsi="Times New Roman"/>
                <w:noProof/>
                <w:color w:val="006100"/>
              </w:rPr>
              <w:t xml:space="preserve">Брой места за специализации за медицински сестри в университети </w:t>
            </w:r>
          </w:p>
        </w:tc>
      </w:tr>
      <w:tr w:rsidR="00E11D77" w:rsidRPr="005241FC" w14:paraId="629AC070" w14:textId="77777777" w:rsidTr="267FDB55">
        <w:trPr>
          <w:trHeight w:val="302"/>
          <w:jc w:val="center"/>
        </w:trPr>
        <w:tc>
          <w:tcPr>
            <w:tcW w:w="1292" w:type="dxa"/>
            <w:tcBorders>
              <w:top w:val="nil"/>
              <w:left w:val="single" w:sz="4" w:space="0" w:color="auto"/>
              <w:bottom w:val="single" w:sz="4" w:space="0" w:color="auto"/>
              <w:right w:val="single" w:sz="4" w:space="0" w:color="auto"/>
            </w:tcBorders>
            <w:shd w:val="clear" w:color="auto" w:fill="C6EFCE"/>
            <w:noWrap/>
          </w:tcPr>
          <w:p w14:paraId="3E816472" w14:textId="77777777" w:rsidR="00E11D77" w:rsidRPr="009674F2" w:rsidRDefault="00E11D77" w:rsidP="00E11D77">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340</w:t>
            </w:r>
          </w:p>
        </w:tc>
        <w:tc>
          <w:tcPr>
            <w:tcW w:w="3969" w:type="dxa"/>
            <w:tcBorders>
              <w:top w:val="nil"/>
              <w:left w:val="nil"/>
              <w:bottom w:val="single" w:sz="4" w:space="0" w:color="auto"/>
              <w:right w:val="single" w:sz="4" w:space="0" w:color="auto"/>
            </w:tcBorders>
            <w:shd w:val="clear" w:color="auto" w:fill="C6EFCE"/>
            <w:noWrap/>
          </w:tcPr>
          <w:p w14:paraId="04F747E7" w14:textId="77777777" w:rsidR="00E11D77" w:rsidRPr="009674F2" w:rsidRDefault="00E11D77" w:rsidP="00E11D77">
            <w:pPr>
              <w:spacing w:after="0"/>
              <w:jc w:val="both"/>
              <w:rPr>
                <w:rFonts w:ascii="Times New Roman" w:hAnsi="Times New Roman" w:cs="Times New Roman"/>
                <w:noProof/>
                <w:color w:val="006100"/>
              </w:rPr>
            </w:pPr>
            <w:r>
              <w:rPr>
                <w:rFonts w:ascii="Times New Roman" w:hAnsi="Times New Roman"/>
                <w:noProof/>
                <w:color w:val="006100"/>
              </w:rPr>
              <w:t>C12I5 Национална цифрова платформа за медицинска диагностика</w:t>
            </w:r>
          </w:p>
        </w:tc>
        <w:tc>
          <w:tcPr>
            <w:tcW w:w="1559" w:type="dxa"/>
            <w:tcBorders>
              <w:top w:val="nil"/>
              <w:left w:val="nil"/>
              <w:bottom w:val="single" w:sz="4" w:space="0" w:color="auto"/>
              <w:right w:val="single" w:sz="4" w:space="0" w:color="auto"/>
            </w:tcBorders>
            <w:shd w:val="clear" w:color="auto" w:fill="C6EFCE"/>
            <w:noWrap/>
          </w:tcPr>
          <w:p w14:paraId="1D8E1E45" w14:textId="77777777" w:rsidR="00E11D77" w:rsidRPr="009674F2" w:rsidRDefault="00E11D77" w:rsidP="00E11D77">
            <w:pPr>
              <w:spacing w:after="0" w:line="240" w:lineRule="auto"/>
              <w:jc w:val="center"/>
              <w:rPr>
                <w:rFonts w:ascii="Times New Roman" w:hAnsi="Times New Roman" w:cs="Times New Roman"/>
                <w:noProof/>
                <w:color w:val="006100"/>
              </w:rPr>
            </w:pPr>
            <w:r>
              <w:rPr>
                <w:rFonts w:ascii="Times New Roman" w:hAnsi="Times New Roman"/>
                <w:noProof/>
                <w:color w:val="006100"/>
              </w:rPr>
              <w:t>Цел</w:t>
            </w:r>
          </w:p>
        </w:tc>
        <w:tc>
          <w:tcPr>
            <w:tcW w:w="3418" w:type="dxa"/>
            <w:tcBorders>
              <w:top w:val="nil"/>
              <w:left w:val="nil"/>
              <w:bottom w:val="single" w:sz="4" w:space="0" w:color="auto"/>
              <w:right w:val="single" w:sz="4" w:space="0" w:color="auto"/>
            </w:tcBorders>
            <w:shd w:val="clear" w:color="auto" w:fill="C6EFCE"/>
            <w:noWrap/>
          </w:tcPr>
          <w:p w14:paraId="702BFD21" w14:textId="77777777" w:rsidR="00E11D77" w:rsidRPr="009674F2" w:rsidRDefault="00E11D77" w:rsidP="00E11D77">
            <w:pPr>
              <w:spacing w:after="0" w:line="240" w:lineRule="auto"/>
              <w:jc w:val="both"/>
              <w:rPr>
                <w:rFonts w:ascii="Times New Roman" w:hAnsi="Times New Roman" w:cs="Times New Roman"/>
                <w:noProof/>
                <w:color w:val="006100"/>
              </w:rPr>
            </w:pPr>
            <w:r>
              <w:rPr>
                <w:rFonts w:ascii="Times New Roman" w:hAnsi="Times New Roman"/>
                <w:noProof/>
                <w:color w:val="006100"/>
              </w:rPr>
              <w:t>Здравни заведения, внедряващи Националната цифрова платформа за медицинска диагностика</w:t>
            </w:r>
          </w:p>
        </w:tc>
      </w:tr>
      <w:tr w:rsidR="00E11D77" w:rsidRPr="00F41C75" w14:paraId="62A53E81" w14:textId="77777777" w:rsidTr="267FDB55">
        <w:trPr>
          <w:trHeight w:val="302"/>
          <w:jc w:val="center"/>
        </w:trPr>
        <w:tc>
          <w:tcPr>
            <w:tcW w:w="1292" w:type="dxa"/>
            <w:tcBorders>
              <w:top w:val="single" w:sz="4" w:space="0" w:color="auto"/>
              <w:left w:val="single" w:sz="4" w:space="0" w:color="auto"/>
              <w:bottom w:val="single" w:sz="4" w:space="0" w:color="auto"/>
              <w:right w:val="single" w:sz="4" w:space="0" w:color="auto"/>
            </w:tcBorders>
            <w:shd w:val="clear" w:color="auto" w:fill="C6EFCE"/>
            <w:noWrap/>
          </w:tcPr>
          <w:p w14:paraId="65D586CA" w14:textId="77777777" w:rsidR="00E11D77" w:rsidRPr="008A0F8A" w:rsidRDefault="00E11D77" w:rsidP="00E11D77">
            <w:pPr>
              <w:spacing w:after="0" w:line="240" w:lineRule="auto"/>
              <w:jc w:val="center"/>
              <w:rPr>
                <w:rFonts w:ascii="Times New Roman" w:eastAsia="Times New Roman" w:hAnsi="Times New Roman" w:cs="Times New Roman"/>
                <w:noProof/>
                <w:color w:val="006100"/>
                <w:lang w:val="ru-RU" w:eastAsia="en-GB"/>
              </w:rPr>
            </w:pPr>
          </w:p>
        </w:tc>
        <w:tc>
          <w:tcPr>
            <w:tcW w:w="3969" w:type="dxa"/>
            <w:tcBorders>
              <w:top w:val="single" w:sz="4" w:space="0" w:color="auto"/>
              <w:left w:val="nil"/>
              <w:bottom w:val="single" w:sz="4" w:space="0" w:color="auto"/>
              <w:right w:val="single" w:sz="4" w:space="0" w:color="auto"/>
            </w:tcBorders>
            <w:shd w:val="clear" w:color="auto" w:fill="C6EFCE"/>
            <w:noWrap/>
            <w:vAlign w:val="bottom"/>
          </w:tcPr>
          <w:p w14:paraId="4BA0E81F" w14:textId="77777777" w:rsidR="00E11D77" w:rsidRPr="008A0F8A" w:rsidRDefault="00E11D77" w:rsidP="00E11D77">
            <w:pPr>
              <w:spacing w:after="0" w:line="240" w:lineRule="auto"/>
              <w:jc w:val="both"/>
              <w:rPr>
                <w:rFonts w:ascii="Times New Roman" w:eastAsia="Times New Roman" w:hAnsi="Times New Roman" w:cs="Times New Roman"/>
                <w:noProof/>
                <w:color w:val="006100"/>
                <w:lang w:val="ru-RU" w:eastAsia="en-GB"/>
              </w:rPr>
            </w:pPr>
          </w:p>
        </w:tc>
        <w:tc>
          <w:tcPr>
            <w:tcW w:w="1559" w:type="dxa"/>
            <w:tcBorders>
              <w:top w:val="single" w:sz="4" w:space="0" w:color="auto"/>
              <w:left w:val="nil"/>
              <w:bottom w:val="single" w:sz="4" w:space="0" w:color="auto"/>
              <w:right w:val="single" w:sz="4" w:space="0" w:color="auto"/>
            </w:tcBorders>
            <w:shd w:val="clear" w:color="auto" w:fill="C6EFCE"/>
            <w:noWrap/>
            <w:vAlign w:val="bottom"/>
          </w:tcPr>
          <w:p w14:paraId="76F5C6F3" w14:textId="77777777" w:rsidR="00E11D77" w:rsidRPr="009674F2" w:rsidRDefault="00E11D77" w:rsidP="00E11D77">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Размер на вноската</w:t>
            </w:r>
          </w:p>
        </w:tc>
        <w:tc>
          <w:tcPr>
            <w:tcW w:w="3418" w:type="dxa"/>
            <w:tcBorders>
              <w:top w:val="single" w:sz="4" w:space="0" w:color="auto"/>
              <w:left w:val="nil"/>
              <w:bottom w:val="single" w:sz="4" w:space="0" w:color="auto"/>
              <w:right w:val="single" w:sz="4" w:space="0" w:color="auto"/>
            </w:tcBorders>
            <w:shd w:val="clear" w:color="auto" w:fill="C6EFCE"/>
            <w:noWrap/>
            <w:vAlign w:val="bottom"/>
          </w:tcPr>
          <w:p w14:paraId="4DDE4260" w14:textId="74B995E6" w:rsidR="00E11D77" w:rsidRPr="00E77A93" w:rsidRDefault="00E11D77" w:rsidP="00E11D77">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 xml:space="preserve">567 389 106 EUR </w:t>
            </w:r>
          </w:p>
        </w:tc>
      </w:tr>
    </w:tbl>
    <w:p w14:paraId="6FAE6F2A" w14:textId="77777777" w:rsidR="00D21D80" w:rsidRDefault="00D21D80" w:rsidP="2146F73B">
      <w:pPr>
        <w:spacing w:before="120" w:after="120" w:line="240" w:lineRule="auto"/>
        <w:ind w:left="850"/>
        <w:jc w:val="both"/>
        <w:rPr>
          <w:rFonts w:ascii="Times New Roman" w:eastAsia="Calibri" w:hAnsi="Times New Roman" w:cs="Times New Roman"/>
          <w:noProof/>
          <w:sz w:val="24"/>
          <w:szCs w:val="24"/>
          <w:lang w:val="en-GB"/>
        </w:rPr>
      </w:pPr>
    </w:p>
    <w:p w14:paraId="326B73FA" w14:textId="77777777" w:rsidR="00FD0DD8" w:rsidRDefault="00FD0DD8" w:rsidP="2146F73B">
      <w:pPr>
        <w:spacing w:before="120" w:after="120" w:line="240" w:lineRule="auto"/>
        <w:ind w:left="850"/>
        <w:jc w:val="both"/>
        <w:rPr>
          <w:rFonts w:ascii="Times New Roman" w:eastAsia="Calibri" w:hAnsi="Times New Roman" w:cs="Times New Roman"/>
          <w:noProof/>
          <w:sz w:val="24"/>
          <w:szCs w:val="24"/>
          <w:lang w:val="en-GB"/>
        </w:rPr>
      </w:pPr>
    </w:p>
    <w:p w14:paraId="6BCDB4D0" w14:textId="77777777" w:rsidR="00FD0DD8" w:rsidRDefault="00FD0DD8" w:rsidP="2146F73B">
      <w:pPr>
        <w:spacing w:before="120" w:after="120" w:line="240" w:lineRule="auto"/>
        <w:ind w:left="850"/>
        <w:jc w:val="both"/>
        <w:rPr>
          <w:rFonts w:ascii="Times New Roman" w:eastAsia="Calibri" w:hAnsi="Times New Roman" w:cs="Times New Roman"/>
          <w:noProof/>
          <w:sz w:val="24"/>
          <w:szCs w:val="24"/>
          <w:lang w:val="en-GB"/>
        </w:rPr>
      </w:pPr>
    </w:p>
    <w:p w14:paraId="092349B2" w14:textId="77777777" w:rsidR="00FD0DD8" w:rsidRDefault="00FD0DD8" w:rsidP="2146F73B">
      <w:pPr>
        <w:spacing w:before="120" w:after="120" w:line="240" w:lineRule="auto"/>
        <w:ind w:left="850"/>
        <w:jc w:val="both"/>
        <w:rPr>
          <w:rFonts w:ascii="Times New Roman" w:eastAsia="Calibri" w:hAnsi="Times New Roman" w:cs="Times New Roman"/>
          <w:noProof/>
          <w:sz w:val="24"/>
          <w:szCs w:val="24"/>
          <w:lang w:val="en-GB"/>
        </w:rPr>
      </w:pPr>
    </w:p>
    <w:p w14:paraId="24D79231" w14:textId="77777777" w:rsidR="00FD0DD8" w:rsidRDefault="00FD0DD8" w:rsidP="2146F73B">
      <w:pPr>
        <w:spacing w:before="120" w:after="120" w:line="240" w:lineRule="auto"/>
        <w:ind w:left="850"/>
        <w:jc w:val="both"/>
        <w:rPr>
          <w:rFonts w:ascii="Times New Roman" w:eastAsia="Calibri" w:hAnsi="Times New Roman" w:cs="Times New Roman"/>
          <w:noProof/>
          <w:sz w:val="24"/>
          <w:szCs w:val="24"/>
          <w:lang w:val="en-GB"/>
        </w:rPr>
      </w:pPr>
    </w:p>
    <w:p w14:paraId="0F089F6C" w14:textId="372E3BCC" w:rsidR="00FD0DD8" w:rsidRDefault="00FD0DD8">
      <w:pPr>
        <w:rPr>
          <w:rFonts w:ascii="Times New Roman" w:eastAsia="Calibri" w:hAnsi="Times New Roman" w:cs="Times New Roman"/>
          <w:noProof/>
          <w:sz w:val="24"/>
          <w:szCs w:val="24"/>
        </w:rPr>
      </w:pPr>
      <w:r>
        <w:rPr>
          <w:noProof/>
        </w:rPr>
        <w:br w:type="page"/>
      </w:r>
    </w:p>
    <w:p w14:paraId="1F0EE116" w14:textId="0576D7CF" w:rsidR="006E5C60" w:rsidRPr="00457A6A" w:rsidRDefault="006E5C60" w:rsidP="006E5C60">
      <w:pPr>
        <w:spacing w:after="200" w:line="276" w:lineRule="auto"/>
        <w:rPr>
          <w:rFonts w:ascii="Times New Roman" w:eastAsia="Calibri" w:hAnsi="Times New Roman" w:cs="Times New Roman"/>
          <w:b/>
          <w:noProof/>
          <w:sz w:val="24"/>
        </w:rPr>
      </w:pPr>
      <w:r>
        <w:rPr>
          <w:rFonts w:ascii="Times New Roman" w:hAnsi="Times New Roman"/>
          <w:b/>
          <w:noProof/>
          <w:sz w:val="24"/>
        </w:rPr>
        <w:t xml:space="preserve">РАЗДЕЛ 3: ДОПЪЛНИТЕЛНИ АДМИНИСТРАТИВНИ МЕХАНИЗМИ </w:t>
      </w:r>
    </w:p>
    <w:p w14:paraId="27358E12" w14:textId="4907E62C" w:rsidR="006E5C60" w:rsidRPr="009674F2" w:rsidRDefault="006E5C60" w:rsidP="006E5C60">
      <w:pPr>
        <w:pStyle w:val="NumPar1"/>
        <w:numPr>
          <w:ilvl w:val="0"/>
          <w:numId w:val="95"/>
        </w:numPr>
        <w:rPr>
          <w:rFonts w:eastAsia="Calibri"/>
          <w:b/>
          <w:bCs/>
          <w:smallCaps/>
          <w:noProof/>
          <w:szCs w:val="24"/>
        </w:rPr>
      </w:pPr>
      <w:r>
        <w:rPr>
          <w:b/>
          <w:smallCaps/>
          <w:noProof/>
        </w:rPr>
        <w:t>Административни механизми за мониторинг и изпълнение на плана за възстановяване и устойчивост</w:t>
      </w:r>
    </w:p>
    <w:p w14:paraId="0DF8B4BE" w14:textId="77777777" w:rsidR="006E5C60" w:rsidRPr="00933B2D" w:rsidRDefault="006E5C60" w:rsidP="006E5C60">
      <w:pPr>
        <w:spacing w:before="120" w:after="120" w:line="240" w:lineRule="auto"/>
        <w:ind w:left="360"/>
        <w:jc w:val="both"/>
        <w:rPr>
          <w:rFonts w:ascii="Times New Roman" w:eastAsia="Calibri" w:hAnsi="Times New Roman" w:cs="Times New Roman"/>
          <w:noProof/>
          <w:sz w:val="24"/>
        </w:rPr>
      </w:pPr>
      <w:r>
        <w:rPr>
          <w:rFonts w:ascii="Times New Roman" w:hAnsi="Times New Roman"/>
          <w:noProof/>
          <w:sz w:val="24"/>
        </w:rPr>
        <w:t xml:space="preserve">Мониторингът и изпълнението на плана за възстановяване и устойчивост на България се извършват в съответствие със следните административни механизми: </w:t>
      </w:r>
    </w:p>
    <w:p w14:paraId="38E0BF4C" w14:textId="77777777" w:rsidR="00876C22" w:rsidRPr="00876C22" w:rsidRDefault="00876C22" w:rsidP="00876C22">
      <w:pPr>
        <w:pStyle w:val="ListParagraph"/>
        <w:numPr>
          <w:ilvl w:val="0"/>
          <w:numId w:val="105"/>
        </w:numPr>
        <w:spacing w:before="120" w:after="120" w:line="240" w:lineRule="auto"/>
        <w:jc w:val="both"/>
        <w:rPr>
          <w:rFonts w:ascii="Times New Roman" w:eastAsia="Times New Roman" w:hAnsi="Times New Roman" w:cs="Times New Roman"/>
          <w:noProof/>
          <w:sz w:val="24"/>
          <w:szCs w:val="24"/>
        </w:rPr>
      </w:pPr>
      <w:r>
        <w:rPr>
          <w:rFonts w:ascii="Times New Roman" w:hAnsi="Times New Roman"/>
          <w:i/>
          <w:noProof/>
          <w:sz w:val="24"/>
        </w:rPr>
        <w:t>Дирекция „Национален фонд“</w:t>
      </w:r>
      <w:r>
        <w:rPr>
          <w:rFonts w:ascii="Times New Roman" w:hAnsi="Times New Roman"/>
          <w:noProof/>
          <w:sz w:val="24"/>
        </w:rPr>
        <w:t xml:space="preserve"> към Министерството на финансите събира и докладва данни за напредъка и действа като орган, отговорен за изготвянето и подаването на искания за плащане и получаването на плащания от ЕК. Дирекцията действа като орган за връзка на национално равнище по отношение на изготвянето на общи правила и процедури за изпълнение на Механизма, за извършване на проверки и контрол на изпълнението на инвестициите и реформите, включително активен мониторинг на напредъка в изпълнението на мерките въз основа на ключовите етапи и целите, определени в плана за възстановяване и устойчивост.</w:t>
      </w:r>
    </w:p>
    <w:p w14:paraId="2117A2C6" w14:textId="77777777" w:rsidR="00876C22" w:rsidRPr="00876C22" w:rsidRDefault="00876C22" w:rsidP="00876C22">
      <w:pPr>
        <w:pStyle w:val="ListParagraph"/>
        <w:numPr>
          <w:ilvl w:val="0"/>
          <w:numId w:val="105"/>
        </w:numPr>
        <w:spacing w:before="120" w:after="120" w:line="240" w:lineRule="auto"/>
        <w:jc w:val="both"/>
        <w:rPr>
          <w:rFonts w:ascii="Times New Roman" w:eastAsia="Times New Roman" w:hAnsi="Times New Roman" w:cs="Times New Roman"/>
          <w:noProof/>
          <w:sz w:val="24"/>
          <w:szCs w:val="24"/>
        </w:rPr>
      </w:pPr>
      <w:r>
        <w:rPr>
          <w:rFonts w:ascii="Times New Roman" w:hAnsi="Times New Roman"/>
          <w:i/>
          <w:noProof/>
          <w:sz w:val="24"/>
        </w:rPr>
        <w:t>Дирекция „Икономическа и финансова политика“</w:t>
      </w:r>
      <w:r>
        <w:rPr>
          <w:rFonts w:ascii="Times New Roman" w:hAnsi="Times New Roman"/>
          <w:noProof/>
          <w:sz w:val="24"/>
        </w:rPr>
        <w:t xml:space="preserve"> към Министерството на финансите отговаря за докладването на напредъка в изпълнението на ключовите етапи и целите на ПВУ в рамките на цикъла на европейския семестър.</w:t>
      </w:r>
    </w:p>
    <w:p w14:paraId="22CC4971" w14:textId="6F1FF284" w:rsidR="00876C22" w:rsidRPr="00876C22" w:rsidRDefault="00876C22" w:rsidP="00876C22">
      <w:pPr>
        <w:pStyle w:val="ListParagraph"/>
        <w:numPr>
          <w:ilvl w:val="0"/>
          <w:numId w:val="105"/>
        </w:numPr>
        <w:spacing w:before="120" w:after="120" w:line="240" w:lineRule="auto"/>
        <w:jc w:val="both"/>
        <w:rPr>
          <w:rFonts w:ascii="Times New Roman" w:eastAsia="Times New Roman" w:hAnsi="Times New Roman" w:cs="Times New Roman"/>
          <w:noProof/>
          <w:sz w:val="24"/>
          <w:szCs w:val="24"/>
        </w:rPr>
      </w:pPr>
      <w:r>
        <w:rPr>
          <w:rFonts w:ascii="Times New Roman" w:hAnsi="Times New Roman"/>
          <w:i/>
          <w:noProof/>
          <w:sz w:val="24"/>
        </w:rPr>
        <w:t>Дирекция „Централно координационно звено“</w:t>
      </w:r>
      <w:r>
        <w:rPr>
          <w:rFonts w:ascii="Times New Roman" w:hAnsi="Times New Roman"/>
          <w:noProof/>
          <w:sz w:val="24"/>
        </w:rPr>
        <w:t xml:space="preserve"> отговаря за разработването на плана, програмните документи, включително разпределението на средствата по Механизма и изготвянето на стратегическа рамка за информационни и комуникационни дейности във връзка с изпълнението на плана. Дирекцията отговаря за мониторинга на изпълнението на ключовите етапи и целите на плана, включително напредъка по общите показатели, приноса на инвестициите за екологичния и цифровия преход и др. Дирекцията отговаря и за изграждането на информационната система с всички функции, необходими за мониторинга на изпълнението на българския план за възстановяване и устойчивост, както и за по-нататъшната модернизация на Единната информационна система за управление. </w:t>
      </w:r>
    </w:p>
    <w:p w14:paraId="122A40C8" w14:textId="77777777" w:rsidR="00876C22" w:rsidRPr="00876C22" w:rsidRDefault="00876C22" w:rsidP="00876C22">
      <w:pPr>
        <w:pStyle w:val="ListParagraph"/>
        <w:numPr>
          <w:ilvl w:val="0"/>
          <w:numId w:val="105"/>
        </w:numPr>
        <w:spacing w:before="120" w:after="120" w:line="240" w:lineRule="auto"/>
        <w:jc w:val="both"/>
        <w:rPr>
          <w:rFonts w:ascii="Times New Roman" w:eastAsia="Times New Roman" w:hAnsi="Times New Roman" w:cs="Times New Roman"/>
          <w:noProof/>
          <w:sz w:val="24"/>
          <w:szCs w:val="24"/>
        </w:rPr>
      </w:pPr>
      <w:r>
        <w:rPr>
          <w:rFonts w:ascii="Times New Roman" w:hAnsi="Times New Roman"/>
          <w:i/>
          <w:noProof/>
          <w:sz w:val="24"/>
        </w:rPr>
        <w:t>Изпълнителна агенция „Одит на средствата от ЕС“</w:t>
      </w:r>
      <w:r>
        <w:rPr>
          <w:rFonts w:ascii="Times New Roman" w:hAnsi="Times New Roman"/>
          <w:noProof/>
          <w:sz w:val="24"/>
        </w:rPr>
        <w:t xml:space="preserve"> към министъра на финансите извършва одитната дейност по Механизма, за да осигури увереност относно надеждността на данните за изпълнението на ключовите етапи и целите и на начина, по който те се събират, както и увереност, че изпълнението гарантира предотвратяването на двойно финансиране, измами, корупция и конфликт на интереси и спазването на принципа на добро финансово управление.</w:t>
      </w:r>
    </w:p>
    <w:p w14:paraId="64FB2356" w14:textId="0041C92E" w:rsidR="006E5C60" w:rsidRPr="009674F2" w:rsidRDefault="006E5C60" w:rsidP="006E16A2">
      <w:pPr>
        <w:pStyle w:val="NumPar1"/>
        <w:pageBreakBefore/>
        <w:numPr>
          <w:ilvl w:val="0"/>
          <w:numId w:val="95"/>
        </w:numPr>
        <w:ind w:left="851" w:hanging="851"/>
        <w:rPr>
          <w:rFonts w:eastAsia="Calibri"/>
          <w:b/>
          <w:bCs/>
          <w:smallCaps/>
          <w:noProof/>
          <w:szCs w:val="24"/>
        </w:rPr>
      </w:pPr>
      <w:r>
        <w:rPr>
          <w:b/>
          <w:smallCaps/>
          <w:noProof/>
        </w:rPr>
        <w:t>Административни механизми за предоставяне на пълен достъп на Комисията до основните данни</w:t>
      </w:r>
    </w:p>
    <w:p w14:paraId="76CF874E" w14:textId="77777777" w:rsidR="006E5C60" w:rsidRPr="006E5C60" w:rsidRDefault="006E5C60" w:rsidP="006E5C60">
      <w:pPr>
        <w:pStyle w:val="Text1"/>
        <w:rPr>
          <w:noProof/>
        </w:rPr>
      </w:pPr>
    </w:p>
    <w:p w14:paraId="1187973A" w14:textId="77777777" w:rsidR="006E5C60" w:rsidRPr="00457A6A" w:rsidRDefault="006E5C60" w:rsidP="006E5C60">
      <w:pPr>
        <w:spacing w:before="120" w:after="120" w:line="240" w:lineRule="auto"/>
        <w:ind w:left="708"/>
        <w:jc w:val="both"/>
        <w:rPr>
          <w:rFonts w:ascii="Times New Roman" w:eastAsia="Calibri" w:hAnsi="Times New Roman" w:cs="Times New Roman"/>
          <w:noProof/>
          <w:sz w:val="24"/>
        </w:rPr>
      </w:pPr>
      <w:r>
        <w:rPr>
          <w:rFonts w:ascii="Times New Roman" w:hAnsi="Times New Roman"/>
          <w:noProof/>
          <w:sz w:val="24"/>
        </w:rPr>
        <w:t>За да предостави пълен достъп на Комисията до съответните основни данни, България трябва да разполага със следните административни механизми:</w:t>
      </w:r>
    </w:p>
    <w:p w14:paraId="19C13EA6" w14:textId="2645BF62" w:rsidR="006E5C60" w:rsidRDefault="006E5C60" w:rsidP="006E5C60">
      <w:pPr>
        <w:ind w:left="708"/>
        <w:jc w:val="both"/>
        <w:rPr>
          <w:rFonts w:ascii="Times New Roman" w:eastAsia="Calibri" w:hAnsi="Times New Roman" w:cs="Times New Roman"/>
          <w:noProof/>
          <w:sz w:val="24"/>
        </w:rPr>
      </w:pPr>
      <w:r>
        <w:rPr>
          <w:rFonts w:ascii="Times New Roman" w:hAnsi="Times New Roman"/>
          <w:noProof/>
          <w:sz w:val="24"/>
        </w:rPr>
        <w:t xml:space="preserve">Събирането на данни за напредъка при изпълнението на ключовите етапи и целите, както и изготвянето на свързаните с това доклади се извършват от </w:t>
      </w:r>
      <w:r>
        <w:rPr>
          <w:rFonts w:ascii="Times New Roman" w:hAnsi="Times New Roman"/>
          <w:i/>
          <w:noProof/>
          <w:sz w:val="24"/>
        </w:rPr>
        <w:t>дирекция „Национален фонд“</w:t>
      </w:r>
      <w:r>
        <w:rPr>
          <w:rFonts w:ascii="Times New Roman" w:hAnsi="Times New Roman"/>
          <w:noProof/>
          <w:sz w:val="24"/>
        </w:rPr>
        <w:t xml:space="preserve">. Българските органи използват информационната система за мониторинг на изпълнението на плана за възстановяване и устойчивост (адаптация на Единната информационна система за управление, използвана за структурните фондове на ЕС) като следните елементи се попълват в системата от крайните получатели: </w:t>
      </w:r>
    </w:p>
    <w:p w14:paraId="258D3116" w14:textId="77777777" w:rsidR="006E5C60" w:rsidRPr="00CB1FB8" w:rsidRDefault="006E5C60" w:rsidP="00CA6C19">
      <w:pPr>
        <w:pStyle w:val="ListParagraph"/>
        <w:numPr>
          <w:ilvl w:val="0"/>
          <w:numId w:val="97"/>
        </w:numPr>
        <w:ind w:left="1097"/>
        <w:jc w:val="both"/>
        <w:rPr>
          <w:rFonts w:ascii="Times New Roman" w:eastAsia="Calibri" w:hAnsi="Times New Roman" w:cs="Times New Roman"/>
          <w:noProof/>
          <w:sz w:val="24"/>
        </w:rPr>
      </w:pPr>
      <w:r>
        <w:rPr>
          <w:rFonts w:ascii="Times New Roman" w:hAnsi="Times New Roman"/>
          <w:noProof/>
          <w:sz w:val="24"/>
        </w:rPr>
        <w:t>договори, сключени с изпълнители;</w:t>
      </w:r>
    </w:p>
    <w:p w14:paraId="34A0D71C" w14:textId="77777777" w:rsidR="006E5C60" w:rsidRPr="00CB1FB8" w:rsidRDefault="006E5C60" w:rsidP="00CA6C19">
      <w:pPr>
        <w:pStyle w:val="ListParagraph"/>
        <w:numPr>
          <w:ilvl w:val="0"/>
          <w:numId w:val="97"/>
        </w:numPr>
        <w:ind w:left="1097"/>
        <w:jc w:val="both"/>
        <w:rPr>
          <w:rFonts w:ascii="Times New Roman" w:eastAsia="Calibri" w:hAnsi="Times New Roman" w:cs="Times New Roman"/>
          <w:noProof/>
          <w:sz w:val="24"/>
        </w:rPr>
      </w:pPr>
      <w:r>
        <w:rPr>
          <w:rFonts w:ascii="Times New Roman" w:hAnsi="Times New Roman"/>
          <w:noProof/>
          <w:sz w:val="24"/>
        </w:rPr>
        <w:t>разходооправдателна и платежна документация;</w:t>
      </w:r>
    </w:p>
    <w:p w14:paraId="196916E7" w14:textId="77777777" w:rsidR="006E5C60" w:rsidRPr="00CB1FB8" w:rsidRDefault="006E5C60" w:rsidP="00CA6C19">
      <w:pPr>
        <w:pStyle w:val="ListParagraph"/>
        <w:numPr>
          <w:ilvl w:val="0"/>
          <w:numId w:val="97"/>
        </w:numPr>
        <w:ind w:left="1097"/>
        <w:jc w:val="both"/>
        <w:rPr>
          <w:rFonts w:ascii="Times New Roman" w:eastAsia="Calibri" w:hAnsi="Times New Roman" w:cs="Times New Roman"/>
          <w:noProof/>
          <w:sz w:val="24"/>
        </w:rPr>
      </w:pPr>
      <w:r>
        <w:rPr>
          <w:rFonts w:ascii="Times New Roman" w:hAnsi="Times New Roman"/>
          <w:noProof/>
          <w:sz w:val="24"/>
        </w:rPr>
        <w:t xml:space="preserve">документация, удостоверяваща изпълнение, като свидетелства или актове; </w:t>
      </w:r>
    </w:p>
    <w:p w14:paraId="6FA06B90" w14:textId="77777777" w:rsidR="006E5C60" w:rsidRPr="00CB1FB8" w:rsidRDefault="006E5C60" w:rsidP="00CA6C19">
      <w:pPr>
        <w:pStyle w:val="ListParagraph"/>
        <w:numPr>
          <w:ilvl w:val="0"/>
          <w:numId w:val="97"/>
        </w:numPr>
        <w:ind w:left="1097"/>
        <w:jc w:val="both"/>
        <w:rPr>
          <w:rFonts w:ascii="Times New Roman" w:eastAsia="Calibri" w:hAnsi="Times New Roman" w:cs="Times New Roman"/>
          <w:noProof/>
          <w:sz w:val="24"/>
        </w:rPr>
      </w:pPr>
      <w:r>
        <w:rPr>
          <w:rFonts w:ascii="Times New Roman" w:hAnsi="Times New Roman"/>
          <w:noProof/>
          <w:sz w:val="24"/>
        </w:rPr>
        <w:t>прогнози за плащанията;</w:t>
      </w:r>
    </w:p>
    <w:p w14:paraId="784B76BC" w14:textId="77777777" w:rsidR="006E5C60" w:rsidRPr="00CB1FB8" w:rsidRDefault="006E5C60" w:rsidP="00CA6C19">
      <w:pPr>
        <w:pStyle w:val="ListParagraph"/>
        <w:numPr>
          <w:ilvl w:val="0"/>
          <w:numId w:val="97"/>
        </w:numPr>
        <w:ind w:left="1097"/>
        <w:jc w:val="both"/>
        <w:rPr>
          <w:rFonts w:ascii="Times New Roman" w:eastAsia="Calibri" w:hAnsi="Times New Roman" w:cs="Times New Roman"/>
          <w:noProof/>
          <w:sz w:val="24"/>
        </w:rPr>
      </w:pPr>
      <w:r>
        <w:rPr>
          <w:rFonts w:ascii="Times New Roman" w:hAnsi="Times New Roman"/>
          <w:noProof/>
          <w:sz w:val="24"/>
        </w:rPr>
        <w:t>документация, удостоверяваща, че ключовите етапи и целите са изпълнени.</w:t>
      </w:r>
    </w:p>
    <w:p w14:paraId="0216FB38" w14:textId="28003397" w:rsidR="006E5C60" w:rsidRDefault="006E5C60" w:rsidP="006E5C60">
      <w:pPr>
        <w:ind w:left="360"/>
        <w:jc w:val="both"/>
        <w:rPr>
          <w:rFonts w:ascii="Times New Roman" w:hAnsi="Times New Roman" w:cs="Times New Roman"/>
          <w:noProof/>
          <w:sz w:val="24"/>
          <w:szCs w:val="24"/>
        </w:rPr>
      </w:pPr>
      <w:r>
        <w:rPr>
          <w:rFonts w:ascii="Times New Roman" w:hAnsi="Times New Roman"/>
          <w:noProof/>
          <w:sz w:val="24"/>
        </w:rPr>
        <w:t xml:space="preserve">Крайните получатели са отговорни за това да съхраняват документация, включително статистически и други данни за финансирането, както и записи и документи в електронен формат, до пет години от датата на окончателното плащане. Всеки краен получател отговаря за събирането и въвеждането в системата от регистри на данните, изброени в член 22, параграф 2, буква г), подточки i) — iii) от Регламент (ЕО) № 2021/241. Съхранението на изискваната информация се осигурява в системата от регистри, а администраторът на системата предоставя достъп до нея за целите на контрола и одита, при спазване на разпоредбите на приложимото законодателство относно защитата на личните данни. </w:t>
      </w:r>
    </w:p>
    <w:p w14:paraId="46B03CA1" w14:textId="77777777" w:rsidR="006E5C60" w:rsidRPr="00E94D19" w:rsidRDefault="006E5C60" w:rsidP="006E5C60">
      <w:pPr>
        <w:ind w:left="360"/>
        <w:jc w:val="both"/>
        <w:rPr>
          <w:rFonts w:ascii="Times New Roman" w:hAnsi="Times New Roman" w:cs="Times New Roman"/>
          <w:noProof/>
          <w:sz w:val="24"/>
          <w:szCs w:val="24"/>
        </w:rPr>
      </w:pPr>
      <w:r>
        <w:rPr>
          <w:rFonts w:ascii="Times New Roman" w:hAnsi="Times New Roman"/>
          <w:noProof/>
          <w:sz w:val="24"/>
        </w:rPr>
        <w:t>В съответствие с член 24, параграф 2 от Регламент (ЕС) 2021/241 след окончателното изпълнение на съответните договорени ключови етапи и на целите в раздел 2 от настоящото приложение България ще представи на Комисията надлежно обосновано искане за плащане на финансовото участие. България гарантира, че при поискване Комисията ще разполага с пълен достъп до съответните основни данни, които подкрепят надлежната обосновка на искането за плащане както за целите на оценката на искането за плащане в съответствие с член 24, параграф 3 от Регламент (ЕС) 2021/241, така и за целите на одита и контрола.</w:t>
      </w:r>
    </w:p>
    <w:sectPr w:rsidR="006E5C60" w:rsidRPr="00E94D19" w:rsidSect="00B60432">
      <w:headerReference w:type="even" r:id="rId168"/>
      <w:headerReference w:type="default" r:id="rId169"/>
      <w:footerReference w:type="even" r:id="rId170"/>
      <w:footerReference w:type="default" r:id="rId171"/>
      <w:headerReference w:type="first" r:id="rId172"/>
      <w:footerReference w:type="first" r:id="rId173"/>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88D1E4" w14:textId="77777777" w:rsidR="00376DBD" w:rsidRDefault="00376DBD" w:rsidP="00EB5DD9">
      <w:pPr>
        <w:spacing w:after="0" w:line="240" w:lineRule="auto"/>
      </w:pPr>
      <w:r>
        <w:separator/>
      </w:r>
    </w:p>
  </w:endnote>
  <w:endnote w:type="continuationSeparator" w:id="0">
    <w:p w14:paraId="02E8FFB8" w14:textId="77777777" w:rsidR="00376DBD" w:rsidRDefault="00376DBD" w:rsidP="00EB5DD9">
      <w:pPr>
        <w:spacing w:after="0" w:line="240" w:lineRule="auto"/>
      </w:pPr>
      <w:r>
        <w:continuationSeparator/>
      </w:r>
    </w:p>
  </w:endnote>
  <w:endnote w:type="continuationNotice" w:id="1">
    <w:p w14:paraId="00D34628" w14:textId="77777777" w:rsidR="00376DBD" w:rsidRDefault="00376D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Times New Roman&quot;,serif">
    <w:altName w:val="Times New Roman"/>
    <w:panose1 w:val="00000000000000000000"/>
    <w:charset w:val="00"/>
    <w:family w:val="roman"/>
    <w:notTrueType/>
    <w:pitch w:val="default"/>
  </w:font>
  <w:font w:name="&quot;Calibri&quot;,sans-serif">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2B15A" w14:textId="46D850B6" w:rsidR="009F1A9D" w:rsidRPr="007376BA" w:rsidRDefault="009F1A9D" w:rsidP="007376B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8B6C9" w14:textId="77777777" w:rsidR="00373389" w:rsidRDefault="0037338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2525865"/>
      <w:docPartObj>
        <w:docPartGallery w:val="Page Numbers (Bottom of Page)"/>
        <w:docPartUnique/>
      </w:docPartObj>
    </w:sdtPr>
    <w:sdtEndPr>
      <w:rPr>
        <w:rFonts w:ascii="Times New Roman" w:hAnsi="Times New Roman" w:cs="Times New Roman"/>
        <w:noProof/>
        <w:sz w:val="24"/>
        <w:szCs w:val="24"/>
      </w:rPr>
    </w:sdtEndPr>
    <w:sdtContent>
      <w:p w14:paraId="03C7D077" w14:textId="5C46919E" w:rsidR="00A10680" w:rsidRPr="00A10680" w:rsidRDefault="00A10680">
        <w:pPr>
          <w:pStyle w:val="Footer"/>
          <w:jc w:val="center"/>
          <w:rPr>
            <w:rFonts w:ascii="Times New Roman" w:hAnsi="Times New Roman" w:cs="Times New Roman"/>
            <w:sz w:val="24"/>
            <w:szCs w:val="24"/>
          </w:rPr>
        </w:pPr>
        <w:r w:rsidRPr="00A10680">
          <w:rPr>
            <w:rFonts w:ascii="Times New Roman" w:hAnsi="Times New Roman" w:cs="Times New Roman"/>
            <w:sz w:val="24"/>
          </w:rPr>
          <w:fldChar w:fldCharType="begin"/>
        </w:r>
        <w:r w:rsidRPr="00A10680">
          <w:rPr>
            <w:rFonts w:ascii="Times New Roman" w:hAnsi="Times New Roman" w:cs="Times New Roman"/>
            <w:sz w:val="24"/>
          </w:rPr>
          <w:instrText xml:space="preserve"> PAGE   \* MERGEFORMAT </w:instrText>
        </w:r>
        <w:r w:rsidRPr="00A10680">
          <w:rPr>
            <w:rFonts w:ascii="Times New Roman" w:hAnsi="Times New Roman" w:cs="Times New Roman"/>
            <w:sz w:val="24"/>
          </w:rPr>
          <w:fldChar w:fldCharType="separate"/>
        </w:r>
        <w:r w:rsidRPr="00A10680">
          <w:rPr>
            <w:rFonts w:ascii="Times New Roman" w:hAnsi="Times New Roman" w:cs="Times New Roman"/>
            <w:sz w:val="24"/>
          </w:rPr>
          <w:t>2</w:t>
        </w:r>
        <w:r w:rsidRPr="00A10680">
          <w:rPr>
            <w:rFonts w:ascii="Times New Roman" w:hAnsi="Times New Roman" w:cs="Times New Roman"/>
            <w:sz w:val="24"/>
          </w:rPr>
          <w:fldChar w:fldCharType="end"/>
        </w:r>
      </w:p>
    </w:sdtContent>
  </w:sdt>
  <w:p w14:paraId="161B73A3" w14:textId="77777777" w:rsidR="00373389" w:rsidRPr="00256A2B" w:rsidRDefault="00373389" w:rsidP="00B60432">
    <w:pPr>
      <w:pStyle w:val="FooterCouncil"/>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8165E" w14:textId="77777777" w:rsidR="00373389" w:rsidRPr="00A06563" w:rsidRDefault="00373389" w:rsidP="003B792C">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42453" w14:textId="77777777" w:rsidR="00373389" w:rsidRDefault="00373389">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4453055"/>
      <w:docPartObj>
        <w:docPartGallery w:val="Page Numbers (Bottom of Page)"/>
        <w:docPartUnique/>
      </w:docPartObj>
    </w:sdtPr>
    <w:sdtEndPr>
      <w:rPr>
        <w:rFonts w:ascii="Times New Roman" w:hAnsi="Times New Roman" w:cs="Times New Roman"/>
        <w:noProof/>
        <w:sz w:val="24"/>
        <w:szCs w:val="24"/>
      </w:rPr>
    </w:sdtEndPr>
    <w:sdtContent>
      <w:p w14:paraId="04C707EB" w14:textId="11B1B34D" w:rsidR="00A10680" w:rsidRPr="00A10680" w:rsidRDefault="00A10680">
        <w:pPr>
          <w:pStyle w:val="Footer"/>
          <w:jc w:val="center"/>
          <w:rPr>
            <w:rFonts w:ascii="Times New Roman" w:hAnsi="Times New Roman" w:cs="Times New Roman"/>
            <w:sz w:val="24"/>
            <w:szCs w:val="24"/>
          </w:rPr>
        </w:pPr>
        <w:r w:rsidRPr="00A10680">
          <w:rPr>
            <w:rFonts w:ascii="Times New Roman" w:hAnsi="Times New Roman" w:cs="Times New Roman"/>
            <w:sz w:val="24"/>
          </w:rPr>
          <w:fldChar w:fldCharType="begin"/>
        </w:r>
        <w:r w:rsidRPr="00A10680">
          <w:rPr>
            <w:rFonts w:ascii="Times New Roman" w:hAnsi="Times New Roman" w:cs="Times New Roman"/>
            <w:sz w:val="24"/>
          </w:rPr>
          <w:instrText xml:space="preserve"> PAGE   \* MERGEFORMAT </w:instrText>
        </w:r>
        <w:r w:rsidRPr="00A10680">
          <w:rPr>
            <w:rFonts w:ascii="Times New Roman" w:hAnsi="Times New Roman" w:cs="Times New Roman"/>
            <w:sz w:val="24"/>
          </w:rPr>
          <w:fldChar w:fldCharType="separate"/>
        </w:r>
        <w:r w:rsidRPr="00A10680">
          <w:rPr>
            <w:rFonts w:ascii="Times New Roman" w:hAnsi="Times New Roman" w:cs="Times New Roman"/>
            <w:sz w:val="24"/>
          </w:rPr>
          <w:t>2</w:t>
        </w:r>
        <w:r w:rsidRPr="00A10680">
          <w:rPr>
            <w:rFonts w:ascii="Times New Roman" w:hAnsi="Times New Roman" w:cs="Times New Roman"/>
            <w:sz w:val="24"/>
          </w:rPr>
          <w:fldChar w:fldCharType="end"/>
        </w:r>
      </w:p>
    </w:sdtContent>
  </w:sdt>
  <w:p w14:paraId="5D167616" w14:textId="77777777" w:rsidR="00373389" w:rsidRPr="00256A2B" w:rsidRDefault="00373389" w:rsidP="00B60432">
    <w:pPr>
      <w:pStyle w:val="FooterCouncil"/>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D26A0" w14:textId="77777777" w:rsidR="00373389" w:rsidRPr="00A06563" w:rsidRDefault="00373389" w:rsidP="003B792C">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BDBEC" w14:textId="77777777" w:rsidR="00373389" w:rsidRDefault="00373389">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256885"/>
      <w:docPartObj>
        <w:docPartGallery w:val="Page Numbers (Bottom of Page)"/>
        <w:docPartUnique/>
      </w:docPartObj>
    </w:sdtPr>
    <w:sdtEndPr>
      <w:rPr>
        <w:noProof/>
      </w:rPr>
    </w:sdtEndPr>
    <w:sdtContent>
      <w:p w14:paraId="7E53A77A" w14:textId="42C77BBB" w:rsidR="00A10680" w:rsidRDefault="00A10680">
        <w:pPr>
          <w:pStyle w:val="Footer"/>
          <w:jc w:val="center"/>
        </w:pPr>
        <w:r w:rsidRPr="00A10680">
          <w:rPr>
            <w:rFonts w:ascii="Times New Roman" w:hAnsi="Times New Roman" w:cs="Times New Roman"/>
            <w:sz w:val="24"/>
          </w:rPr>
          <w:fldChar w:fldCharType="begin"/>
        </w:r>
        <w:r w:rsidRPr="00A10680">
          <w:rPr>
            <w:rFonts w:ascii="Times New Roman" w:hAnsi="Times New Roman" w:cs="Times New Roman"/>
            <w:sz w:val="24"/>
          </w:rPr>
          <w:instrText xml:space="preserve"> PAGE   \* MERGEFORMAT </w:instrText>
        </w:r>
        <w:r w:rsidRPr="00A10680">
          <w:rPr>
            <w:rFonts w:ascii="Times New Roman" w:hAnsi="Times New Roman" w:cs="Times New Roman"/>
            <w:sz w:val="24"/>
          </w:rPr>
          <w:fldChar w:fldCharType="separate"/>
        </w:r>
        <w:r w:rsidRPr="00A10680">
          <w:rPr>
            <w:rFonts w:ascii="Times New Roman" w:hAnsi="Times New Roman" w:cs="Times New Roman"/>
            <w:sz w:val="24"/>
          </w:rPr>
          <w:t>2</w:t>
        </w:r>
        <w:r w:rsidRPr="00A10680">
          <w:rPr>
            <w:rFonts w:ascii="Times New Roman" w:hAnsi="Times New Roman" w:cs="Times New Roman"/>
            <w:sz w:val="24"/>
          </w:rPr>
          <w:fldChar w:fldCharType="end"/>
        </w:r>
      </w:p>
    </w:sdtContent>
  </w:sdt>
  <w:p w14:paraId="2B04B63C" w14:textId="77777777" w:rsidR="00373389" w:rsidRPr="00256A2B" w:rsidRDefault="00373389" w:rsidP="00B60432">
    <w:pPr>
      <w:pStyle w:val="FooterCouncil"/>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9ACD8" w14:textId="77777777" w:rsidR="00373389" w:rsidRPr="00A06563" w:rsidRDefault="00373389" w:rsidP="003B792C">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6140C" w14:textId="77777777" w:rsidR="00373389" w:rsidRDefault="003733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BEA91" w14:textId="5A7CBCA3" w:rsidR="009F1A9D" w:rsidRPr="007376BA" w:rsidRDefault="007376BA" w:rsidP="007376BA">
    <w:pPr>
      <w:pStyle w:val="FooterCoverPage"/>
      <w:rPr>
        <w:rFonts w:ascii="Arial" w:hAnsi="Arial" w:cs="Arial"/>
        <w:b/>
        <w:sz w:val="48"/>
      </w:rPr>
    </w:pPr>
    <w:r w:rsidRPr="007376BA">
      <w:rPr>
        <w:rFonts w:ascii="Arial" w:hAnsi="Arial" w:cs="Arial"/>
        <w:b/>
        <w:sz w:val="48"/>
      </w:rPr>
      <w:t>BG</w:t>
    </w:r>
    <w:r w:rsidRPr="007376BA">
      <w:rPr>
        <w:rFonts w:ascii="Arial" w:hAnsi="Arial" w:cs="Arial"/>
        <w:b/>
        <w:sz w:val="48"/>
      </w:rPr>
      <w:tab/>
    </w:r>
    <w:r w:rsidRPr="007376BA">
      <w:rPr>
        <w:rFonts w:ascii="Arial" w:hAnsi="Arial" w:cs="Arial"/>
        <w:b/>
        <w:sz w:val="48"/>
      </w:rPr>
      <w:tab/>
    </w:r>
    <w:r w:rsidRPr="007376BA">
      <w:tab/>
    </w:r>
    <w:r w:rsidRPr="007376BA">
      <w:rPr>
        <w:rFonts w:ascii="Arial" w:hAnsi="Arial" w:cs="Arial"/>
        <w:b/>
        <w:sz w:val="48"/>
      </w:rPr>
      <w:t>BG</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908782"/>
      <w:docPartObj>
        <w:docPartGallery w:val="Page Numbers (Bottom of Page)"/>
        <w:docPartUnique/>
      </w:docPartObj>
    </w:sdtPr>
    <w:sdtEndPr>
      <w:rPr>
        <w:rFonts w:ascii="Times New Roman" w:hAnsi="Times New Roman" w:cs="Times New Roman"/>
        <w:noProof/>
        <w:sz w:val="24"/>
        <w:szCs w:val="24"/>
      </w:rPr>
    </w:sdtEndPr>
    <w:sdtContent>
      <w:p w14:paraId="78C19306" w14:textId="5C4C7EEC" w:rsidR="00A10680" w:rsidRPr="00A10680" w:rsidRDefault="00A10680">
        <w:pPr>
          <w:pStyle w:val="Footer"/>
          <w:jc w:val="center"/>
          <w:rPr>
            <w:rFonts w:ascii="Times New Roman" w:hAnsi="Times New Roman" w:cs="Times New Roman"/>
            <w:sz w:val="24"/>
            <w:szCs w:val="24"/>
          </w:rPr>
        </w:pPr>
        <w:r w:rsidRPr="00A10680">
          <w:rPr>
            <w:rFonts w:ascii="Times New Roman" w:hAnsi="Times New Roman" w:cs="Times New Roman"/>
            <w:sz w:val="24"/>
          </w:rPr>
          <w:fldChar w:fldCharType="begin"/>
        </w:r>
        <w:r w:rsidRPr="00A10680">
          <w:rPr>
            <w:rFonts w:ascii="Times New Roman" w:hAnsi="Times New Roman" w:cs="Times New Roman"/>
            <w:sz w:val="24"/>
          </w:rPr>
          <w:instrText xml:space="preserve"> PAGE   \* MERGEFORMAT </w:instrText>
        </w:r>
        <w:r w:rsidRPr="00A10680">
          <w:rPr>
            <w:rFonts w:ascii="Times New Roman" w:hAnsi="Times New Roman" w:cs="Times New Roman"/>
            <w:sz w:val="24"/>
          </w:rPr>
          <w:fldChar w:fldCharType="separate"/>
        </w:r>
        <w:r w:rsidRPr="00A10680">
          <w:rPr>
            <w:rFonts w:ascii="Times New Roman" w:hAnsi="Times New Roman" w:cs="Times New Roman"/>
            <w:sz w:val="24"/>
          </w:rPr>
          <w:t>2</w:t>
        </w:r>
        <w:r w:rsidRPr="00A10680">
          <w:rPr>
            <w:rFonts w:ascii="Times New Roman" w:hAnsi="Times New Roman" w:cs="Times New Roman"/>
            <w:sz w:val="24"/>
          </w:rPr>
          <w:fldChar w:fldCharType="end"/>
        </w:r>
      </w:p>
    </w:sdtContent>
  </w:sdt>
  <w:p w14:paraId="5F4E53B0" w14:textId="77777777" w:rsidR="00373389" w:rsidRPr="00256A2B" w:rsidRDefault="00373389" w:rsidP="00B60432">
    <w:pPr>
      <w:pStyle w:val="FooterCouncil"/>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75348" w14:textId="77777777" w:rsidR="00373389" w:rsidRPr="00A06563" w:rsidRDefault="00373389" w:rsidP="003B792C">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158A4" w14:textId="77777777" w:rsidR="00373389" w:rsidRDefault="00373389">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4146913"/>
      <w:docPartObj>
        <w:docPartGallery w:val="Page Numbers (Bottom of Page)"/>
        <w:docPartUnique/>
      </w:docPartObj>
    </w:sdtPr>
    <w:sdtEndPr>
      <w:rPr>
        <w:rFonts w:ascii="Times New Roman" w:hAnsi="Times New Roman" w:cs="Times New Roman"/>
        <w:noProof/>
        <w:sz w:val="24"/>
        <w:szCs w:val="24"/>
      </w:rPr>
    </w:sdtEndPr>
    <w:sdtContent>
      <w:p w14:paraId="2D543BDB" w14:textId="1F4B1D7D" w:rsidR="00A10680" w:rsidRPr="00A10680" w:rsidRDefault="00A10680">
        <w:pPr>
          <w:pStyle w:val="Footer"/>
          <w:jc w:val="center"/>
          <w:rPr>
            <w:rFonts w:ascii="Times New Roman" w:hAnsi="Times New Roman" w:cs="Times New Roman"/>
            <w:sz w:val="24"/>
            <w:szCs w:val="24"/>
          </w:rPr>
        </w:pPr>
        <w:r w:rsidRPr="00A10680">
          <w:rPr>
            <w:rFonts w:ascii="Times New Roman" w:hAnsi="Times New Roman" w:cs="Times New Roman"/>
            <w:sz w:val="24"/>
          </w:rPr>
          <w:fldChar w:fldCharType="begin"/>
        </w:r>
        <w:r w:rsidRPr="00A10680">
          <w:rPr>
            <w:rFonts w:ascii="Times New Roman" w:hAnsi="Times New Roman" w:cs="Times New Roman"/>
            <w:sz w:val="24"/>
          </w:rPr>
          <w:instrText xml:space="preserve"> PAGE   \* MERGEFORMAT </w:instrText>
        </w:r>
        <w:r w:rsidRPr="00A10680">
          <w:rPr>
            <w:rFonts w:ascii="Times New Roman" w:hAnsi="Times New Roman" w:cs="Times New Roman"/>
            <w:sz w:val="24"/>
          </w:rPr>
          <w:fldChar w:fldCharType="separate"/>
        </w:r>
        <w:r w:rsidRPr="00A10680">
          <w:rPr>
            <w:rFonts w:ascii="Times New Roman" w:hAnsi="Times New Roman" w:cs="Times New Roman"/>
            <w:sz w:val="24"/>
          </w:rPr>
          <w:t>2</w:t>
        </w:r>
        <w:r w:rsidRPr="00A10680">
          <w:rPr>
            <w:rFonts w:ascii="Times New Roman" w:hAnsi="Times New Roman" w:cs="Times New Roman"/>
            <w:sz w:val="24"/>
          </w:rPr>
          <w:fldChar w:fldCharType="end"/>
        </w:r>
      </w:p>
    </w:sdtContent>
  </w:sdt>
  <w:p w14:paraId="41680014" w14:textId="77777777" w:rsidR="00373389" w:rsidRPr="00256A2B" w:rsidRDefault="00373389" w:rsidP="00B60432">
    <w:pPr>
      <w:pStyle w:val="FooterCouncil"/>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18E09" w14:textId="77777777" w:rsidR="00373389" w:rsidRPr="00A06563" w:rsidRDefault="00373389" w:rsidP="003B792C">
    <w:pPr>
      <w:pStyle w:val="Footer"/>
    </w:pPr>
  </w:p>
  <w:p w14:paraId="6339CD68" w14:textId="77777777" w:rsidR="00373389" w:rsidRDefault="00373389"/>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8EACC" w14:textId="77777777" w:rsidR="00373389" w:rsidRDefault="00373389">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1688107"/>
      <w:docPartObj>
        <w:docPartGallery w:val="Page Numbers (Bottom of Page)"/>
        <w:docPartUnique/>
      </w:docPartObj>
    </w:sdtPr>
    <w:sdtEndPr>
      <w:rPr>
        <w:noProof/>
      </w:rPr>
    </w:sdtEndPr>
    <w:sdtContent>
      <w:p w14:paraId="197AAB41" w14:textId="080841E2" w:rsidR="00A10680" w:rsidRDefault="00A10680">
        <w:pPr>
          <w:pStyle w:val="Footer"/>
          <w:jc w:val="center"/>
        </w:pPr>
        <w:r w:rsidRPr="00A10680">
          <w:rPr>
            <w:rFonts w:ascii="Times New Roman" w:hAnsi="Times New Roman" w:cs="Times New Roman"/>
            <w:sz w:val="24"/>
          </w:rPr>
          <w:fldChar w:fldCharType="begin"/>
        </w:r>
        <w:r w:rsidRPr="00A10680">
          <w:rPr>
            <w:rFonts w:ascii="Times New Roman" w:hAnsi="Times New Roman" w:cs="Times New Roman"/>
            <w:sz w:val="24"/>
          </w:rPr>
          <w:instrText xml:space="preserve"> PAGE   \* MERGEFORMAT </w:instrText>
        </w:r>
        <w:r w:rsidRPr="00A10680">
          <w:rPr>
            <w:rFonts w:ascii="Times New Roman" w:hAnsi="Times New Roman" w:cs="Times New Roman"/>
            <w:sz w:val="24"/>
          </w:rPr>
          <w:fldChar w:fldCharType="separate"/>
        </w:r>
        <w:r w:rsidRPr="00A10680">
          <w:rPr>
            <w:rFonts w:ascii="Times New Roman" w:hAnsi="Times New Roman" w:cs="Times New Roman"/>
            <w:sz w:val="24"/>
          </w:rPr>
          <w:t>2</w:t>
        </w:r>
        <w:r w:rsidRPr="00A10680">
          <w:rPr>
            <w:rFonts w:ascii="Times New Roman" w:hAnsi="Times New Roman" w:cs="Times New Roman"/>
            <w:sz w:val="24"/>
          </w:rPr>
          <w:fldChar w:fldCharType="end"/>
        </w:r>
      </w:p>
    </w:sdtContent>
  </w:sdt>
  <w:p w14:paraId="3966C4D6" w14:textId="77777777" w:rsidR="00373389" w:rsidRPr="00256A2B" w:rsidRDefault="00373389" w:rsidP="00B60432">
    <w:pPr>
      <w:pStyle w:val="FooterCouncil"/>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8B9A1" w14:textId="77777777" w:rsidR="00373389" w:rsidRPr="00A06563" w:rsidRDefault="00373389" w:rsidP="003B792C">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B3677" w14:textId="77777777" w:rsidR="00373389" w:rsidRDefault="00373389">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9892528"/>
      <w:docPartObj>
        <w:docPartGallery w:val="Page Numbers (Bottom of Page)"/>
        <w:docPartUnique/>
      </w:docPartObj>
    </w:sdtPr>
    <w:sdtEndPr>
      <w:rPr>
        <w:rFonts w:ascii="Times New Roman" w:hAnsi="Times New Roman" w:cs="Times New Roman"/>
        <w:noProof/>
        <w:sz w:val="24"/>
        <w:szCs w:val="24"/>
      </w:rPr>
    </w:sdtEndPr>
    <w:sdtContent>
      <w:p w14:paraId="3733C0EC" w14:textId="4B787D92" w:rsidR="00374E07" w:rsidRPr="00374E07" w:rsidRDefault="00374E07">
        <w:pPr>
          <w:pStyle w:val="Footer"/>
          <w:jc w:val="center"/>
          <w:rPr>
            <w:rFonts w:ascii="Times New Roman" w:hAnsi="Times New Roman" w:cs="Times New Roman"/>
            <w:sz w:val="24"/>
            <w:szCs w:val="24"/>
          </w:rPr>
        </w:pPr>
        <w:r w:rsidRPr="00374E07">
          <w:rPr>
            <w:rFonts w:ascii="Times New Roman" w:hAnsi="Times New Roman" w:cs="Times New Roman"/>
            <w:sz w:val="24"/>
          </w:rPr>
          <w:fldChar w:fldCharType="begin"/>
        </w:r>
        <w:r w:rsidRPr="00374E07">
          <w:rPr>
            <w:rFonts w:ascii="Times New Roman" w:hAnsi="Times New Roman" w:cs="Times New Roman"/>
            <w:sz w:val="24"/>
          </w:rPr>
          <w:instrText xml:space="preserve"> PAGE   \* MERGEFORMAT </w:instrText>
        </w:r>
        <w:r w:rsidRPr="00374E07">
          <w:rPr>
            <w:rFonts w:ascii="Times New Roman" w:hAnsi="Times New Roman" w:cs="Times New Roman"/>
            <w:sz w:val="24"/>
          </w:rPr>
          <w:fldChar w:fldCharType="separate"/>
        </w:r>
        <w:r w:rsidRPr="00374E07">
          <w:rPr>
            <w:rFonts w:ascii="Times New Roman" w:hAnsi="Times New Roman" w:cs="Times New Roman"/>
            <w:sz w:val="24"/>
          </w:rPr>
          <w:t>2</w:t>
        </w:r>
        <w:r w:rsidRPr="00374E07">
          <w:rPr>
            <w:rFonts w:ascii="Times New Roman" w:hAnsi="Times New Roman" w:cs="Times New Roman"/>
            <w:sz w:val="24"/>
          </w:rPr>
          <w:fldChar w:fldCharType="end"/>
        </w:r>
      </w:p>
    </w:sdtContent>
  </w:sdt>
  <w:p w14:paraId="15B0C809" w14:textId="77777777" w:rsidR="00373389" w:rsidRPr="00256A2B" w:rsidRDefault="00373389" w:rsidP="00B60432">
    <w:pPr>
      <w:pStyle w:val="FooterCouncil"/>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9A103" w14:textId="77777777" w:rsidR="007376BA" w:rsidRPr="007376BA" w:rsidRDefault="007376BA" w:rsidP="007376BA">
    <w:pPr>
      <w:pStyle w:val="FooterCoverPage"/>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402BE" w14:textId="77777777" w:rsidR="00373389" w:rsidRPr="00A06563" w:rsidRDefault="00373389" w:rsidP="003B792C">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BF838" w14:textId="77777777" w:rsidR="00373389" w:rsidRDefault="00373389">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1208225"/>
      <w:docPartObj>
        <w:docPartGallery w:val="Page Numbers (Bottom of Page)"/>
        <w:docPartUnique/>
      </w:docPartObj>
    </w:sdtPr>
    <w:sdtEndPr>
      <w:rPr>
        <w:rFonts w:ascii="Times New Roman" w:hAnsi="Times New Roman" w:cs="Times New Roman"/>
        <w:noProof/>
        <w:sz w:val="24"/>
        <w:szCs w:val="24"/>
      </w:rPr>
    </w:sdtEndPr>
    <w:sdtContent>
      <w:p w14:paraId="1090CA2D" w14:textId="0733A35C" w:rsidR="00374E07" w:rsidRPr="00374E07" w:rsidRDefault="00374E07">
        <w:pPr>
          <w:pStyle w:val="Footer"/>
          <w:jc w:val="center"/>
          <w:rPr>
            <w:rFonts w:ascii="Times New Roman" w:hAnsi="Times New Roman" w:cs="Times New Roman"/>
            <w:sz w:val="24"/>
            <w:szCs w:val="24"/>
          </w:rPr>
        </w:pPr>
        <w:r w:rsidRPr="00374E07">
          <w:rPr>
            <w:rFonts w:ascii="Times New Roman" w:hAnsi="Times New Roman" w:cs="Times New Roman"/>
            <w:sz w:val="24"/>
          </w:rPr>
          <w:fldChar w:fldCharType="begin"/>
        </w:r>
        <w:r w:rsidRPr="00374E07">
          <w:rPr>
            <w:rFonts w:ascii="Times New Roman" w:hAnsi="Times New Roman" w:cs="Times New Roman"/>
            <w:sz w:val="24"/>
          </w:rPr>
          <w:instrText xml:space="preserve"> PAGE   \* MERGEFORMAT </w:instrText>
        </w:r>
        <w:r w:rsidRPr="00374E07">
          <w:rPr>
            <w:rFonts w:ascii="Times New Roman" w:hAnsi="Times New Roman" w:cs="Times New Roman"/>
            <w:sz w:val="24"/>
          </w:rPr>
          <w:fldChar w:fldCharType="separate"/>
        </w:r>
        <w:r w:rsidRPr="00374E07">
          <w:rPr>
            <w:rFonts w:ascii="Times New Roman" w:hAnsi="Times New Roman" w:cs="Times New Roman"/>
            <w:sz w:val="24"/>
          </w:rPr>
          <w:t>2</w:t>
        </w:r>
        <w:r w:rsidRPr="00374E07">
          <w:rPr>
            <w:rFonts w:ascii="Times New Roman" w:hAnsi="Times New Roman" w:cs="Times New Roman"/>
            <w:sz w:val="24"/>
          </w:rPr>
          <w:fldChar w:fldCharType="end"/>
        </w:r>
      </w:p>
    </w:sdtContent>
  </w:sdt>
  <w:p w14:paraId="07C82ED5" w14:textId="77777777" w:rsidR="00373389" w:rsidRPr="00256A2B" w:rsidRDefault="00373389" w:rsidP="00B60432">
    <w:pPr>
      <w:pStyle w:val="FooterCouncil"/>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CE3DD" w14:textId="77777777" w:rsidR="00373389" w:rsidRPr="00A06563" w:rsidRDefault="00373389" w:rsidP="003B792C">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C4EBC" w14:textId="77777777" w:rsidR="00373389" w:rsidRDefault="00373389">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4682767"/>
      <w:docPartObj>
        <w:docPartGallery w:val="Page Numbers (Bottom of Page)"/>
        <w:docPartUnique/>
      </w:docPartObj>
    </w:sdtPr>
    <w:sdtEndPr>
      <w:rPr>
        <w:rFonts w:ascii="Times New Roman" w:hAnsi="Times New Roman" w:cs="Times New Roman"/>
        <w:noProof/>
        <w:sz w:val="24"/>
        <w:szCs w:val="24"/>
      </w:rPr>
    </w:sdtEndPr>
    <w:sdtContent>
      <w:p w14:paraId="11DD4CE6" w14:textId="2BC90057" w:rsidR="00374E07" w:rsidRPr="00374E07" w:rsidRDefault="00374E07">
        <w:pPr>
          <w:pStyle w:val="Footer"/>
          <w:jc w:val="center"/>
          <w:rPr>
            <w:rFonts w:ascii="Times New Roman" w:hAnsi="Times New Roman" w:cs="Times New Roman"/>
            <w:sz w:val="24"/>
            <w:szCs w:val="24"/>
          </w:rPr>
        </w:pPr>
        <w:r w:rsidRPr="00374E07">
          <w:rPr>
            <w:rFonts w:ascii="Times New Roman" w:hAnsi="Times New Roman" w:cs="Times New Roman"/>
            <w:sz w:val="24"/>
          </w:rPr>
          <w:fldChar w:fldCharType="begin"/>
        </w:r>
        <w:r w:rsidRPr="00374E07">
          <w:rPr>
            <w:rFonts w:ascii="Times New Roman" w:hAnsi="Times New Roman" w:cs="Times New Roman"/>
            <w:sz w:val="24"/>
          </w:rPr>
          <w:instrText xml:space="preserve"> PAGE   \* MERGEFORMAT </w:instrText>
        </w:r>
        <w:r w:rsidRPr="00374E07">
          <w:rPr>
            <w:rFonts w:ascii="Times New Roman" w:hAnsi="Times New Roman" w:cs="Times New Roman"/>
            <w:sz w:val="24"/>
          </w:rPr>
          <w:fldChar w:fldCharType="separate"/>
        </w:r>
        <w:r w:rsidRPr="00374E07">
          <w:rPr>
            <w:rFonts w:ascii="Times New Roman" w:hAnsi="Times New Roman" w:cs="Times New Roman"/>
            <w:sz w:val="24"/>
          </w:rPr>
          <w:t>2</w:t>
        </w:r>
        <w:r w:rsidRPr="00374E07">
          <w:rPr>
            <w:rFonts w:ascii="Times New Roman" w:hAnsi="Times New Roman" w:cs="Times New Roman"/>
            <w:sz w:val="24"/>
          </w:rPr>
          <w:fldChar w:fldCharType="end"/>
        </w:r>
      </w:p>
    </w:sdtContent>
  </w:sdt>
  <w:p w14:paraId="01DCA8A3" w14:textId="77777777" w:rsidR="00373389" w:rsidRPr="00256A2B" w:rsidRDefault="00373389" w:rsidP="00B60432">
    <w:pPr>
      <w:pStyle w:val="FooterCouncil"/>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86FDF" w14:textId="77777777" w:rsidR="00373389" w:rsidRPr="00A06563" w:rsidRDefault="00373389" w:rsidP="003B792C">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F9770" w14:textId="77777777" w:rsidR="00373389" w:rsidRDefault="00373389">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4001025"/>
      <w:docPartObj>
        <w:docPartGallery w:val="Page Numbers (Bottom of Page)"/>
        <w:docPartUnique/>
      </w:docPartObj>
    </w:sdtPr>
    <w:sdtEndPr>
      <w:rPr>
        <w:rFonts w:ascii="Times New Roman" w:hAnsi="Times New Roman" w:cs="Times New Roman"/>
        <w:noProof/>
        <w:sz w:val="24"/>
        <w:szCs w:val="24"/>
      </w:rPr>
    </w:sdtEndPr>
    <w:sdtContent>
      <w:p w14:paraId="453E9D83" w14:textId="0EA7BB3A" w:rsidR="00374E07" w:rsidRPr="00374E07" w:rsidRDefault="00374E07">
        <w:pPr>
          <w:pStyle w:val="Footer"/>
          <w:jc w:val="center"/>
          <w:rPr>
            <w:rFonts w:ascii="Times New Roman" w:hAnsi="Times New Roman" w:cs="Times New Roman"/>
            <w:sz w:val="24"/>
            <w:szCs w:val="24"/>
          </w:rPr>
        </w:pPr>
        <w:r w:rsidRPr="00374E07">
          <w:rPr>
            <w:rFonts w:ascii="Times New Roman" w:hAnsi="Times New Roman" w:cs="Times New Roman"/>
            <w:sz w:val="24"/>
          </w:rPr>
          <w:fldChar w:fldCharType="begin"/>
        </w:r>
        <w:r w:rsidRPr="00374E07">
          <w:rPr>
            <w:rFonts w:ascii="Times New Roman" w:hAnsi="Times New Roman" w:cs="Times New Roman"/>
            <w:sz w:val="24"/>
          </w:rPr>
          <w:instrText xml:space="preserve"> PAGE   \* MERGEFORMAT </w:instrText>
        </w:r>
        <w:r w:rsidRPr="00374E07">
          <w:rPr>
            <w:rFonts w:ascii="Times New Roman" w:hAnsi="Times New Roman" w:cs="Times New Roman"/>
            <w:sz w:val="24"/>
          </w:rPr>
          <w:fldChar w:fldCharType="separate"/>
        </w:r>
        <w:r w:rsidRPr="00374E07">
          <w:rPr>
            <w:rFonts w:ascii="Times New Roman" w:hAnsi="Times New Roman" w:cs="Times New Roman"/>
            <w:sz w:val="24"/>
          </w:rPr>
          <w:t>2</w:t>
        </w:r>
        <w:r w:rsidRPr="00374E07">
          <w:rPr>
            <w:rFonts w:ascii="Times New Roman" w:hAnsi="Times New Roman" w:cs="Times New Roman"/>
            <w:sz w:val="24"/>
          </w:rPr>
          <w:fldChar w:fldCharType="end"/>
        </w:r>
      </w:p>
    </w:sdtContent>
  </w:sdt>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CF104" w14:textId="77777777" w:rsidR="00373389" w:rsidRPr="00A06563" w:rsidRDefault="00373389" w:rsidP="003B792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36FF3" w14:textId="77777777" w:rsidR="00373389" w:rsidRDefault="00373389">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1E402" w14:textId="77777777" w:rsidR="00373389" w:rsidRDefault="00373389">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1936220"/>
      <w:docPartObj>
        <w:docPartGallery w:val="Page Numbers (Bottom of Page)"/>
        <w:docPartUnique/>
      </w:docPartObj>
    </w:sdtPr>
    <w:sdtEndPr>
      <w:rPr>
        <w:noProof/>
      </w:rPr>
    </w:sdtEndPr>
    <w:sdtContent>
      <w:p w14:paraId="15FAFCA3" w14:textId="66B43EE6" w:rsidR="00374E07" w:rsidRDefault="00374E07">
        <w:pPr>
          <w:pStyle w:val="Footer"/>
          <w:jc w:val="center"/>
        </w:pPr>
        <w:r w:rsidRPr="00374E07">
          <w:rPr>
            <w:rFonts w:ascii="Times New Roman" w:hAnsi="Times New Roman" w:cs="Times New Roman"/>
            <w:sz w:val="24"/>
          </w:rPr>
          <w:fldChar w:fldCharType="begin"/>
        </w:r>
        <w:r w:rsidRPr="00374E07">
          <w:rPr>
            <w:rFonts w:ascii="Times New Roman" w:hAnsi="Times New Roman" w:cs="Times New Roman"/>
            <w:sz w:val="24"/>
          </w:rPr>
          <w:instrText xml:space="preserve"> PAGE   \* MERGEFORMAT </w:instrText>
        </w:r>
        <w:r w:rsidRPr="00374E07">
          <w:rPr>
            <w:rFonts w:ascii="Times New Roman" w:hAnsi="Times New Roman" w:cs="Times New Roman"/>
            <w:sz w:val="24"/>
          </w:rPr>
          <w:fldChar w:fldCharType="separate"/>
        </w:r>
        <w:r w:rsidRPr="00374E07">
          <w:rPr>
            <w:rFonts w:ascii="Times New Roman" w:hAnsi="Times New Roman" w:cs="Times New Roman"/>
            <w:sz w:val="24"/>
          </w:rPr>
          <w:t>2</w:t>
        </w:r>
        <w:r w:rsidRPr="00374E07">
          <w:rPr>
            <w:rFonts w:ascii="Times New Roman" w:hAnsi="Times New Roman" w:cs="Times New Roman"/>
            <w:sz w:val="24"/>
          </w:rPr>
          <w:fldChar w:fldCharType="end"/>
        </w:r>
      </w:p>
    </w:sdtContent>
  </w:sdt>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C71C1" w14:textId="77777777" w:rsidR="00373389" w:rsidRPr="00A06563" w:rsidRDefault="00373389" w:rsidP="003B792C">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6FCAC" w14:textId="77777777" w:rsidR="00373389" w:rsidRDefault="00373389">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4160909"/>
      <w:docPartObj>
        <w:docPartGallery w:val="Page Numbers (Bottom of Page)"/>
        <w:docPartUnique/>
      </w:docPartObj>
    </w:sdtPr>
    <w:sdtEndPr>
      <w:rPr>
        <w:rFonts w:ascii="Times New Roman" w:hAnsi="Times New Roman" w:cs="Times New Roman"/>
        <w:noProof/>
        <w:sz w:val="24"/>
        <w:szCs w:val="24"/>
      </w:rPr>
    </w:sdtEndPr>
    <w:sdtContent>
      <w:p w14:paraId="17222C11" w14:textId="365F8C17" w:rsidR="00374E07" w:rsidRPr="00374E07" w:rsidRDefault="00374E07">
        <w:pPr>
          <w:pStyle w:val="Footer"/>
          <w:jc w:val="center"/>
          <w:rPr>
            <w:rFonts w:ascii="Times New Roman" w:hAnsi="Times New Roman" w:cs="Times New Roman"/>
            <w:sz w:val="24"/>
            <w:szCs w:val="24"/>
          </w:rPr>
        </w:pPr>
        <w:r w:rsidRPr="00374E07">
          <w:rPr>
            <w:rFonts w:ascii="Times New Roman" w:hAnsi="Times New Roman" w:cs="Times New Roman"/>
            <w:sz w:val="24"/>
          </w:rPr>
          <w:fldChar w:fldCharType="begin"/>
        </w:r>
        <w:r w:rsidRPr="00374E07">
          <w:rPr>
            <w:rFonts w:ascii="Times New Roman" w:hAnsi="Times New Roman" w:cs="Times New Roman"/>
            <w:sz w:val="24"/>
          </w:rPr>
          <w:instrText xml:space="preserve"> PAGE   \* MERGEFORMAT </w:instrText>
        </w:r>
        <w:r w:rsidRPr="00374E07">
          <w:rPr>
            <w:rFonts w:ascii="Times New Roman" w:hAnsi="Times New Roman" w:cs="Times New Roman"/>
            <w:sz w:val="24"/>
          </w:rPr>
          <w:fldChar w:fldCharType="separate"/>
        </w:r>
        <w:r w:rsidRPr="00374E07">
          <w:rPr>
            <w:rFonts w:ascii="Times New Roman" w:hAnsi="Times New Roman" w:cs="Times New Roman"/>
            <w:sz w:val="24"/>
          </w:rPr>
          <w:t>2</w:t>
        </w:r>
        <w:r w:rsidRPr="00374E07">
          <w:rPr>
            <w:rFonts w:ascii="Times New Roman" w:hAnsi="Times New Roman" w:cs="Times New Roman"/>
            <w:sz w:val="24"/>
          </w:rPr>
          <w:fldChar w:fldCharType="end"/>
        </w:r>
      </w:p>
    </w:sdtContent>
  </w:sdt>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FA7B1" w14:textId="77777777" w:rsidR="00373389" w:rsidRPr="00A06563" w:rsidRDefault="00373389" w:rsidP="003B792C">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7EE54" w14:textId="77777777" w:rsidR="00373389" w:rsidRDefault="00373389">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9487771"/>
      <w:docPartObj>
        <w:docPartGallery w:val="Page Numbers (Bottom of Page)"/>
        <w:docPartUnique/>
      </w:docPartObj>
    </w:sdtPr>
    <w:sdtEndPr>
      <w:rPr>
        <w:rFonts w:ascii="Times New Roman" w:hAnsi="Times New Roman" w:cs="Times New Roman"/>
        <w:sz w:val="24"/>
        <w:szCs w:val="24"/>
      </w:rPr>
    </w:sdtEndPr>
    <w:sdtContent>
      <w:p w14:paraId="2CE3BEB8" w14:textId="045F2147" w:rsidR="00373389" w:rsidRPr="00374E07" w:rsidRDefault="00373389">
        <w:pPr>
          <w:pStyle w:val="Footer"/>
          <w:jc w:val="center"/>
          <w:rPr>
            <w:rFonts w:ascii="Times New Roman" w:hAnsi="Times New Roman" w:cs="Times New Roman"/>
            <w:sz w:val="24"/>
            <w:szCs w:val="24"/>
          </w:rPr>
        </w:pPr>
        <w:r w:rsidRPr="00374E07">
          <w:rPr>
            <w:rFonts w:ascii="Times New Roman" w:hAnsi="Times New Roman" w:cs="Times New Roman"/>
            <w:sz w:val="24"/>
          </w:rPr>
          <w:fldChar w:fldCharType="begin"/>
        </w:r>
        <w:r w:rsidRPr="00374E07">
          <w:rPr>
            <w:rFonts w:ascii="Times New Roman" w:hAnsi="Times New Roman" w:cs="Times New Roman"/>
            <w:sz w:val="24"/>
          </w:rPr>
          <w:instrText xml:space="preserve"> PAGE   \* MERGEFORMAT </w:instrText>
        </w:r>
        <w:r w:rsidRPr="00374E07">
          <w:rPr>
            <w:rFonts w:ascii="Times New Roman" w:hAnsi="Times New Roman" w:cs="Times New Roman"/>
            <w:sz w:val="24"/>
          </w:rPr>
          <w:fldChar w:fldCharType="separate"/>
        </w:r>
        <w:r w:rsidR="00AD1213" w:rsidRPr="00374E07">
          <w:rPr>
            <w:rFonts w:ascii="Times New Roman" w:hAnsi="Times New Roman" w:cs="Times New Roman"/>
            <w:sz w:val="24"/>
          </w:rPr>
          <w:t>163</w:t>
        </w:r>
        <w:r w:rsidRPr="00374E07">
          <w:rPr>
            <w:rFonts w:ascii="Times New Roman" w:hAnsi="Times New Roman" w:cs="Times New Roman"/>
            <w:sz w:val="24"/>
          </w:rPr>
          <w:fldChar w:fldCharType="end"/>
        </w:r>
      </w:p>
    </w:sdtContent>
  </w:sdt>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0BABA" w14:textId="77777777" w:rsidR="00373389" w:rsidRDefault="00373389">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96344" w14:textId="77777777" w:rsidR="00373389" w:rsidRDefault="0037338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710714"/>
      <w:docPartObj>
        <w:docPartGallery w:val="Page Numbers (Bottom of Page)"/>
        <w:docPartUnique/>
      </w:docPartObj>
    </w:sdtPr>
    <w:sdtEndPr>
      <w:rPr>
        <w:rFonts w:ascii="Times New Roman" w:hAnsi="Times New Roman" w:cs="Times New Roman"/>
        <w:noProof/>
        <w:sz w:val="24"/>
        <w:szCs w:val="24"/>
      </w:rPr>
    </w:sdtEndPr>
    <w:sdtContent>
      <w:p w14:paraId="010BFB16" w14:textId="6674F68A" w:rsidR="00A10680" w:rsidRPr="00A10680" w:rsidRDefault="00A10680">
        <w:pPr>
          <w:pStyle w:val="Footer"/>
          <w:jc w:val="center"/>
          <w:rPr>
            <w:rFonts w:ascii="Times New Roman" w:hAnsi="Times New Roman" w:cs="Times New Roman"/>
            <w:sz w:val="24"/>
            <w:szCs w:val="24"/>
          </w:rPr>
        </w:pPr>
        <w:r w:rsidRPr="00A10680">
          <w:rPr>
            <w:rFonts w:ascii="Times New Roman" w:hAnsi="Times New Roman" w:cs="Times New Roman"/>
            <w:sz w:val="24"/>
          </w:rPr>
          <w:fldChar w:fldCharType="begin"/>
        </w:r>
        <w:r w:rsidRPr="00A10680">
          <w:rPr>
            <w:rFonts w:ascii="Times New Roman" w:hAnsi="Times New Roman" w:cs="Times New Roman"/>
            <w:sz w:val="24"/>
          </w:rPr>
          <w:instrText xml:space="preserve"> PAGE   \* MERGEFORMAT </w:instrText>
        </w:r>
        <w:r w:rsidRPr="00A10680">
          <w:rPr>
            <w:rFonts w:ascii="Times New Roman" w:hAnsi="Times New Roman" w:cs="Times New Roman"/>
            <w:sz w:val="24"/>
          </w:rPr>
          <w:fldChar w:fldCharType="separate"/>
        </w:r>
        <w:r w:rsidR="007376BA">
          <w:rPr>
            <w:rFonts w:ascii="Times New Roman" w:hAnsi="Times New Roman" w:cs="Times New Roman"/>
            <w:noProof/>
            <w:sz w:val="24"/>
          </w:rPr>
          <w:t>1</w:t>
        </w:r>
        <w:r w:rsidRPr="00A10680">
          <w:rPr>
            <w:rFonts w:ascii="Times New Roman" w:hAnsi="Times New Roman" w:cs="Times New Roman"/>
            <w:sz w:val="24"/>
          </w:rPr>
          <w:fldChar w:fldCharType="end"/>
        </w:r>
      </w:p>
    </w:sdtContent>
  </w:sdt>
  <w:p w14:paraId="069E7EF3" w14:textId="77777777" w:rsidR="00A10680" w:rsidRPr="00256A2B" w:rsidRDefault="00A10680" w:rsidP="00B60432">
    <w:pPr>
      <w:pStyle w:val="FooterCouncil"/>
    </w:pP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7209198"/>
      <w:docPartObj>
        <w:docPartGallery w:val="Page Numbers (Bottom of Page)"/>
        <w:docPartUnique/>
      </w:docPartObj>
    </w:sdtPr>
    <w:sdtEndPr>
      <w:rPr>
        <w:rFonts w:ascii="Times New Roman" w:hAnsi="Times New Roman" w:cs="Times New Roman"/>
        <w:sz w:val="24"/>
        <w:szCs w:val="24"/>
      </w:rPr>
    </w:sdtEndPr>
    <w:sdtContent>
      <w:p w14:paraId="642FA764" w14:textId="3E7719E8" w:rsidR="00373389" w:rsidRPr="00374E07" w:rsidRDefault="00373389">
        <w:pPr>
          <w:pStyle w:val="Footer"/>
          <w:jc w:val="center"/>
          <w:rPr>
            <w:rFonts w:ascii="Times New Roman" w:hAnsi="Times New Roman" w:cs="Times New Roman"/>
            <w:sz w:val="24"/>
            <w:szCs w:val="24"/>
          </w:rPr>
        </w:pPr>
        <w:r w:rsidRPr="00374E07">
          <w:rPr>
            <w:rFonts w:ascii="Times New Roman" w:hAnsi="Times New Roman" w:cs="Times New Roman"/>
            <w:sz w:val="24"/>
          </w:rPr>
          <w:fldChar w:fldCharType="begin"/>
        </w:r>
        <w:r w:rsidRPr="00374E07">
          <w:rPr>
            <w:rFonts w:ascii="Times New Roman" w:hAnsi="Times New Roman" w:cs="Times New Roman"/>
            <w:sz w:val="24"/>
          </w:rPr>
          <w:instrText xml:space="preserve"> PAGE   \* MERGEFORMAT </w:instrText>
        </w:r>
        <w:r w:rsidRPr="00374E07">
          <w:rPr>
            <w:rFonts w:ascii="Times New Roman" w:hAnsi="Times New Roman" w:cs="Times New Roman"/>
            <w:sz w:val="24"/>
          </w:rPr>
          <w:fldChar w:fldCharType="separate"/>
        </w:r>
        <w:r w:rsidR="00AD1213" w:rsidRPr="00374E07">
          <w:rPr>
            <w:rFonts w:ascii="Times New Roman" w:hAnsi="Times New Roman" w:cs="Times New Roman"/>
            <w:sz w:val="24"/>
          </w:rPr>
          <w:t>179</w:t>
        </w:r>
        <w:r w:rsidRPr="00374E07">
          <w:rPr>
            <w:rFonts w:ascii="Times New Roman" w:hAnsi="Times New Roman" w:cs="Times New Roman"/>
            <w:sz w:val="24"/>
          </w:rPr>
          <w:fldChar w:fldCharType="end"/>
        </w:r>
      </w:p>
    </w:sdtContent>
  </w:sdt>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D38E8" w14:textId="77777777" w:rsidR="00373389" w:rsidRPr="00A06563" w:rsidRDefault="00373389" w:rsidP="003B792C">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289B7" w14:textId="77777777" w:rsidR="00373389" w:rsidRDefault="00373389">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9257911"/>
      <w:docPartObj>
        <w:docPartGallery w:val="Page Numbers (Bottom of Page)"/>
        <w:docPartUnique/>
      </w:docPartObj>
    </w:sdtPr>
    <w:sdtEndPr>
      <w:rPr>
        <w:rFonts w:ascii="Times New Roman" w:hAnsi="Times New Roman" w:cs="Times New Roman"/>
        <w:noProof/>
        <w:sz w:val="24"/>
        <w:szCs w:val="24"/>
      </w:rPr>
    </w:sdtEndPr>
    <w:sdtContent>
      <w:p w14:paraId="62AFA404" w14:textId="2600C93E" w:rsidR="00373389" w:rsidRPr="00DE179D" w:rsidRDefault="00373389">
        <w:pPr>
          <w:pStyle w:val="Footer"/>
          <w:jc w:val="center"/>
          <w:rPr>
            <w:rFonts w:ascii="Times New Roman" w:hAnsi="Times New Roman" w:cs="Times New Roman"/>
            <w:sz w:val="24"/>
            <w:szCs w:val="24"/>
          </w:rPr>
        </w:pPr>
        <w:r w:rsidRPr="00374E07">
          <w:rPr>
            <w:rFonts w:ascii="Times New Roman" w:hAnsi="Times New Roman" w:cs="Times New Roman"/>
            <w:sz w:val="24"/>
          </w:rPr>
          <w:fldChar w:fldCharType="begin"/>
        </w:r>
        <w:r w:rsidRPr="00374E07">
          <w:rPr>
            <w:rFonts w:ascii="Times New Roman" w:hAnsi="Times New Roman" w:cs="Times New Roman"/>
            <w:sz w:val="24"/>
          </w:rPr>
          <w:instrText xml:space="preserve"> PAGE   \* MERGEFORMAT </w:instrText>
        </w:r>
        <w:r w:rsidRPr="00374E07">
          <w:rPr>
            <w:rFonts w:ascii="Times New Roman" w:hAnsi="Times New Roman" w:cs="Times New Roman"/>
            <w:sz w:val="24"/>
          </w:rPr>
          <w:fldChar w:fldCharType="separate"/>
        </w:r>
        <w:r w:rsidR="00AD1213" w:rsidRPr="00374E07">
          <w:rPr>
            <w:rFonts w:ascii="Times New Roman" w:hAnsi="Times New Roman" w:cs="Times New Roman"/>
            <w:sz w:val="24"/>
          </w:rPr>
          <w:t>192</w:t>
        </w:r>
        <w:r w:rsidRPr="00374E07">
          <w:rPr>
            <w:rFonts w:ascii="Times New Roman" w:hAnsi="Times New Roman" w:cs="Times New Roman"/>
            <w:sz w:val="24"/>
          </w:rPr>
          <w:fldChar w:fldCharType="end"/>
        </w:r>
      </w:p>
    </w:sdtContent>
  </w:sdt>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1A45A" w14:textId="77777777" w:rsidR="00373389" w:rsidRPr="00A06563" w:rsidRDefault="00373389" w:rsidP="003B792C">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80746" w14:textId="77777777" w:rsidR="00373389" w:rsidRPr="00B60432" w:rsidRDefault="00373389" w:rsidP="00B60432">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3286111"/>
      <w:docPartObj>
        <w:docPartGallery w:val="Page Numbers (Bottom of Page)"/>
        <w:docPartUnique/>
      </w:docPartObj>
    </w:sdtPr>
    <w:sdtEndPr>
      <w:rPr>
        <w:rFonts w:ascii="Times New Roman" w:hAnsi="Times New Roman" w:cs="Times New Roman"/>
        <w:noProof/>
      </w:rPr>
    </w:sdtEndPr>
    <w:sdtContent>
      <w:p w14:paraId="020A1690" w14:textId="0CF52D5A" w:rsidR="00374E07" w:rsidRPr="00374E07" w:rsidRDefault="00374E07">
        <w:pPr>
          <w:pStyle w:val="Footer"/>
          <w:jc w:val="center"/>
          <w:rPr>
            <w:rFonts w:ascii="Times New Roman" w:hAnsi="Times New Roman" w:cs="Times New Roman"/>
          </w:rPr>
        </w:pPr>
        <w:r w:rsidRPr="00374E07">
          <w:rPr>
            <w:rFonts w:ascii="Times New Roman" w:hAnsi="Times New Roman" w:cs="Times New Roman"/>
            <w:sz w:val="24"/>
          </w:rPr>
          <w:fldChar w:fldCharType="begin"/>
        </w:r>
        <w:r w:rsidRPr="00374E07">
          <w:rPr>
            <w:rFonts w:ascii="Times New Roman" w:hAnsi="Times New Roman" w:cs="Times New Roman"/>
            <w:sz w:val="24"/>
          </w:rPr>
          <w:instrText xml:space="preserve"> PAGE   \* MERGEFORMAT </w:instrText>
        </w:r>
        <w:r w:rsidRPr="00374E07">
          <w:rPr>
            <w:rFonts w:ascii="Times New Roman" w:hAnsi="Times New Roman" w:cs="Times New Roman"/>
            <w:sz w:val="24"/>
          </w:rPr>
          <w:fldChar w:fldCharType="separate"/>
        </w:r>
        <w:r w:rsidRPr="00374E07">
          <w:rPr>
            <w:rFonts w:ascii="Times New Roman" w:hAnsi="Times New Roman" w:cs="Times New Roman"/>
            <w:sz w:val="24"/>
          </w:rPr>
          <w:t>2</w:t>
        </w:r>
        <w:r w:rsidRPr="00374E07">
          <w:rPr>
            <w:rFonts w:ascii="Times New Roman" w:hAnsi="Times New Roman" w:cs="Times New Roman"/>
            <w:sz w:val="24"/>
          </w:rPr>
          <w:fldChar w:fldCharType="end"/>
        </w:r>
      </w:p>
    </w:sdtContent>
  </w:sdt>
</w:ftr>
</file>

<file path=word/footer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376AD" w14:textId="77777777" w:rsidR="00373389" w:rsidRPr="00B60432" w:rsidRDefault="00373389" w:rsidP="00B60432">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FA2CE" w14:textId="77777777" w:rsidR="00373389" w:rsidRPr="00B60432" w:rsidRDefault="00373389" w:rsidP="00B60432">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8211172"/>
      <w:docPartObj>
        <w:docPartGallery w:val="Page Numbers (Bottom of Page)"/>
        <w:docPartUnique/>
      </w:docPartObj>
    </w:sdtPr>
    <w:sdtEndPr>
      <w:rPr>
        <w:noProof/>
      </w:rPr>
    </w:sdtEndPr>
    <w:sdtContent>
      <w:p w14:paraId="5149693A" w14:textId="6AE4A014" w:rsidR="00374E07" w:rsidRDefault="00374E07">
        <w:pPr>
          <w:pStyle w:val="Footer"/>
          <w:jc w:val="center"/>
        </w:pPr>
        <w:r w:rsidRPr="00374E07">
          <w:rPr>
            <w:rFonts w:ascii="Times New Roman" w:hAnsi="Times New Roman" w:cs="Times New Roman"/>
            <w:sz w:val="24"/>
          </w:rPr>
          <w:fldChar w:fldCharType="begin"/>
        </w:r>
        <w:r w:rsidRPr="00374E07">
          <w:rPr>
            <w:rFonts w:ascii="Times New Roman" w:hAnsi="Times New Roman" w:cs="Times New Roman"/>
            <w:sz w:val="24"/>
          </w:rPr>
          <w:instrText xml:space="preserve"> PAGE   \* MERGEFORMAT </w:instrText>
        </w:r>
        <w:r w:rsidRPr="00374E07">
          <w:rPr>
            <w:rFonts w:ascii="Times New Roman" w:hAnsi="Times New Roman" w:cs="Times New Roman"/>
            <w:sz w:val="24"/>
          </w:rPr>
          <w:fldChar w:fldCharType="separate"/>
        </w:r>
        <w:r w:rsidRPr="00374E07">
          <w:rPr>
            <w:rFonts w:ascii="Times New Roman" w:hAnsi="Times New Roman" w:cs="Times New Roman"/>
            <w:sz w:val="24"/>
          </w:rPr>
          <w:t>2</w:t>
        </w:r>
        <w:r w:rsidRPr="00374E07">
          <w:rPr>
            <w:rFonts w:ascii="Times New Roman" w:hAnsi="Times New Roman" w:cs="Times New Roman"/>
            <w:sz w:val="24"/>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AD562" w14:textId="77777777" w:rsidR="00373389" w:rsidRPr="00A06563" w:rsidRDefault="00373389" w:rsidP="003B792C">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ED829" w14:textId="77777777" w:rsidR="00373389" w:rsidRPr="00B60432" w:rsidRDefault="00373389" w:rsidP="00B60432">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263D5" w14:textId="77777777" w:rsidR="00373389" w:rsidRPr="00B60432" w:rsidRDefault="00373389" w:rsidP="00B60432">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7877937"/>
      <w:docPartObj>
        <w:docPartGallery w:val="Page Numbers (Bottom of Page)"/>
        <w:docPartUnique/>
      </w:docPartObj>
    </w:sdtPr>
    <w:sdtEndPr>
      <w:rPr>
        <w:rFonts w:ascii="Times New Roman" w:hAnsi="Times New Roman" w:cs="Times New Roman"/>
        <w:noProof/>
        <w:sz w:val="24"/>
        <w:szCs w:val="24"/>
      </w:rPr>
    </w:sdtEndPr>
    <w:sdtContent>
      <w:p w14:paraId="32712344" w14:textId="3AE745EE" w:rsidR="00374E07" w:rsidRPr="00374E07" w:rsidRDefault="00374E07">
        <w:pPr>
          <w:pStyle w:val="Footer"/>
          <w:jc w:val="center"/>
          <w:rPr>
            <w:rFonts w:ascii="Times New Roman" w:hAnsi="Times New Roman" w:cs="Times New Roman"/>
            <w:sz w:val="24"/>
            <w:szCs w:val="24"/>
          </w:rPr>
        </w:pPr>
        <w:r w:rsidRPr="00374E07">
          <w:rPr>
            <w:rFonts w:ascii="Times New Roman" w:hAnsi="Times New Roman" w:cs="Times New Roman"/>
            <w:sz w:val="24"/>
          </w:rPr>
          <w:fldChar w:fldCharType="begin"/>
        </w:r>
        <w:r w:rsidRPr="00374E07">
          <w:rPr>
            <w:rFonts w:ascii="Times New Roman" w:hAnsi="Times New Roman" w:cs="Times New Roman"/>
            <w:sz w:val="24"/>
          </w:rPr>
          <w:instrText xml:space="preserve"> PAGE   \* MERGEFORMAT </w:instrText>
        </w:r>
        <w:r w:rsidRPr="00374E07">
          <w:rPr>
            <w:rFonts w:ascii="Times New Roman" w:hAnsi="Times New Roman" w:cs="Times New Roman"/>
            <w:sz w:val="24"/>
          </w:rPr>
          <w:fldChar w:fldCharType="separate"/>
        </w:r>
        <w:r w:rsidRPr="00374E07">
          <w:rPr>
            <w:rFonts w:ascii="Times New Roman" w:hAnsi="Times New Roman" w:cs="Times New Roman"/>
            <w:sz w:val="24"/>
          </w:rPr>
          <w:t>2</w:t>
        </w:r>
        <w:r w:rsidRPr="00374E07">
          <w:rPr>
            <w:rFonts w:ascii="Times New Roman" w:hAnsi="Times New Roman" w:cs="Times New Roman"/>
            <w:sz w:val="24"/>
          </w:rPr>
          <w:fldChar w:fldCharType="end"/>
        </w:r>
      </w:p>
    </w:sdtContent>
  </w:sdt>
</w:ftr>
</file>

<file path=word/footer6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B9F0F" w14:textId="77777777" w:rsidR="00373389" w:rsidRPr="00B60432" w:rsidRDefault="00373389" w:rsidP="00B60432">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48498" w14:textId="77777777" w:rsidR="00373389" w:rsidRPr="00B60432" w:rsidRDefault="00373389" w:rsidP="00B60432">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1435740"/>
      <w:docPartObj>
        <w:docPartGallery w:val="Page Numbers (Bottom of Page)"/>
        <w:docPartUnique/>
      </w:docPartObj>
    </w:sdtPr>
    <w:sdtEndPr>
      <w:rPr>
        <w:rFonts w:ascii="Times New Roman" w:hAnsi="Times New Roman" w:cs="Times New Roman"/>
        <w:noProof/>
        <w:sz w:val="24"/>
        <w:szCs w:val="24"/>
      </w:rPr>
    </w:sdtEndPr>
    <w:sdtContent>
      <w:p w14:paraId="55F94A8F" w14:textId="7FAC9EF3" w:rsidR="00374E07" w:rsidRPr="00374E07" w:rsidRDefault="00374E07">
        <w:pPr>
          <w:pStyle w:val="Footer"/>
          <w:jc w:val="center"/>
          <w:rPr>
            <w:rFonts w:ascii="Times New Roman" w:hAnsi="Times New Roman" w:cs="Times New Roman"/>
            <w:sz w:val="24"/>
            <w:szCs w:val="24"/>
          </w:rPr>
        </w:pPr>
        <w:r w:rsidRPr="00374E07">
          <w:rPr>
            <w:rFonts w:ascii="Times New Roman" w:hAnsi="Times New Roman" w:cs="Times New Roman"/>
            <w:sz w:val="24"/>
          </w:rPr>
          <w:fldChar w:fldCharType="begin"/>
        </w:r>
        <w:r w:rsidRPr="00374E07">
          <w:rPr>
            <w:rFonts w:ascii="Times New Roman" w:hAnsi="Times New Roman" w:cs="Times New Roman"/>
            <w:sz w:val="24"/>
          </w:rPr>
          <w:instrText xml:space="preserve"> PAGE   \* MERGEFORMAT </w:instrText>
        </w:r>
        <w:r w:rsidRPr="00374E07">
          <w:rPr>
            <w:rFonts w:ascii="Times New Roman" w:hAnsi="Times New Roman" w:cs="Times New Roman"/>
            <w:sz w:val="24"/>
          </w:rPr>
          <w:fldChar w:fldCharType="separate"/>
        </w:r>
        <w:r w:rsidRPr="00374E07">
          <w:rPr>
            <w:rFonts w:ascii="Times New Roman" w:hAnsi="Times New Roman" w:cs="Times New Roman"/>
            <w:sz w:val="24"/>
          </w:rPr>
          <w:t>2</w:t>
        </w:r>
        <w:r w:rsidRPr="00374E07">
          <w:rPr>
            <w:rFonts w:ascii="Times New Roman" w:hAnsi="Times New Roman" w:cs="Times New Roman"/>
            <w:sz w:val="24"/>
          </w:rPr>
          <w:fldChar w:fldCharType="end"/>
        </w:r>
      </w:p>
    </w:sdtContent>
  </w:sdt>
</w:ftr>
</file>

<file path=word/footer6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8EDBA" w14:textId="77777777" w:rsidR="00373389" w:rsidRPr="00B60432" w:rsidRDefault="00373389" w:rsidP="00B60432">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55148" w14:textId="77777777" w:rsidR="00373389" w:rsidRPr="00B60432" w:rsidRDefault="00373389" w:rsidP="00B60432">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7125457"/>
      <w:docPartObj>
        <w:docPartGallery w:val="Page Numbers (Bottom of Page)"/>
        <w:docPartUnique/>
      </w:docPartObj>
    </w:sdtPr>
    <w:sdtEndPr>
      <w:rPr>
        <w:rFonts w:ascii="Times New Roman" w:hAnsi="Times New Roman" w:cs="Times New Roman"/>
        <w:noProof/>
        <w:sz w:val="24"/>
        <w:szCs w:val="24"/>
      </w:rPr>
    </w:sdtEndPr>
    <w:sdtContent>
      <w:p w14:paraId="6EDF6BD2" w14:textId="01DA26B0" w:rsidR="006E16A2" w:rsidRPr="006E16A2" w:rsidRDefault="006E16A2">
        <w:pPr>
          <w:pStyle w:val="Footer"/>
          <w:jc w:val="center"/>
          <w:rPr>
            <w:rFonts w:ascii="Times New Roman" w:hAnsi="Times New Roman" w:cs="Times New Roman"/>
            <w:sz w:val="24"/>
            <w:szCs w:val="24"/>
          </w:rPr>
        </w:pPr>
        <w:r w:rsidRPr="006E16A2">
          <w:rPr>
            <w:rFonts w:ascii="Times New Roman" w:hAnsi="Times New Roman" w:cs="Times New Roman"/>
            <w:sz w:val="24"/>
          </w:rPr>
          <w:fldChar w:fldCharType="begin"/>
        </w:r>
        <w:r w:rsidRPr="006E16A2">
          <w:rPr>
            <w:rFonts w:ascii="Times New Roman" w:hAnsi="Times New Roman" w:cs="Times New Roman"/>
            <w:sz w:val="24"/>
          </w:rPr>
          <w:instrText xml:space="preserve"> PAGE   \* MERGEFORMAT </w:instrText>
        </w:r>
        <w:r w:rsidRPr="006E16A2">
          <w:rPr>
            <w:rFonts w:ascii="Times New Roman" w:hAnsi="Times New Roman" w:cs="Times New Roman"/>
            <w:sz w:val="24"/>
          </w:rPr>
          <w:fldChar w:fldCharType="separate"/>
        </w:r>
        <w:r w:rsidRPr="006E16A2">
          <w:rPr>
            <w:rFonts w:ascii="Times New Roman" w:hAnsi="Times New Roman" w:cs="Times New Roman"/>
            <w:sz w:val="24"/>
          </w:rPr>
          <w:t>2</w:t>
        </w:r>
        <w:r w:rsidRPr="006E16A2">
          <w:rPr>
            <w:rFonts w:ascii="Times New Roman" w:hAnsi="Times New Roman" w:cs="Times New Roman"/>
            <w:sz w:val="24"/>
          </w:rPr>
          <w:fldChar w:fldCharType="end"/>
        </w:r>
      </w:p>
    </w:sdtContent>
  </w:sdt>
</w:ftr>
</file>

<file path=word/footer6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343A6" w14:textId="77777777" w:rsidR="00373389" w:rsidRPr="00B60432" w:rsidRDefault="00373389" w:rsidP="00B6043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98BBD" w14:textId="77777777" w:rsidR="00373389" w:rsidRDefault="00373389">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7D277" w14:textId="77777777" w:rsidR="00373389" w:rsidRPr="00B60432" w:rsidRDefault="00373389" w:rsidP="00B60432">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7754122"/>
      <w:docPartObj>
        <w:docPartGallery w:val="Page Numbers (Bottom of Page)"/>
        <w:docPartUnique/>
      </w:docPartObj>
    </w:sdtPr>
    <w:sdtEndPr>
      <w:rPr>
        <w:rFonts w:ascii="Times New Roman" w:hAnsi="Times New Roman" w:cs="Times New Roman"/>
        <w:noProof/>
        <w:sz w:val="24"/>
        <w:szCs w:val="24"/>
      </w:rPr>
    </w:sdtEndPr>
    <w:sdtContent>
      <w:p w14:paraId="3139A665" w14:textId="66B78A49" w:rsidR="006E16A2" w:rsidRPr="006E16A2" w:rsidRDefault="006E16A2">
        <w:pPr>
          <w:pStyle w:val="Footer"/>
          <w:jc w:val="center"/>
          <w:rPr>
            <w:rFonts w:ascii="Times New Roman" w:hAnsi="Times New Roman" w:cs="Times New Roman"/>
            <w:sz w:val="24"/>
            <w:szCs w:val="24"/>
          </w:rPr>
        </w:pPr>
        <w:r w:rsidRPr="006E16A2">
          <w:rPr>
            <w:rFonts w:ascii="Times New Roman" w:hAnsi="Times New Roman" w:cs="Times New Roman"/>
            <w:sz w:val="24"/>
          </w:rPr>
          <w:fldChar w:fldCharType="begin"/>
        </w:r>
        <w:r w:rsidRPr="006E16A2">
          <w:rPr>
            <w:rFonts w:ascii="Times New Roman" w:hAnsi="Times New Roman" w:cs="Times New Roman"/>
            <w:sz w:val="24"/>
          </w:rPr>
          <w:instrText xml:space="preserve"> PAGE   \* MERGEFORMAT </w:instrText>
        </w:r>
        <w:r w:rsidRPr="006E16A2">
          <w:rPr>
            <w:rFonts w:ascii="Times New Roman" w:hAnsi="Times New Roman" w:cs="Times New Roman"/>
            <w:sz w:val="24"/>
          </w:rPr>
          <w:fldChar w:fldCharType="separate"/>
        </w:r>
        <w:r w:rsidRPr="006E16A2">
          <w:rPr>
            <w:rFonts w:ascii="Times New Roman" w:hAnsi="Times New Roman" w:cs="Times New Roman"/>
            <w:sz w:val="24"/>
          </w:rPr>
          <w:t>2</w:t>
        </w:r>
        <w:r w:rsidRPr="006E16A2">
          <w:rPr>
            <w:rFonts w:ascii="Times New Roman" w:hAnsi="Times New Roman" w:cs="Times New Roman"/>
            <w:sz w:val="24"/>
          </w:rPr>
          <w:fldChar w:fldCharType="end"/>
        </w:r>
      </w:p>
    </w:sdtContent>
  </w:sdt>
</w:ftr>
</file>

<file path=word/footer7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2D26D" w14:textId="77777777" w:rsidR="00373389" w:rsidRPr="00B60432" w:rsidRDefault="00373389" w:rsidP="00B60432">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1C9FD" w14:textId="77777777" w:rsidR="00373389" w:rsidRPr="00B60432" w:rsidRDefault="00373389" w:rsidP="00B60432">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6718354"/>
      <w:docPartObj>
        <w:docPartGallery w:val="Page Numbers (Bottom of Page)"/>
        <w:docPartUnique/>
      </w:docPartObj>
    </w:sdtPr>
    <w:sdtEndPr>
      <w:rPr>
        <w:rFonts w:ascii="Times New Roman" w:hAnsi="Times New Roman" w:cs="Times New Roman"/>
        <w:noProof/>
        <w:sz w:val="24"/>
        <w:szCs w:val="24"/>
      </w:rPr>
    </w:sdtEndPr>
    <w:sdtContent>
      <w:p w14:paraId="31474F58" w14:textId="1373E572" w:rsidR="006E16A2" w:rsidRPr="006E16A2" w:rsidRDefault="006E16A2">
        <w:pPr>
          <w:pStyle w:val="Footer"/>
          <w:jc w:val="center"/>
          <w:rPr>
            <w:rFonts w:ascii="Times New Roman" w:hAnsi="Times New Roman" w:cs="Times New Roman"/>
            <w:sz w:val="24"/>
            <w:szCs w:val="24"/>
          </w:rPr>
        </w:pPr>
        <w:r w:rsidRPr="006E16A2">
          <w:rPr>
            <w:rFonts w:ascii="Times New Roman" w:hAnsi="Times New Roman" w:cs="Times New Roman"/>
            <w:sz w:val="24"/>
          </w:rPr>
          <w:fldChar w:fldCharType="begin"/>
        </w:r>
        <w:r w:rsidRPr="006E16A2">
          <w:rPr>
            <w:rFonts w:ascii="Times New Roman" w:hAnsi="Times New Roman" w:cs="Times New Roman"/>
            <w:sz w:val="24"/>
          </w:rPr>
          <w:instrText xml:space="preserve"> PAGE   \* MERGEFORMAT </w:instrText>
        </w:r>
        <w:r w:rsidRPr="006E16A2">
          <w:rPr>
            <w:rFonts w:ascii="Times New Roman" w:hAnsi="Times New Roman" w:cs="Times New Roman"/>
            <w:sz w:val="24"/>
          </w:rPr>
          <w:fldChar w:fldCharType="separate"/>
        </w:r>
        <w:r w:rsidRPr="006E16A2">
          <w:rPr>
            <w:rFonts w:ascii="Times New Roman" w:hAnsi="Times New Roman" w:cs="Times New Roman"/>
            <w:sz w:val="24"/>
          </w:rPr>
          <w:t>2</w:t>
        </w:r>
        <w:r w:rsidRPr="006E16A2">
          <w:rPr>
            <w:rFonts w:ascii="Times New Roman" w:hAnsi="Times New Roman" w:cs="Times New Roman"/>
            <w:sz w:val="24"/>
          </w:rPr>
          <w:fldChar w:fldCharType="end"/>
        </w:r>
      </w:p>
    </w:sdtContent>
  </w:sdt>
</w:ftr>
</file>

<file path=word/footer7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49084" w14:textId="77777777" w:rsidR="00373389" w:rsidRPr="00B60432" w:rsidRDefault="00373389" w:rsidP="00B60432">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47875" w14:textId="77777777" w:rsidR="00D21D80" w:rsidRPr="00B60432" w:rsidRDefault="00D21D80" w:rsidP="00B60432">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B8AFF" w14:textId="77777777" w:rsidR="00D21D80" w:rsidRPr="00B60432" w:rsidRDefault="00D21D80" w:rsidP="00B60432">
    <w:pPr>
      <w:pStyle w:val="Footer"/>
    </w:pPr>
  </w:p>
</w:ftr>
</file>

<file path=word/footer7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D7C84" w14:textId="77777777" w:rsidR="00D21D80" w:rsidRPr="00B60432" w:rsidRDefault="00D21D80" w:rsidP="00B60432">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22B18" w14:textId="77777777" w:rsidR="00373389" w:rsidRPr="00B60432" w:rsidRDefault="00373389" w:rsidP="00B6043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9801883"/>
      <w:docPartObj>
        <w:docPartGallery w:val="Page Numbers (Bottom of Page)"/>
        <w:docPartUnique/>
      </w:docPartObj>
    </w:sdtPr>
    <w:sdtEndPr>
      <w:rPr>
        <w:rFonts w:ascii="Times New Roman" w:hAnsi="Times New Roman" w:cs="Times New Roman"/>
        <w:noProof/>
        <w:sz w:val="24"/>
        <w:szCs w:val="24"/>
      </w:rPr>
    </w:sdtEndPr>
    <w:sdtContent>
      <w:p w14:paraId="6034B327" w14:textId="0D69116B" w:rsidR="00A10680" w:rsidRPr="00A10680" w:rsidRDefault="00A10680">
        <w:pPr>
          <w:pStyle w:val="Footer"/>
          <w:jc w:val="center"/>
          <w:rPr>
            <w:rFonts w:ascii="Times New Roman" w:hAnsi="Times New Roman" w:cs="Times New Roman"/>
            <w:sz w:val="24"/>
            <w:szCs w:val="24"/>
          </w:rPr>
        </w:pPr>
        <w:r w:rsidRPr="00A10680">
          <w:rPr>
            <w:rFonts w:ascii="Times New Roman" w:hAnsi="Times New Roman" w:cs="Times New Roman"/>
            <w:sz w:val="24"/>
          </w:rPr>
          <w:fldChar w:fldCharType="begin"/>
        </w:r>
        <w:r w:rsidRPr="00A10680">
          <w:rPr>
            <w:rFonts w:ascii="Times New Roman" w:hAnsi="Times New Roman" w:cs="Times New Roman"/>
            <w:sz w:val="24"/>
          </w:rPr>
          <w:instrText xml:space="preserve"> PAGE   \* MERGEFORMAT </w:instrText>
        </w:r>
        <w:r w:rsidRPr="00A10680">
          <w:rPr>
            <w:rFonts w:ascii="Times New Roman" w:hAnsi="Times New Roman" w:cs="Times New Roman"/>
            <w:sz w:val="24"/>
          </w:rPr>
          <w:fldChar w:fldCharType="separate"/>
        </w:r>
        <w:r w:rsidR="007376BA">
          <w:rPr>
            <w:rFonts w:ascii="Times New Roman" w:hAnsi="Times New Roman" w:cs="Times New Roman"/>
            <w:noProof/>
            <w:sz w:val="24"/>
          </w:rPr>
          <w:t>11</w:t>
        </w:r>
        <w:r w:rsidRPr="00A10680">
          <w:rPr>
            <w:rFonts w:ascii="Times New Roman" w:hAnsi="Times New Roman" w:cs="Times New Roman"/>
            <w:sz w:val="24"/>
          </w:rPr>
          <w:fldChar w:fldCharType="end"/>
        </w:r>
      </w:p>
    </w:sdtContent>
  </w:sdt>
  <w:p w14:paraId="6E0FC584" w14:textId="77777777" w:rsidR="00373389" w:rsidRPr="00256A2B" w:rsidRDefault="00373389" w:rsidP="00B60432">
    <w:pPr>
      <w:pStyle w:val="FooterCouncil"/>
    </w:pPr>
  </w:p>
</w:ftr>
</file>

<file path=word/footer8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4526254"/>
      <w:docPartObj>
        <w:docPartGallery w:val="Page Numbers (Bottom of Page)"/>
        <w:docPartUnique/>
      </w:docPartObj>
    </w:sdtPr>
    <w:sdtEndPr>
      <w:rPr>
        <w:rFonts w:ascii="Times New Roman" w:hAnsi="Times New Roman" w:cs="Times New Roman"/>
        <w:noProof/>
        <w:sz w:val="24"/>
        <w:szCs w:val="24"/>
      </w:rPr>
    </w:sdtEndPr>
    <w:sdtContent>
      <w:p w14:paraId="5D7D9676" w14:textId="3C6F5B7B" w:rsidR="006E16A2" w:rsidRPr="006E16A2" w:rsidRDefault="006E16A2">
        <w:pPr>
          <w:pStyle w:val="Footer"/>
          <w:jc w:val="center"/>
          <w:rPr>
            <w:rFonts w:ascii="Times New Roman" w:hAnsi="Times New Roman" w:cs="Times New Roman"/>
            <w:sz w:val="24"/>
            <w:szCs w:val="24"/>
          </w:rPr>
        </w:pPr>
        <w:r w:rsidRPr="006E16A2">
          <w:rPr>
            <w:rFonts w:ascii="Times New Roman" w:hAnsi="Times New Roman" w:cs="Times New Roman"/>
            <w:sz w:val="24"/>
          </w:rPr>
          <w:fldChar w:fldCharType="begin"/>
        </w:r>
        <w:r w:rsidRPr="006E16A2">
          <w:rPr>
            <w:rFonts w:ascii="Times New Roman" w:hAnsi="Times New Roman" w:cs="Times New Roman"/>
            <w:sz w:val="24"/>
          </w:rPr>
          <w:instrText xml:space="preserve"> PAGE   \* MERGEFORMAT </w:instrText>
        </w:r>
        <w:r w:rsidRPr="006E16A2">
          <w:rPr>
            <w:rFonts w:ascii="Times New Roman" w:hAnsi="Times New Roman" w:cs="Times New Roman"/>
            <w:sz w:val="24"/>
          </w:rPr>
          <w:fldChar w:fldCharType="separate"/>
        </w:r>
        <w:r w:rsidRPr="006E16A2">
          <w:rPr>
            <w:rFonts w:ascii="Times New Roman" w:hAnsi="Times New Roman" w:cs="Times New Roman"/>
            <w:sz w:val="24"/>
          </w:rPr>
          <w:t>2</w:t>
        </w:r>
        <w:r w:rsidRPr="006E16A2">
          <w:rPr>
            <w:rFonts w:ascii="Times New Roman" w:hAnsi="Times New Roman" w:cs="Times New Roman"/>
            <w:sz w:val="24"/>
          </w:rPr>
          <w:fldChar w:fldCharType="end"/>
        </w:r>
      </w:p>
    </w:sdtContent>
  </w:sdt>
</w:ftr>
</file>

<file path=word/footer8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99AB3" w14:textId="77777777" w:rsidR="00373389" w:rsidRPr="00B60432" w:rsidRDefault="00373389" w:rsidP="00B6043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25112" w14:textId="77777777" w:rsidR="00373389" w:rsidRPr="00A06563" w:rsidRDefault="00373389" w:rsidP="003B792C">
    <w:pPr>
      <w:pStyle w:val="FooterLandscap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6C9048" w14:textId="77777777" w:rsidR="00376DBD" w:rsidRDefault="00376DBD" w:rsidP="00EB5DD9">
      <w:pPr>
        <w:spacing w:after="0" w:line="240" w:lineRule="auto"/>
      </w:pPr>
      <w:r>
        <w:separator/>
      </w:r>
    </w:p>
  </w:footnote>
  <w:footnote w:type="continuationSeparator" w:id="0">
    <w:p w14:paraId="7D579D04" w14:textId="77777777" w:rsidR="00376DBD" w:rsidRDefault="00376DBD" w:rsidP="00EB5DD9">
      <w:pPr>
        <w:spacing w:after="0" w:line="240" w:lineRule="auto"/>
      </w:pPr>
      <w:r>
        <w:continuationSeparator/>
      </w:r>
    </w:p>
  </w:footnote>
  <w:footnote w:type="continuationNotice" w:id="1">
    <w:p w14:paraId="2BE8022A" w14:textId="77777777" w:rsidR="00376DBD" w:rsidRDefault="00376DBD">
      <w:pPr>
        <w:spacing w:after="0" w:line="240" w:lineRule="auto"/>
      </w:pPr>
    </w:p>
  </w:footnote>
  <w:footnote w:id="2">
    <w:p w14:paraId="717063D7" w14:textId="00177D9F" w:rsidR="00373389" w:rsidRPr="003D216C" w:rsidRDefault="00373389" w:rsidP="00446317">
      <w:pPr>
        <w:pStyle w:val="FootnoteText"/>
        <w:rPr>
          <w:highlight w:val="yellow"/>
        </w:rPr>
      </w:pPr>
      <w:r>
        <w:rPr>
          <w:rStyle w:val="FootnoteReference"/>
          <w:rFonts w:ascii="Times New Roman" w:hAnsi="Times New Roman" w:cs="Times New Roman"/>
        </w:rPr>
        <w:footnoteRef/>
      </w:r>
      <w:r>
        <w:rPr>
          <w:rFonts w:ascii="Times New Roman" w:hAnsi="Times New Roman"/>
        </w:rPr>
        <w:t xml:space="preserve"> Enhancing the Contribution of Bulgaria’s Public Research to Innovation: A Survey-based Diagnostic, BULGARIA COUNTRY NOTE, Световна банка, 2020.</w:t>
      </w:r>
    </w:p>
  </w:footnote>
  <w:footnote w:id="3">
    <w:p w14:paraId="3AE26ED8" w14:textId="77777777" w:rsidR="00DB7268" w:rsidRPr="00DB7268" w:rsidRDefault="00373389" w:rsidP="00DB7268">
      <w:pPr>
        <w:rPr>
          <w:rFonts w:ascii="Times New Roman" w:hAnsi="Times New Roman"/>
          <w:sz w:val="20"/>
          <w:szCs w:val="20"/>
        </w:rPr>
      </w:pPr>
      <w:r>
        <w:rPr>
          <w:rStyle w:val="FootnoteReference"/>
          <w:rFonts w:ascii="Times New Roman" w:hAnsi="Times New Roman" w:cs="Times New Roman"/>
        </w:rPr>
        <w:footnoteRef/>
      </w:r>
      <w:r>
        <w:rPr>
          <w:rFonts w:ascii="Times New Roman" w:hAnsi="Times New Roman"/>
        </w:rPr>
        <w:t xml:space="preserve"> </w:t>
      </w:r>
      <w:r w:rsidR="00DB7268" w:rsidRPr="00DB7268">
        <w:rPr>
          <w:rFonts w:ascii="Times New Roman" w:hAnsi="Times New Roman"/>
          <w:sz w:val="20"/>
          <w:szCs w:val="20"/>
        </w:rPr>
        <w:t>Strategic Evaluation of the Bulgarian Centres of Competence and Centres of Excellence and Recommendations for their Further Development, Съвместен изследователски център на Европейската комисия, 2021.</w:t>
      </w:r>
    </w:p>
    <w:p w14:paraId="7FB3106F" w14:textId="6B782903" w:rsidR="00373389" w:rsidRPr="00CC10CB" w:rsidRDefault="00373389" w:rsidP="00446317">
      <w:pPr>
        <w:pStyle w:val="FootnoteText"/>
        <w:rPr>
          <w:rFonts w:ascii="Times New Roman" w:hAnsi="Times New Roman" w:cs="Times New Roman"/>
        </w:rPr>
      </w:pPr>
    </w:p>
  </w:footnote>
  <w:footnote w:id="4">
    <w:p w14:paraId="63C5AEFA" w14:textId="77777777" w:rsidR="00373389" w:rsidRPr="007D338F" w:rsidRDefault="00373389" w:rsidP="00150517">
      <w:pPr>
        <w:pStyle w:val="FootnoteText"/>
        <w:jc w:val="both"/>
        <w:rPr>
          <w:rFonts w:ascii="Times New Roman" w:hAnsi="Times New Roman" w:cs="Times New Roman"/>
        </w:rPr>
      </w:pPr>
      <w:r w:rsidRPr="00790C3D">
        <w:rPr>
          <w:rStyle w:val="FootnoteReference"/>
          <w:rFonts w:ascii="Times New Roman" w:hAnsi="Times New Roman" w:cs="Times New Roman"/>
        </w:rPr>
        <w:footnoteRef/>
      </w:r>
      <w:r>
        <w:t xml:space="preserve"> </w:t>
      </w:r>
      <w:r>
        <w:rPr>
          <w:rFonts w:ascii="Times New Roman" w:hAnsi="Times New Roman"/>
        </w:rPr>
        <w:t>С изключение на проектите за производство на електроенергия и/или топлоенергия, както и на свързаната с тях инфраструктура за пренос и разпределение, използващи природен газ, които отговарят на условията, определени в приложение III към техническите насоки „Ненанасяне на значителни вреди“ (2021/C58/01).</w:t>
      </w:r>
    </w:p>
  </w:footnote>
  <w:footnote w:id="5">
    <w:p w14:paraId="31D68D67" w14:textId="77777777" w:rsidR="00373389" w:rsidRPr="007D338F" w:rsidRDefault="00373389" w:rsidP="00150517">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Ако прогнозираните емисии на парникови газове при подпомаганата дейност не са значително по-ниски от съответните референтни стойности се обясняват причините, поради които това не е възможно. Референтни стойности за безплатно предоставяне на квоти за дейностите, попадащи в обхвата на схемата за търговия с емисии, както е посочено в Регламент за изпълнение (ЕС) 2021/447 на Комисията.</w:t>
      </w:r>
    </w:p>
  </w:footnote>
  <w:footnote w:id="6">
    <w:p w14:paraId="0EFB876E" w14:textId="77777777" w:rsidR="00373389" w:rsidRPr="007D338F" w:rsidRDefault="00373389" w:rsidP="00150517">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Това изключение не се прилага за действия по тази мярка в инсталации, предназначени изключително за третиране на опасни отпадъци, които не подлежат на рециклиране, и за съществуващи инсталации, при които действията по тази мярка имат за цел повишаване на енергийната ефективност, улавяне на отработени газове за съхранение или използване или оползотворяване на материали от пепел от изгаряне, при условие че тези действия по тази мярка не водят до увеличаване на капацитета на инсталациите за преработка на отпадъци или до удължаване на жизнения цикъл на инсталациите; доказателства за това се представят за всяка инсталация.</w:t>
      </w:r>
    </w:p>
  </w:footnote>
  <w:footnote w:id="7">
    <w:p w14:paraId="628746B9" w14:textId="77777777" w:rsidR="00373389" w:rsidRPr="007D338F" w:rsidRDefault="00373389" w:rsidP="00150517">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Това изключение не се прилага за действия по тази мярка в съществуващи заводи за механично биологично третиране, при които действията по тази мярка са предназначени за повишаване на енергийната ефективност или за модернизиране на дейностите по рециклиране на разделени отпадъци за компостиране на биоотпадъци и анаеробно разграждане на биоотпадъци, при условие че тези действия по тази мярка не водят до увеличаване на капацитета на предприятията за преработка на отпадъци или до удължаване на жизнения цикъл на инсталациите; доказателства за това се представят за всяка инсталация.</w:t>
      </w:r>
    </w:p>
  </w:footnote>
  <w:footnote w:id="8">
    <w:p w14:paraId="3EEA2E03" w14:textId="77777777" w:rsidR="00373389" w:rsidRPr="007D338F" w:rsidRDefault="00373389" w:rsidP="00D959ED">
      <w:pPr>
        <w:pStyle w:val="FootnoteText"/>
        <w:jc w:val="both"/>
        <w:rPr>
          <w:rFonts w:ascii="Times New Roman" w:hAnsi="Times New Roman" w:cs="Times New Roman"/>
        </w:rPr>
      </w:pPr>
      <w:r w:rsidRPr="00790C3D">
        <w:rPr>
          <w:rStyle w:val="FootnoteReference"/>
          <w:rFonts w:ascii="Times New Roman" w:hAnsi="Times New Roman" w:cs="Times New Roman"/>
        </w:rPr>
        <w:footnoteRef/>
      </w:r>
      <w:r w:rsidRPr="00790C3D">
        <w:rPr>
          <w:rFonts w:ascii="Times New Roman" w:hAnsi="Times New Roman" w:cs="Times New Roman"/>
        </w:rPr>
        <w:t xml:space="preserve"> </w:t>
      </w:r>
      <w:r>
        <w:rPr>
          <w:rFonts w:ascii="Times New Roman" w:hAnsi="Times New Roman"/>
        </w:rPr>
        <w:t>С изключение на проектите за производство на електроенергия и/или топлоенергия, както и на свързаната с тях инфраструктура за пренос и разпределение, използващи природен газ, които отговарят на условията, определени в приложение III към техническите насоки „Ненанасяне на значителни вреди“ (2021/C58/01).</w:t>
      </w:r>
    </w:p>
  </w:footnote>
  <w:footnote w:id="9">
    <w:p w14:paraId="38F3F1C5" w14:textId="77777777" w:rsidR="00373389" w:rsidRPr="007D338F" w:rsidRDefault="00373389" w:rsidP="00D959ED">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Ако прогнозираните емисии на парникови газове при подпомаганата дейност не са значително по-ниски от съответните референтни стойности се обясняват причините, поради които това не е възможно. Референтни стойности за безплатно предоставяне на квоти за дейностите, попадащи в обхвата на схемата за търговия с емисии, както е посочено в Регламент за изпълнение (ЕС) 2021/447 на Комисията.</w:t>
      </w:r>
    </w:p>
  </w:footnote>
  <w:footnote w:id="10">
    <w:p w14:paraId="018EF3C1" w14:textId="77777777" w:rsidR="00373389" w:rsidRPr="007D338F" w:rsidRDefault="00373389" w:rsidP="00D959ED">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Това изключение не се прилага за действия по тази мярка в инсталации, предназначени изключително за третиране на опасни отпадъци, които не подлежат на рециклиране, и за съществуващи инсталации, при които действията по тази мярка имат за цел повишаване на енергийната ефективност, улавяне на отработени газове за съхранение или използване или оползотворяване на материали от пепел от изгаряне, при условие че тези действия по тази мярка не водят до увеличаване на капацитета на инсталациите за преработка на отпадъци или до удължаване на жизнения цикъл на инсталациите; доказателства за това се представят за всяка инсталация.</w:t>
      </w:r>
    </w:p>
  </w:footnote>
  <w:footnote w:id="11">
    <w:p w14:paraId="6429D6C7" w14:textId="77777777" w:rsidR="00373389" w:rsidRPr="007D338F" w:rsidRDefault="00373389" w:rsidP="00D959ED">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Това изключение не се прилага за действия по тази мярка в съществуващи заводи за механично биологично третиране, при които действията по тази мярка са предназначени за повишаване на енергийната ефективност или за модернизиране на дейностите по рециклиране на разделени отпадъци за компостиране на биоотпадъци и анаеробно разграждане на биоотпадъци, при условие че тези действия по тази мярка не водят до увеличаване на капацитета на предприятията за преработка на отпадъци или до удължаване на жизнения цикъл на инсталациите; доказателства за това се представят за всяка инсталация.</w:t>
      </w:r>
    </w:p>
  </w:footnote>
  <w:footnote w:id="12">
    <w:p w14:paraId="159766B5" w14:textId="77777777" w:rsidR="00373389" w:rsidRPr="007D338F" w:rsidRDefault="00373389" w:rsidP="002C2872">
      <w:pPr>
        <w:pStyle w:val="FootnoteText"/>
        <w:jc w:val="both"/>
        <w:rPr>
          <w:rFonts w:ascii="Times New Roman" w:hAnsi="Times New Roman" w:cs="Times New Roman"/>
        </w:rPr>
      </w:pPr>
      <w:r w:rsidRPr="00790C3D">
        <w:rPr>
          <w:rStyle w:val="FootnoteReference"/>
          <w:rFonts w:ascii="Times New Roman" w:hAnsi="Times New Roman" w:cs="Times New Roman"/>
        </w:rPr>
        <w:footnoteRef/>
      </w:r>
      <w:r>
        <w:t xml:space="preserve"> </w:t>
      </w:r>
      <w:r>
        <w:rPr>
          <w:rFonts w:ascii="Times New Roman" w:hAnsi="Times New Roman"/>
        </w:rPr>
        <w:t>С изключение на проектите за производство на електроенергия и/или топлоенергия, както и на свързаната с тях инфраструктура за пренос и разпределение, използващи природен газ, които отговарят на условията, определени в приложение III към техническите насоки „Ненанасяне на значителни вреди“ (2021/C58/01).</w:t>
      </w:r>
    </w:p>
  </w:footnote>
  <w:footnote w:id="13">
    <w:p w14:paraId="6C4BED24" w14:textId="77777777" w:rsidR="00373389" w:rsidRPr="007D338F" w:rsidRDefault="00373389" w:rsidP="002C287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Ако прогнозираните емисии на парникови газове при подпомаганата дейност не са значително по-ниски от съответните референтни стойности се обясняват причините, поради които това не е възможно. Референтни стойности за безплатно предоставяне на квоти за дейностите, попадащи в обхвата на схемата за търговия с емисии, както е посочено в Регламент за изпълнение (ЕС) 2021/447 на Комисията.</w:t>
      </w:r>
    </w:p>
  </w:footnote>
  <w:footnote w:id="14">
    <w:p w14:paraId="37D5718B" w14:textId="77777777" w:rsidR="00373389" w:rsidRPr="007D338F" w:rsidRDefault="00373389" w:rsidP="002C287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Това изключение не се прилага за действия по тази мярка в инсталации, предназначени изключително за третиране на опасни отпадъци, които не подлежат на рециклиране, и за съществуващи инсталации, при които действията по тази мярка имат за цел повишаване на енергийната ефективност, улавяне на отработени газове за съхранение или използване или оползотворяване на материали от пепел от изгаряне, при условие че тези действия по тази мярка не водят до увеличаване на капацитета на инсталациите за преработка на отпадъци или до удължаване на жизнения цикъл на инсталациите; доказателства за това се представят за всяка инсталация.</w:t>
      </w:r>
    </w:p>
  </w:footnote>
  <w:footnote w:id="15">
    <w:p w14:paraId="1271B7E4" w14:textId="77777777" w:rsidR="00373389" w:rsidRPr="007D338F" w:rsidRDefault="00373389" w:rsidP="002C287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Това изключение не се прилага за действия по тази мярка в съществуващи заводи за механично биологично третиране, при които действията по тази мярка са предназначени за повишаване на енергийната ефективност или за модернизиране на дейностите по рециклиране на разделени отпадъци за компостиране на биоотпадъци и анаеробно разграждане на биоотпадъци, при условие че тези действия по тази мярка не водят до увеличаване на капацитета на предприятията за преработка на отпадъци или до удължаване на жизнения цикъл на инсталациите; доказателства за това се представят за всяка инсталация.</w:t>
      </w:r>
    </w:p>
  </w:footnote>
  <w:footnote w:id="16">
    <w:p w14:paraId="37691387" w14:textId="77777777" w:rsidR="00373389" w:rsidRPr="007D338F" w:rsidRDefault="00373389" w:rsidP="00466B9D">
      <w:pPr>
        <w:pStyle w:val="FootnoteText"/>
        <w:jc w:val="both"/>
        <w:rPr>
          <w:rFonts w:ascii="Times New Roman" w:hAnsi="Times New Roman" w:cs="Times New Roman"/>
        </w:rPr>
      </w:pPr>
      <w:r w:rsidRPr="00790C3D">
        <w:rPr>
          <w:rStyle w:val="FootnoteReference"/>
          <w:rFonts w:ascii="Times New Roman" w:hAnsi="Times New Roman" w:cs="Times New Roman"/>
        </w:rPr>
        <w:footnoteRef/>
      </w:r>
      <w:r>
        <w:t xml:space="preserve"> </w:t>
      </w:r>
      <w:r>
        <w:rPr>
          <w:rFonts w:ascii="Times New Roman" w:hAnsi="Times New Roman"/>
        </w:rPr>
        <w:t>С изключение на проектите за производство на електроенергия и/или топлоенергия, както и на свързаната с тях инфраструктура за пренос и разпределение, използващи природен газ, които отговарят на условията, определени в приложение III към техническите насоки „Ненанасяне на значителни вреди“ (2021/C58/01).</w:t>
      </w:r>
    </w:p>
  </w:footnote>
  <w:footnote w:id="17">
    <w:p w14:paraId="551EFF54" w14:textId="6D281138" w:rsidR="00373389" w:rsidRPr="007D338F" w:rsidRDefault="00373389" w:rsidP="00466B9D">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Ако прогнозираните емисии на парникови газове при подпомаганата дейност не са значително по-ниски от съответните референтни стойности се обясняват причините, поради които това не е възможно. Референтни стойности за безплатно предоставяне на квоти за дейностите, попадащи в обхвата на схемата за търговия с емисии, както е посочено в Регламент за изпълнение (ЕС) 2021/447 на Комисията.</w:t>
      </w:r>
    </w:p>
  </w:footnote>
  <w:footnote w:id="18">
    <w:p w14:paraId="593F5EC6" w14:textId="77777777" w:rsidR="00373389" w:rsidRPr="007D338F" w:rsidRDefault="00373389" w:rsidP="00624B78">
      <w:pPr>
        <w:pStyle w:val="FootnoteText"/>
        <w:jc w:val="both"/>
        <w:rPr>
          <w:rFonts w:ascii="Times New Roman" w:hAnsi="Times New Roman" w:cs="Times New Roman"/>
        </w:rPr>
      </w:pPr>
      <w:r w:rsidRPr="00790C3D">
        <w:rPr>
          <w:rStyle w:val="FootnoteReference"/>
          <w:rFonts w:ascii="Times New Roman" w:hAnsi="Times New Roman" w:cs="Times New Roman"/>
        </w:rPr>
        <w:footnoteRef/>
      </w:r>
      <w:r>
        <w:t xml:space="preserve"> </w:t>
      </w:r>
      <w:r>
        <w:rPr>
          <w:rFonts w:ascii="Times New Roman" w:hAnsi="Times New Roman"/>
        </w:rPr>
        <w:t>С изключение на проектите за производство на електроенергия и/или топлоенергия, както и на свързаната с тях инфраструктура за пренос и разпределение, използващи природен газ, които отговарят на условията, определени в приложение III към техническите насоки „Ненанасяне на значителни вреди“ (2021/C58/01).</w:t>
      </w:r>
    </w:p>
  </w:footnote>
  <w:footnote w:id="19">
    <w:p w14:paraId="6F23AB18" w14:textId="35297F6A" w:rsidR="00373389" w:rsidRPr="007D338F" w:rsidRDefault="00373389" w:rsidP="00624B78">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Ако прогнозираните емисии на парникови газове при подпомаганата дейност не са значително по-ниски от съответните референтни стойности се обясняват причините, поради които това не е възможно. Референтни стойности за безплатно предоставяне на квоти за дейностите, попадащи в обхвата на схемата за търговия с емисии, както е посочено в Регламент за изпълнение (ЕС) 2021/447 на Комисията.</w:t>
      </w:r>
    </w:p>
  </w:footnote>
  <w:footnote w:id="20">
    <w:p w14:paraId="46679767" w14:textId="77777777" w:rsidR="00373389" w:rsidRPr="007D338F" w:rsidRDefault="00373389" w:rsidP="00624B78">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Това изключение не се прилага за действия по тази мярка в инсталации, предназначени изключително за третиране на опасни отпадъци, които не подлежат на рециклиране, и за съществуващи инсталации, при които действията по тази мярка имат за цел повишаване на енергийната ефективност, улавяне на отработени газове за съхранение или използване или оползотворяване на материали от пепел от изгаряне, при условие че тези действия по тази мярка не водят до увеличаване на капацитета на инсталациите за преработка на отпадъци или до удължаване на жизнения цикъл на инсталациите; доказателства за това се представят за всяка инсталация.</w:t>
      </w:r>
    </w:p>
  </w:footnote>
  <w:footnote w:id="21">
    <w:p w14:paraId="0F28229D" w14:textId="77777777" w:rsidR="00373389" w:rsidRPr="007D338F" w:rsidRDefault="00373389" w:rsidP="00624B78">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Това изключение не се прилага за действия по тази мярка в съществуващи заводи за механично биологично третиране, при които действията по тази мярка са предназначени за повишаване на енергийната ефективност или за модернизиране на дейностите по рециклиране на разделени отпадъци за компостиране на биоотпадъци и анаеробно разграждане на биоотпадъци, при условие че тези действия по тази мярка не водят до увеличаване на капацитета на предприятията за преработка на отпадъци или до удължаване на жизнения цикъл на инсталациите; доказателства за това се представят за всяка инсталация.</w:t>
      </w:r>
    </w:p>
  </w:footnote>
  <w:footnote w:id="22">
    <w:p w14:paraId="536A4582" w14:textId="77777777" w:rsidR="00373389" w:rsidRPr="007D338F" w:rsidRDefault="00373389" w:rsidP="00A71DD8">
      <w:pPr>
        <w:pStyle w:val="FootnoteText"/>
        <w:jc w:val="both"/>
        <w:rPr>
          <w:rFonts w:ascii="Times New Roman" w:hAnsi="Times New Roman" w:cs="Times New Roman"/>
        </w:rPr>
      </w:pPr>
      <w:r w:rsidRPr="00192C2E">
        <w:rPr>
          <w:rStyle w:val="FootnoteReference"/>
          <w:rFonts w:ascii="Times New Roman" w:hAnsi="Times New Roman" w:cs="Times New Roman"/>
        </w:rPr>
        <w:footnoteRef/>
      </w:r>
      <w:r>
        <w:t xml:space="preserve"> </w:t>
      </w:r>
      <w:r>
        <w:rPr>
          <w:rFonts w:ascii="Times New Roman" w:hAnsi="Times New Roman"/>
        </w:rPr>
        <w:t>С изключение на проектите за производство на електроенергия и/или топлоенергия, както и на свързаната с тях инфраструктура за пренос и разпределение, използващи природен газ, които отговарят на условията, определени в приложение III към техническите насоки „Ненанасяне на значителни вреди“ (2021/C58/01).</w:t>
      </w:r>
    </w:p>
  </w:footnote>
  <w:footnote w:id="23">
    <w:p w14:paraId="2EF96731" w14:textId="1409D8E8" w:rsidR="00373389" w:rsidRPr="007D338F" w:rsidRDefault="00373389" w:rsidP="00A71DD8">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Ако прогнозираните емисии на парникови газове при подпомаганата дейност не са значително по-ниски от съответните референтни стойности се обясняват причините, поради които това не е възможно. Референтни стойности за безплатно предоставяне на квоти за дейностите, попадащи в обхвата на схемата за търговия с емисии, както е посочено в Регламент за изпълнение (ЕС) 2021/447 на Комисията.</w:t>
      </w:r>
    </w:p>
  </w:footnote>
  <w:footnote w:id="24">
    <w:p w14:paraId="30F889E9" w14:textId="77777777" w:rsidR="00373389" w:rsidRPr="007D338F" w:rsidRDefault="00373389" w:rsidP="00A71DD8">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Това изключение не се прилага за действия по тази мярка в инсталации, предназначени изключително за третиране на опасни отпадъци, които не подлежат на рециклиране, и за съществуващи инсталации, при които действията по тази мярка имат за цел повишаване на енергийната ефективност, улавяне на отработени газове за съхранение или използване или оползотворяване на материали от пепел от изгаряне, при условие че тези действия по тази мярка не водят до увеличаване на капацитета на инсталациите за преработка на отпадъци или до удължаване на жизнения цикъл на инсталациите; доказателства за това се представят за всяка инсталация.</w:t>
      </w:r>
    </w:p>
  </w:footnote>
  <w:footnote w:id="25">
    <w:p w14:paraId="49CF7195" w14:textId="77777777" w:rsidR="00373389" w:rsidRPr="007D338F" w:rsidRDefault="00373389" w:rsidP="00A71DD8">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Това изключение не се прилага за действия по тази мярка в съществуващи заводи за механично биологично третиране, при които действията по тази мярка са предназначени за повишаване на енергийната ефективност или за модернизиране на дейностите по рециклиране на разделени отпадъци за компостиране на биоотпадъци и анаеробно разграждане на биоотпадъци, при условие че тези действия по тази мярка не водят до увеличаване на капацитета на предприятията за преработка на отпадъци или до удължаване на жизнения цикъл на инсталациите; доказателства за това се представят за всяка инсталация.</w:t>
      </w:r>
    </w:p>
  </w:footnote>
  <w:footnote w:id="26">
    <w:p w14:paraId="163EC903" w14:textId="77777777" w:rsidR="00373389" w:rsidRPr="007D338F" w:rsidRDefault="00373389" w:rsidP="00AF2E54">
      <w:pPr>
        <w:pStyle w:val="FootnoteText"/>
        <w:jc w:val="both"/>
        <w:rPr>
          <w:rFonts w:ascii="Times New Roman" w:hAnsi="Times New Roman" w:cs="Times New Roman"/>
        </w:rPr>
      </w:pPr>
      <w:r w:rsidRPr="00192C2E">
        <w:rPr>
          <w:rStyle w:val="FootnoteReference"/>
          <w:rFonts w:ascii="Times New Roman" w:hAnsi="Times New Roman" w:cs="Times New Roman"/>
        </w:rPr>
        <w:footnoteRef/>
      </w:r>
      <w:r>
        <w:t xml:space="preserve"> </w:t>
      </w:r>
      <w:r>
        <w:rPr>
          <w:rFonts w:ascii="Times New Roman" w:hAnsi="Times New Roman"/>
        </w:rPr>
        <w:t>С изключение на проектите за производство на електроенергия и/или топлоенергия, както и на свързаната с тях инфраструктура за пренос и разпределение, използващи природен газ, които отговарят на условията, определени в приложение III към техническите насоки „Ненанасяне на значителни вреди“ (2021/C58/01).</w:t>
      </w:r>
    </w:p>
  </w:footnote>
  <w:footnote w:id="27">
    <w:p w14:paraId="01B224E7" w14:textId="58D2F620" w:rsidR="00373389" w:rsidRPr="007D338F" w:rsidRDefault="00373389" w:rsidP="00AF2E54">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Ако прогнозираните емисии на парникови газове при подпомаганата дейност не са значително по-ниски от съответните референтни стойности се обясняват причините, поради които това не е възможно. Референтни стойности за безплатно предоставяне на квоти за дейностите, попадащи в обхвата на схемата за търговия с емисии, както е посочено в Регламент за изпълнение (ЕС) 2021/447 на Комисията.</w:t>
      </w:r>
    </w:p>
  </w:footnote>
  <w:footnote w:id="28">
    <w:p w14:paraId="2A3E56DC" w14:textId="77777777" w:rsidR="00373389" w:rsidRPr="007D338F" w:rsidRDefault="00373389" w:rsidP="00AF2E54">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Това изключение не се прилага за действия по тази мярка в инсталации, предназначени изключително за третиране на опасни отпадъци, които не подлежат на рециклиране, и за съществуващи инсталации, при които действията по тази мярка имат за цел повишаване на енергийната ефективност, улавяне на отработени газове за съхранение или използване или оползотворяване на материали от пепел от изгаряне, при условие че тези действия по тази мярка не водят до увеличаване на капацитета на инсталациите за преработка на отпадъци или до удължаване на жизнения цикъл на инсталациите; доказателства за това се представят за всяка инсталация.</w:t>
      </w:r>
    </w:p>
  </w:footnote>
  <w:footnote w:id="29">
    <w:p w14:paraId="3496FE75" w14:textId="77777777" w:rsidR="00373389" w:rsidRPr="007D338F" w:rsidRDefault="00373389" w:rsidP="00AF2E54">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Това изключение не се прилага за действия по тази мярка в съществуващи заводи за механично биологично третиране, при които действията по тази мярка са предназначени за повишаване на енергийната ефективност или за модернизиране на дейностите по рециклиране на разделени отпадъци за компостиране на биоотпадъци и анаеробно разграждане на биоотпадъци, при условие че тези действия по тази мярка не водят до увеличаване на капацитета на предприятията за преработка на отпадъци или до удължаване на жизнения цикъл на инсталациите; доказателства за това се представят за всяка инсталация.</w:t>
      </w:r>
    </w:p>
  </w:footnote>
  <w:footnote w:id="30">
    <w:p w14:paraId="2590B93C" w14:textId="77777777" w:rsidR="00373389" w:rsidRPr="007D338F" w:rsidRDefault="00373389" w:rsidP="008B6DC8">
      <w:pPr>
        <w:pStyle w:val="FootnoteText"/>
        <w:jc w:val="both"/>
        <w:rPr>
          <w:rFonts w:ascii="Times New Roman" w:hAnsi="Times New Roman" w:cs="Times New Roman"/>
        </w:rPr>
      </w:pPr>
      <w:r w:rsidRPr="00192C2E">
        <w:rPr>
          <w:rStyle w:val="FootnoteReference"/>
          <w:rFonts w:ascii="Times New Roman" w:hAnsi="Times New Roman" w:cs="Times New Roman"/>
        </w:rPr>
        <w:footnoteRef/>
      </w:r>
      <w:r>
        <w:t xml:space="preserve"> </w:t>
      </w:r>
      <w:r>
        <w:rPr>
          <w:rFonts w:ascii="Times New Roman" w:hAnsi="Times New Roman"/>
        </w:rPr>
        <w:t>С изключение на проектите за производство на електроенергия и/или топлоенергия, както и на свързаната с тях инфраструктура за пренос и разпределение, използващи природен газ, които отговарят на условията, определени в приложение III към техническите насоки „Ненанасяне на значителни вреди“ (2021/C58/01).</w:t>
      </w:r>
    </w:p>
  </w:footnote>
  <w:footnote w:id="31">
    <w:p w14:paraId="3C1EFD6D" w14:textId="30390C28" w:rsidR="00373389" w:rsidRPr="007D338F" w:rsidRDefault="00373389" w:rsidP="008B6DC8">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Ако прогнозираните емисии на парникови газове при подпомаганата дейност не са значително по-ниски от съответните референтни стойности се обясняват причините, поради които това не е възможно. Референтни стойности за безплатно предоставяне на квоти за дейностите, попадащи в обхвата на схемата за търговия с емисии, както е посочено в Регламент за изпълнение (ЕС) 2021/447 на Комисията.</w:t>
      </w:r>
    </w:p>
  </w:footnote>
  <w:footnote w:id="32">
    <w:p w14:paraId="0BED1525" w14:textId="77777777" w:rsidR="00373389" w:rsidRPr="007D338F" w:rsidRDefault="00373389" w:rsidP="008B6DC8">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Това изключение не се прилага за действия по тази мярка в инсталации, предназначени изключително за третиране на опасни отпадъци, които не подлежат на рециклиране, и за съществуващи инсталации, при които действията по тази мярка имат за цел повишаване на енергийната ефективност, улавяне на отработени газове за съхранение или използване или оползотворяване на материали от пепел от изгаряне, при условие че тези действия по тази мярка не водят до увеличаване на капацитета на инсталациите за преработка на отпадъци или до удължаване на жизнения цикъл на инсталациите; доказателства за това се представят за всяка инсталация.</w:t>
      </w:r>
    </w:p>
  </w:footnote>
  <w:footnote w:id="33">
    <w:p w14:paraId="2150D80D" w14:textId="77777777" w:rsidR="00373389" w:rsidRPr="007D338F" w:rsidRDefault="00373389" w:rsidP="008B6DC8">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Това изключение не се прилага за действия по тази мярка в съществуващи заводи за механично биологично третиране, при които действията по тази мярка са предназначени за повишаване на енергийната ефективност или за модернизиране на дейностите по рециклиране на разделени отпадъци за компостиране на биоотпадъци и анаеробно разграждане на биоотпадъци, при условие че тези действия по тази мярка не водят до увеличаване на капацитета на предприятията за преработка на отпадъци или до удължаване на жизнения цикъл на инсталациите; доказателства за това се представят за всяка инсталация.</w:t>
      </w:r>
    </w:p>
  </w:footnote>
  <w:footnote w:id="34">
    <w:p w14:paraId="717A13EF" w14:textId="77777777" w:rsidR="00373389" w:rsidRPr="007D338F" w:rsidRDefault="00373389" w:rsidP="002057F2">
      <w:pPr>
        <w:pStyle w:val="FootnoteText"/>
        <w:jc w:val="both"/>
        <w:rPr>
          <w:rFonts w:ascii="Times New Roman" w:hAnsi="Times New Roman" w:cs="Times New Roman"/>
        </w:rPr>
      </w:pPr>
      <w:r w:rsidRPr="00192C2E">
        <w:rPr>
          <w:rStyle w:val="FootnoteReference"/>
          <w:rFonts w:ascii="Times New Roman" w:hAnsi="Times New Roman" w:cs="Times New Roman"/>
        </w:rPr>
        <w:footnoteRef/>
      </w:r>
      <w:r>
        <w:t xml:space="preserve"> </w:t>
      </w:r>
      <w:r>
        <w:rPr>
          <w:rFonts w:ascii="Times New Roman" w:hAnsi="Times New Roman"/>
        </w:rPr>
        <w:t>С изключение на проектите за производство на електроенергия и/или топлоенергия, както и на свързаната с тях инфраструктура за пренос и разпределение, използващи природен газ, които отговарят на условията, определени в приложение III към техническите насоки „Ненанасяне на значителни вреди“ (2021/C58/01).</w:t>
      </w:r>
    </w:p>
  </w:footnote>
  <w:footnote w:id="35">
    <w:p w14:paraId="735B9D6D" w14:textId="17942EE7" w:rsidR="00373389" w:rsidRPr="007D338F" w:rsidRDefault="00373389" w:rsidP="002057F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Ако прогнозираните емисии на парникови газове при подпомаганата дейност не са значително по-ниски от съответните референтни стойности се обясняват причините, поради които това не е възможно. Референтни стойности за безплатно предоставяне на квоти за дейностите, попадащи в обхвата на схемата за търговия с емисии, както е посочено в Регламент за изпълнение (ЕС) 2021/447 на Комисията.</w:t>
      </w:r>
    </w:p>
  </w:footnote>
  <w:footnote w:id="36">
    <w:p w14:paraId="1CB34421" w14:textId="77777777" w:rsidR="00373389" w:rsidRPr="007D338F" w:rsidRDefault="00373389" w:rsidP="002057F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Това изключение не се прилага за действия по тази мярка в инсталации, предназначени изключително за третиране на опасни отпадъци, които не подлежат на рециклиране, и за съществуващи инсталации, при които действията по тази мярка имат за цел повишаване на енергийната ефективност, улавяне на отработени газове за съхранение или използване или оползотворяване на материали от пепел от изгаряне, при условие че тези действия по тази мярка не водят до увеличаване на капацитета на инсталациите за преработка на отпадъци или до удължаване на жизнения цикъл на инсталациите; доказателства за това се представят за всяка инсталация.</w:t>
      </w:r>
    </w:p>
  </w:footnote>
  <w:footnote w:id="37">
    <w:p w14:paraId="24495E43" w14:textId="77777777" w:rsidR="00373389" w:rsidRPr="007D338F" w:rsidRDefault="00373389" w:rsidP="002057F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Това изключение не се прилага за действия по тази мярка в съществуващи заводи за механично биологично третиране, при които действията по тази мярка са предназначени за повишаване на енергийната ефективност или за модернизиране на дейностите по рециклиране на разделени отпадъци за компостиране на биоотпадъци и анаеробно разграждане на биоотпадъци, при условие че тези действия по тази мярка не водят до увеличаване на капацитета на предприятията за преработка на отпадъци или до удължаване на жизнения цикъл на инсталациите; доказателства за това се представят за всяка инсталация.</w:t>
      </w:r>
    </w:p>
  </w:footnote>
  <w:footnote w:id="38">
    <w:p w14:paraId="0CA515B0" w14:textId="77777777" w:rsidR="00373389" w:rsidRPr="007D338F" w:rsidRDefault="00373389" w:rsidP="002057F2">
      <w:pPr>
        <w:pStyle w:val="FootnoteText"/>
        <w:jc w:val="both"/>
        <w:rPr>
          <w:rFonts w:ascii="Times New Roman" w:hAnsi="Times New Roman" w:cs="Times New Roman"/>
        </w:rPr>
      </w:pPr>
      <w:r w:rsidRPr="00192C2E">
        <w:rPr>
          <w:rStyle w:val="FootnoteReference"/>
          <w:rFonts w:ascii="Times New Roman" w:hAnsi="Times New Roman" w:cs="Times New Roman"/>
        </w:rPr>
        <w:footnoteRef/>
      </w:r>
      <w:r>
        <w:t xml:space="preserve"> </w:t>
      </w:r>
      <w:r>
        <w:rPr>
          <w:rFonts w:ascii="Times New Roman" w:hAnsi="Times New Roman"/>
        </w:rPr>
        <w:t>С изключение на проектите за производство на електроенергия и/или топлоенергия, както и на свързаната с тях инфраструктура за пренос и разпределение, използващи природен газ, които отговарят на условията, определени в приложение III към техническите насоки „Ненанасяне на значителни вреди“ (2021/C58/01).</w:t>
      </w:r>
    </w:p>
  </w:footnote>
  <w:footnote w:id="39">
    <w:p w14:paraId="343DB5EA" w14:textId="2AD81BA0" w:rsidR="00373389" w:rsidRPr="007D338F" w:rsidRDefault="00373389" w:rsidP="002057F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Ако прогнозираните емисии на парникови газове при подпомаганата дейност не са значително по-ниски от съответните референтни стойности се обясняват причините, поради които това не е възможно. Референтни стойности за безплатно предоставяне на квоти за дейностите, попадащи в обхвата на схемата за търговия с емисии, както е посочено в Регламент за изпълнение (ЕС) 2021/447 на Комисията.</w:t>
      </w:r>
    </w:p>
  </w:footnote>
  <w:footnote w:id="40">
    <w:p w14:paraId="379EC3D1" w14:textId="77777777" w:rsidR="00373389" w:rsidRPr="007D338F" w:rsidRDefault="00373389" w:rsidP="006D44BA">
      <w:pPr>
        <w:pStyle w:val="FootnoteText"/>
        <w:jc w:val="both"/>
        <w:rPr>
          <w:rFonts w:ascii="Times New Roman" w:hAnsi="Times New Roman" w:cs="Times New Roman"/>
        </w:rPr>
      </w:pPr>
      <w:r w:rsidRPr="00192C2E">
        <w:rPr>
          <w:rStyle w:val="FootnoteReference"/>
          <w:rFonts w:ascii="Times New Roman" w:hAnsi="Times New Roman" w:cs="Times New Roman"/>
        </w:rPr>
        <w:footnoteRef/>
      </w:r>
      <w:r>
        <w:t xml:space="preserve"> </w:t>
      </w:r>
      <w:r>
        <w:rPr>
          <w:rFonts w:ascii="Times New Roman" w:hAnsi="Times New Roman"/>
        </w:rPr>
        <w:t>С изключение на проектите за производство на електроенергия и/или топлоенергия, както и на свързаната с тях инфраструктура за пренос и разпределение, използващи природен газ, които отговарят на условията, определени в приложение III към техническите насоки „Ненанасяне на значителни вреди“ (2021/C58/01).</w:t>
      </w:r>
    </w:p>
  </w:footnote>
  <w:footnote w:id="41">
    <w:p w14:paraId="60CAFD71" w14:textId="3FA89C72" w:rsidR="00373389" w:rsidRPr="007D338F" w:rsidRDefault="00373389" w:rsidP="006D44BA">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Ако прогнозираните емисии на парникови газове при подпомаганата дейност не са значително по-ниски от съответните референтни стойности се обясняват причините, поради които това не е възможно. Референтни стойности за безплатно предоставяне на квоти за дейностите, попадащи в обхвата на схемата за търговия с емисии, както е посочено в Регламент за изпълнение (ЕС) 2021/447 на Комисията.</w:t>
      </w:r>
    </w:p>
  </w:footnote>
  <w:footnote w:id="42">
    <w:p w14:paraId="6669D40E" w14:textId="77777777" w:rsidR="00373389" w:rsidRPr="007D338F" w:rsidRDefault="00373389" w:rsidP="006D44BA">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Това изключение не се прилага за действия по тази мярка в инсталации, предназначени изключително за третиране на опасни отпадъци, които не подлежат на рециклиране, и за съществуващи инсталации, при които действията по тази мярка имат за цел повишаване на енергийната ефективност, улавяне на отработени газове за съхранение или използване или оползотворяване на материали от пепел от изгаряне, при условие че тези действия по тази мярка не водят до увеличаване на капацитета на инсталациите за преработка на отпадъци или до удължаване на жизнения цикъл на инсталациите; доказателства за това се представят за всяка инсталация.</w:t>
      </w:r>
    </w:p>
  </w:footnote>
  <w:footnote w:id="43">
    <w:p w14:paraId="04F90E88" w14:textId="77777777" w:rsidR="00373389" w:rsidRPr="007D338F" w:rsidRDefault="00373389" w:rsidP="006D44BA">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Това изключение не се прилага за действия по тази мярка в съществуващи заводи за механично биологично третиране, при които действията по тази мярка са предназначени за повишаване на енергийната ефективност или за модернизиране на дейностите по рециклиране на разделени отпадъци за компостиране на биоотпадъци и анаеробно разграждане на биоотпадъци, при условие че тези действия по тази мярка не водят до увеличаване на капацитета на предприятията за преработка на отпадъци или до удължаване на жизнения цикъл на инсталациите; доказателства за това се представят за всяка инсталация.</w:t>
      </w:r>
    </w:p>
  </w:footnote>
  <w:footnote w:id="44">
    <w:p w14:paraId="6B1FEE99" w14:textId="77777777" w:rsidR="00373389" w:rsidRPr="007D338F" w:rsidRDefault="00373389" w:rsidP="00617005">
      <w:pPr>
        <w:pStyle w:val="FootnoteText"/>
        <w:jc w:val="both"/>
        <w:rPr>
          <w:rFonts w:ascii="Times New Roman" w:hAnsi="Times New Roman" w:cs="Times New Roman"/>
        </w:rPr>
      </w:pPr>
      <w:r w:rsidRPr="00192C2E">
        <w:rPr>
          <w:rStyle w:val="FootnoteReference"/>
          <w:rFonts w:ascii="Times New Roman" w:hAnsi="Times New Roman" w:cs="Times New Roman"/>
        </w:rPr>
        <w:footnoteRef/>
      </w:r>
      <w:r>
        <w:t xml:space="preserve"> </w:t>
      </w:r>
      <w:r>
        <w:rPr>
          <w:rFonts w:ascii="Times New Roman" w:hAnsi="Times New Roman"/>
        </w:rPr>
        <w:t>С изключение на проектите за производство на електроенергия и/или топлоенергия, както и на свързаната с тях инфраструктура за пренос и разпределение, използващи природен газ, които отговарят на условията, определени в приложение III към техническите насоки „Ненанасяне на значителни вреди“ (2021/C58/01).</w:t>
      </w:r>
    </w:p>
  </w:footnote>
  <w:footnote w:id="45">
    <w:p w14:paraId="4311466A" w14:textId="42869AA7" w:rsidR="00373389" w:rsidRPr="007D338F" w:rsidRDefault="00373389" w:rsidP="0061700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Ако прогнозираните емисии на парникови газове при подпомаганата дейност не са значително по-ниски от съответните референтни стойности се обясняват причините, поради които това не е възможно. Референтни стойности за безплатно предоставяне на квоти за дейностите, попадащи в обхвата на схемата за търговия с емисии, както е посочено в Регламент за изпълнение (ЕС) 2021/447 на Комисията.</w:t>
      </w:r>
    </w:p>
  </w:footnote>
  <w:footnote w:id="46">
    <w:p w14:paraId="08C71A77" w14:textId="77777777" w:rsidR="00373389" w:rsidRPr="007D338F" w:rsidRDefault="00373389" w:rsidP="0061700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Това изключение не се прилага за действия по тази мярка в инсталации, предназначени изключително за третиране на опасни отпадъци, които не подлежат на рециклиране, и за съществуващи инсталации, при които действията по тази мярка имат за цел повишаване на енергийната ефективност, улавяне на отработени газове за съхранение или използване или оползотворяване на материали от пепел от изгаряне, при условие че тези действия по тази мярка не водят до увеличаване на капацитета на инсталациите за преработка на отпадъци или до удължаване на жизнения цикъл на инсталациите; доказателства за това се представят за всяка инсталация.</w:t>
      </w:r>
    </w:p>
  </w:footnote>
  <w:footnote w:id="47">
    <w:p w14:paraId="594F056B" w14:textId="77777777" w:rsidR="00373389" w:rsidRPr="007D338F" w:rsidRDefault="00373389" w:rsidP="0061700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Това изключение не се прилага за действия по тази мярка в съществуващи заводи за механично биологично третиране, при които действията по тази мярка са предназначени за повишаване на енергийната ефективност или за модернизиране на дейностите по рециклиране на разделени отпадъци за компостиране на биоотпадъци и анаеробно разграждане на биоотпадъци, при условие че тези действия по тази мярка не водят до увеличаване на капацитета на предприятията за преработка на отпадъци или до удължаване на жизнения цикъл на инсталациите; доказателства за това се представят за всяка инсталация.</w:t>
      </w:r>
    </w:p>
  </w:footnote>
  <w:footnote w:id="48">
    <w:p w14:paraId="1F39D2FE" w14:textId="7111E769" w:rsidR="00373389" w:rsidRPr="006103E4" w:rsidRDefault="00373389" w:rsidP="00C937A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 w:history="1">
        <w:r>
          <w:rPr>
            <w:rStyle w:val="Hyperlink"/>
            <w:rFonts w:ascii="Times New Roman" w:hAnsi="Times New Roman"/>
          </w:rPr>
          <w:t>https://ec.europa.eu/newsroom/dae/document.cfm?doc_id=75185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6F15F" w14:textId="77777777" w:rsidR="007376BA" w:rsidRPr="007376BA" w:rsidRDefault="007376BA" w:rsidP="007376B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FB472" w14:textId="77777777" w:rsidR="00373389" w:rsidRDefault="0037338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9B6BA" w14:textId="77777777" w:rsidR="00373389" w:rsidRPr="00A3795A" w:rsidRDefault="00373389" w:rsidP="00A3795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79AE3" w14:textId="77777777" w:rsidR="00373389" w:rsidRPr="00A06563" w:rsidRDefault="00373389" w:rsidP="003B792C">
    <w:pPr>
      <w:pStyle w:val="HeaderLandscape"/>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90737" w14:textId="77777777" w:rsidR="00373389" w:rsidRDefault="0037338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5EE5F" w14:textId="77777777" w:rsidR="00373389" w:rsidRPr="00A3795A" w:rsidRDefault="00373389" w:rsidP="00A3795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E1207" w14:textId="77777777" w:rsidR="00373389" w:rsidRPr="00A06563" w:rsidRDefault="00373389" w:rsidP="003B792C">
    <w:pPr>
      <w:pStyle w:val="HeaderLandscape"/>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0AD17" w14:textId="77777777" w:rsidR="00373389" w:rsidRDefault="00373389">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81821" w14:textId="77777777" w:rsidR="00373389" w:rsidRPr="00A3795A" w:rsidRDefault="00373389" w:rsidP="00A3795A">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E342D" w14:textId="77777777" w:rsidR="00373389" w:rsidRPr="00A06563" w:rsidRDefault="00373389" w:rsidP="003B792C">
    <w:pPr>
      <w:pStyle w:val="HeaderLandscape"/>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2756C" w14:textId="77777777" w:rsidR="00373389" w:rsidRDefault="003733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94D71" w14:textId="77777777" w:rsidR="007376BA" w:rsidRPr="007376BA" w:rsidRDefault="007376BA" w:rsidP="007376BA">
    <w:pPr>
      <w:pStyle w:val="HeaderCoverPage"/>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2614B" w14:textId="77777777" w:rsidR="00373389" w:rsidRPr="00A3795A" w:rsidRDefault="00373389" w:rsidP="00A3795A">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99C55" w14:textId="77777777" w:rsidR="00373389" w:rsidRPr="00A06563" w:rsidRDefault="00373389" w:rsidP="003B792C">
    <w:pPr>
      <w:pStyle w:val="HeaderLandscape"/>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06516" w14:textId="77777777" w:rsidR="00373389" w:rsidRDefault="00373389">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6C61F" w14:textId="77777777" w:rsidR="00373389" w:rsidRPr="00A3795A" w:rsidRDefault="00373389" w:rsidP="00A3795A">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3A51C" w14:textId="77777777" w:rsidR="00373389" w:rsidRPr="00A06563" w:rsidRDefault="00373389" w:rsidP="003B792C">
    <w:pPr>
      <w:pStyle w:val="HeaderLandscape"/>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7D1BA" w14:textId="77777777" w:rsidR="00373389" w:rsidRDefault="00373389">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C1C89" w14:textId="77777777" w:rsidR="00373389" w:rsidRPr="00A3795A" w:rsidRDefault="00373389" w:rsidP="00A3795A">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6CFDF" w14:textId="77777777" w:rsidR="00373389" w:rsidRPr="00A06563" w:rsidRDefault="00373389" w:rsidP="003B792C">
    <w:pPr>
      <w:pStyle w:val="HeaderLandscape"/>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A8F5F" w14:textId="77777777" w:rsidR="00373389" w:rsidRDefault="00373389">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3FA4D" w14:textId="77777777" w:rsidR="00373389" w:rsidRPr="00A3795A" w:rsidRDefault="00373389" w:rsidP="00A379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0B1DE" w14:textId="77777777" w:rsidR="007376BA" w:rsidRPr="007376BA" w:rsidRDefault="007376BA" w:rsidP="007376BA">
    <w:pPr>
      <w:pStyle w:val="HeaderCoverPage"/>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29553" w14:textId="77777777" w:rsidR="00373389" w:rsidRPr="00A06563" w:rsidRDefault="00373389" w:rsidP="003B792C">
    <w:pPr>
      <w:pStyle w:val="HeaderLandscape"/>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7A670" w14:textId="77777777" w:rsidR="00373389" w:rsidRDefault="00373389">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B0C25" w14:textId="77777777" w:rsidR="00373389" w:rsidRPr="00A3795A" w:rsidRDefault="00373389" w:rsidP="00A3795A">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D075E" w14:textId="77777777" w:rsidR="00373389" w:rsidRPr="00A06563" w:rsidRDefault="00373389" w:rsidP="003B792C">
    <w:pPr>
      <w:pStyle w:val="HeaderLandscape"/>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3E190" w14:textId="77777777" w:rsidR="00373389" w:rsidRDefault="00373389">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CB1A4" w14:textId="77777777" w:rsidR="00373389" w:rsidRPr="00A3795A" w:rsidRDefault="00373389" w:rsidP="00A3795A">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54546" w14:textId="77777777" w:rsidR="00373389" w:rsidRPr="00A06563" w:rsidRDefault="00373389" w:rsidP="003B792C">
    <w:pPr>
      <w:pStyle w:val="HeaderLandscape"/>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75E12" w14:textId="77777777" w:rsidR="00373389" w:rsidRDefault="00373389">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3E946" w14:textId="77777777" w:rsidR="00373389" w:rsidRPr="00A3795A" w:rsidRDefault="00373389" w:rsidP="00A3795A">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92FC8" w14:textId="77777777" w:rsidR="00373389" w:rsidRPr="00A06563" w:rsidRDefault="00373389" w:rsidP="003B792C">
    <w:pPr>
      <w:pStyle w:val="HeaderLandscap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4F4BA" w14:textId="77777777" w:rsidR="00373389" w:rsidRDefault="00373389">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D504A" w14:textId="77777777" w:rsidR="00373389" w:rsidRDefault="00373389">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1C874" w14:textId="77777777" w:rsidR="00373389" w:rsidRPr="00A3795A" w:rsidRDefault="00373389" w:rsidP="00A3795A">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F9981" w14:textId="77777777" w:rsidR="00373389" w:rsidRPr="00A06563" w:rsidRDefault="00373389" w:rsidP="003B792C">
    <w:pPr>
      <w:pStyle w:val="HeaderLandscape"/>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DC54D" w14:textId="77777777" w:rsidR="00373389" w:rsidRDefault="00373389">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6F22A" w14:textId="77777777" w:rsidR="00373389" w:rsidRPr="00A3795A" w:rsidRDefault="00373389" w:rsidP="00A3795A">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26992" w14:textId="77777777" w:rsidR="00373389" w:rsidRPr="00A06563" w:rsidRDefault="00373389" w:rsidP="003B792C">
    <w:pPr>
      <w:pStyle w:val="HeaderLandscape"/>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AE747" w14:textId="77777777" w:rsidR="00373389" w:rsidRDefault="00373389">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37582" w14:textId="77777777" w:rsidR="00373389" w:rsidRDefault="00373389"/>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F807A" w14:textId="77777777" w:rsidR="00373389" w:rsidRDefault="00373389">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C8521" w14:textId="77777777" w:rsidR="00373389" w:rsidRDefault="0037338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31D7A" w14:textId="77777777" w:rsidR="00373389" w:rsidRPr="00256A2B" w:rsidRDefault="00373389" w:rsidP="00B60432">
    <w:pPr>
      <w:pStyle w:val="HeaderCouncilLarge"/>
    </w:pPr>
    <w:r>
      <w:t> </w:t>
    </w: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D38E3" w14:textId="77777777" w:rsidR="00373389" w:rsidRDefault="00373389"/>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D38E7" w14:textId="77777777" w:rsidR="00373389" w:rsidRPr="00A06563" w:rsidRDefault="00373389" w:rsidP="003B792C">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AB120" w14:textId="77777777" w:rsidR="00373389" w:rsidRDefault="00373389">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AF26B" w14:textId="77777777" w:rsidR="00373389" w:rsidRDefault="00373389"/>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B544F" w14:textId="77777777" w:rsidR="00373389" w:rsidRPr="00A06563" w:rsidRDefault="00373389" w:rsidP="003B792C">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2DB02" w14:textId="77777777" w:rsidR="00373389" w:rsidRPr="00B60432" w:rsidRDefault="00373389" w:rsidP="00B60432">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F2D45" w14:textId="77777777" w:rsidR="00373389" w:rsidRPr="00B60432" w:rsidRDefault="00373389" w:rsidP="00B60432">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69ACB" w14:textId="77777777" w:rsidR="00373389" w:rsidRPr="00B60432" w:rsidRDefault="00373389" w:rsidP="00B60432">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C8223" w14:textId="77777777" w:rsidR="00373389" w:rsidRPr="00B60432" w:rsidRDefault="00373389" w:rsidP="00B60432">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2DF87" w14:textId="77777777" w:rsidR="00373389" w:rsidRPr="00B60432" w:rsidRDefault="00373389" w:rsidP="00B6043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F9698" w14:textId="77777777" w:rsidR="00373389" w:rsidRDefault="00373389">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DB405" w14:textId="77777777" w:rsidR="00373389" w:rsidRPr="00B60432" w:rsidRDefault="00373389" w:rsidP="00B60432">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FA26B" w14:textId="77777777" w:rsidR="00373389" w:rsidRPr="00B60432" w:rsidRDefault="00373389" w:rsidP="00B60432">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7BB38" w14:textId="77777777" w:rsidR="00373389" w:rsidRPr="00B60432" w:rsidRDefault="00373389" w:rsidP="00B60432">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B6D47" w14:textId="77777777" w:rsidR="00373389" w:rsidRPr="00B60432" w:rsidRDefault="00373389" w:rsidP="00B60432">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04981" w14:textId="77777777" w:rsidR="00373389" w:rsidRPr="00B60432" w:rsidRDefault="00373389" w:rsidP="00B60432">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E35AC" w14:textId="77777777" w:rsidR="00373389" w:rsidRPr="00B60432" w:rsidRDefault="00373389" w:rsidP="00B60432">
    <w:pPr>
      <w:pStyle w:val="Header"/>
    </w:pPr>
  </w:p>
</w:hdr>
</file>

<file path=word/header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3D222" w14:textId="77777777" w:rsidR="00373389" w:rsidRPr="00B60432" w:rsidRDefault="00373389" w:rsidP="00B60432">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8CB59" w14:textId="77777777" w:rsidR="00373389" w:rsidRPr="00B60432" w:rsidRDefault="00373389" w:rsidP="00B60432">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FFBA8" w14:textId="77777777" w:rsidR="00373389" w:rsidRPr="00B60432" w:rsidRDefault="00373389" w:rsidP="00B60432">
    <w:pPr>
      <w:pStyle w:val="Header"/>
    </w:pPr>
  </w:p>
</w:hdr>
</file>

<file path=word/header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52B6D" w14:textId="77777777" w:rsidR="00373389" w:rsidRPr="00B60432" w:rsidRDefault="00373389" w:rsidP="00B6043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F8734" w14:textId="77777777" w:rsidR="00373389" w:rsidRDefault="00373389">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AFDF6" w14:textId="77777777" w:rsidR="00373389" w:rsidRPr="00B60432" w:rsidRDefault="00373389" w:rsidP="00B60432">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2998B" w14:textId="77777777" w:rsidR="00373389" w:rsidRPr="00B60432" w:rsidRDefault="00373389" w:rsidP="00B60432">
    <w:pPr>
      <w:pStyle w:val="Header"/>
    </w:pPr>
  </w:p>
</w:hdr>
</file>

<file path=word/header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38552" w14:textId="77777777" w:rsidR="00373389" w:rsidRPr="00B60432" w:rsidRDefault="00373389" w:rsidP="00B60432">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D300B" w14:textId="77777777" w:rsidR="00373389" w:rsidRPr="00B60432" w:rsidRDefault="00373389" w:rsidP="00B60432">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54692" w14:textId="77777777" w:rsidR="00373389" w:rsidRPr="00B60432" w:rsidRDefault="00373389" w:rsidP="00B60432">
    <w:pPr>
      <w:pStyle w:val="Header"/>
    </w:pPr>
  </w:p>
</w:hdr>
</file>

<file path=word/header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91CCA" w14:textId="77777777" w:rsidR="00373389" w:rsidRPr="00B60432" w:rsidRDefault="00373389" w:rsidP="00B60432">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BCEB3" w14:textId="77777777" w:rsidR="00D21D80" w:rsidRPr="00B60432" w:rsidRDefault="00D21D80" w:rsidP="00B60432">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BDA56" w14:textId="77777777" w:rsidR="00D21D80" w:rsidRPr="00B60432" w:rsidRDefault="00D21D80" w:rsidP="00B60432">
    <w:pPr>
      <w:pStyle w:val="Header"/>
    </w:pPr>
  </w:p>
</w:hdr>
</file>

<file path=word/header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9C888" w14:textId="77777777" w:rsidR="00D21D80" w:rsidRPr="00B60432" w:rsidRDefault="00D21D80" w:rsidP="00B60432">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FD10C" w14:textId="77777777" w:rsidR="00373389" w:rsidRPr="00B60432" w:rsidRDefault="00373389" w:rsidP="00B6043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2C4BC" w14:textId="77777777" w:rsidR="00373389" w:rsidRPr="00A3795A" w:rsidRDefault="00373389" w:rsidP="00A3795A">
    <w:pPr>
      <w:pStyle w:val="Header"/>
    </w:pPr>
  </w:p>
</w:hdr>
</file>

<file path=word/header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16B62" w14:textId="77777777" w:rsidR="00373389" w:rsidRPr="00B60432" w:rsidRDefault="00373389" w:rsidP="00B60432">
    <w:pPr>
      <w:pStyle w:val="Header"/>
    </w:pPr>
  </w:p>
</w:hdr>
</file>

<file path=word/header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D5764" w14:textId="77777777" w:rsidR="00373389" w:rsidRPr="00B60432" w:rsidRDefault="00373389" w:rsidP="00B6043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83BBC" w14:textId="77777777" w:rsidR="00373389" w:rsidRPr="00A06563" w:rsidRDefault="00373389" w:rsidP="003B792C">
    <w:pPr>
      <w:pStyle w:val="HeaderLandscap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31E9FD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C3EBB"/>
    <w:multiLevelType w:val="hybridMultilevel"/>
    <w:tmpl w:val="C81A40D0"/>
    <w:lvl w:ilvl="0" w:tplc="4D96FEA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833EE0"/>
    <w:multiLevelType w:val="hybridMultilevel"/>
    <w:tmpl w:val="D13A233A"/>
    <w:lvl w:ilvl="0" w:tplc="47643D76">
      <w:start w:val="10"/>
      <w:numFmt w:val="bullet"/>
      <w:lvlText w:val="-"/>
      <w:lvlJc w:val="left"/>
      <w:pPr>
        <w:ind w:left="1800" w:hanging="360"/>
      </w:pPr>
      <w:rPr>
        <w:rFonts w:ascii="Calibri" w:eastAsia="Calibri" w:hAnsi="Calibri" w:cs="Calibr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0F269B4"/>
    <w:multiLevelType w:val="hybridMultilevel"/>
    <w:tmpl w:val="B8AE5D46"/>
    <w:lvl w:ilvl="0" w:tplc="9702B384">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8C40E4"/>
    <w:multiLevelType w:val="hybridMultilevel"/>
    <w:tmpl w:val="36663522"/>
    <w:lvl w:ilvl="0" w:tplc="9702B384">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3A2098C"/>
    <w:multiLevelType w:val="hybridMultilevel"/>
    <w:tmpl w:val="FC2E1534"/>
    <w:lvl w:ilvl="0" w:tplc="50CAAC8E">
      <w:start w:val="1"/>
      <w:numFmt w:val="bullet"/>
      <w:lvlText w:val="-"/>
      <w:lvlJc w:val="left"/>
      <w:pPr>
        <w:ind w:left="720" w:hanging="360"/>
      </w:pPr>
      <w:rPr>
        <w:rFonts w:ascii="&quot;Times New Roman&quot;,serif" w:hAnsi="&quot;Times New Roman&quot;,serif"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0A2E55"/>
    <w:multiLevelType w:val="hybridMultilevel"/>
    <w:tmpl w:val="661E23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57453B7"/>
    <w:multiLevelType w:val="hybridMultilevel"/>
    <w:tmpl w:val="B6BE1C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5C16CB7"/>
    <w:multiLevelType w:val="hybridMultilevel"/>
    <w:tmpl w:val="FB7ED930"/>
    <w:lvl w:ilvl="0" w:tplc="08090017">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85F451F"/>
    <w:multiLevelType w:val="hybridMultilevel"/>
    <w:tmpl w:val="F668B108"/>
    <w:lvl w:ilvl="0" w:tplc="0809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09677712"/>
    <w:multiLevelType w:val="hybridMultilevel"/>
    <w:tmpl w:val="74BCB504"/>
    <w:lvl w:ilvl="0" w:tplc="9702B384">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AF1DBC"/>
    <w:multiLevelType w:val="hybridMultilevel"/>
    <w:tmpl w:val="ED1CD93E"/>
    <w:lvl w:ilvl="0" w:tplc="D528050C">
      <w:numFmt w:val="bullet"/>
      <w:lvlText w:val="-"/>
      <w:lvlJc w:val="left"/>
      <w:pPr>
        <w:ind w:left="1210" w:hanging="360"/>
      </w:pPr>
      <w:rPr>
        <w:rFonts w:ascii="Times New Roman" w:eastAsia="Calibri" w:hAnsi="Times New Roman" w:cs="Times New Roman" w:hint="default"/>
      </w:rPr>
    </w:lvl>
    <w:lvl w:ilvl="1" w:tplc="04090003">
      <w:start w:val="1"/>
      <w:numFmt w:val="bullet"/>
      <w:lvlText w:val="o"/>
      <w:lvlJc w:val="left"/>
      <w:pPr>
        <w:ind w:left="2355" w:hanging="360"/>
      </w:pPr>
      <w:rPr>
        <w:rFonts w:ascii="Courier New" w:hAnsi="Courier New" w:cs="Courier New" w:hint="default"/>
      </w:rPr>
    </w:lvl>
    <w:lvl w:ilvl="2" w:tplc="04090005">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12" w15:restartNumberingAfterBreak="0">
    <w:nsid w:val="0A8073B2"/>
    <w:multiLevelType w:val="hybridMultilevel"/>
    <w:tmpl w:val="80A84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B3653FE"/>
    <w:multiLevelType w:val="hybridMultilevel"/>
    <w:tmpl w:val="F8E29760"/>
    <w:lvl w:ilvl="0" w:tplc="08090001">
      <w:start w:val="1"/>
      <w:numFmt w:val="bullet"/>
      <w:lvlText w:val=""/>
      <w:lvlJc w:val="left"/>
      <w:pPr>
        <w:ind w:left="521" w:hanging="38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B795687"/>
    <w:multiLevelType w:val="hybridMultilevel"/>
    <w:tmpl w:val="7DB86450"/>
    <w:lvl w:ilvl="0" w:tplc="D528050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7F2DAF"/>
    <w:multiLevelType w:val="hybridMultilevel"/>
    <w:tmpl w:val="AED24E26"/>
    <w:lvl w:ilvl="0" w:tplc="11462DB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BC362A"/>
    <w:multiLevelType w:val="hybridMultilevel"/>
    <w:tmpl w:val="DDD0F596"/>
    <w:lvl w:ilvl="0" w:tplc="8F5C446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8666DA"/>
    <w:multiLevelType w:val="hybridMultilevel"/>
    <w:tmpl w:val="068C74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0EDA7252"/>
    <w:multiLevelType w:val="hybridMultilevel"/>
    <w:tmpl w:val="D2048F74"/>
    <w:lvl w:ilvl="0" w:tplc="7A72C7A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31F48BE"/>
    <w:multiLevelType w:val="hybridMultilevel"/>
    <w:tmpl w:val="566AAF3E"/>
    <w:lvl w:ilvl="0" w:tplc="08090003">
      <w:start w:val="1"/>
      <w:numFmt w:val="bullet"/>
      <w:lvlText w:val="o"/>
      <w:lvlJc w:val="left"/>
      <w:pPr>
        <w:ind w:left="1570" w:hanging="360"/>
      </w:pPr>
      <w:rPr>
        <w:rFonts w:ascii="Courier New" w:hAnsi="Courier New" w:cs="Courier New"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20" w15:restartNumberingAfterBreak="0">
    <w:nsid w:val="138D4B67"/>
    <w:multiLevelType w:val="hybridMultilevel"/>
    <w:tmpl w:val="08E230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6724B91"/>
    <w:multiLevelType w:val="hybridMultilevel"/>
    <w:tmpl w:val="66EA8A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6FB618F"/>
    <w:multiLevelType w:val="hybridMultilevel"/>
    <w:tmpl w:val="CE10DA72"/>
    <w:lvl w:ilvl="0" w:tplc="9702B38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8A82C5E"/>
    <w:multiLevelType w:val="hybridMultilevel"/>
    <w:tmpl w:val="968ACDB6"/>
    <w:lvl w:ilvl="0" w:tplc="D528050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C9D76F9"/>
    <w:multiLevelType w:val="hybridMultilevel"/>
    <w:tmpl w:val="21BA6686"/>
    <w:lvl w:ilvl="0" w:tplc="69D21410">
      <w:numFmt w:val="bullet"/>
      <w:lvlText w:val="-"/>
      <w:lvlJc w:val="left"/>
      <w:pPr>
        <w:ind w:left="720" w:hanging="360"/>
      </w:pPr>
      <w:rPr>
        <w:rFonts w:ascii="Calibri" w:eastAsiaTheme="minorHAnsi" w:hAnsi="Calibri" w:cs="Calibr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CD25E34"/>
    <w:multiLevelType w:val="hybridMultilevel"/>
    <w:tmpl w:val="53FEC7DE"/>
    <w:lvl w:ilvl="0" w:tplc="36C8F79E">
      <w:start w:val="16"/>
      <w:numFmt w:val="bullet"/>
      <w:lvlText w:val="-"/>
      <w:lvlJc w:val="left"/>
      <w:pPr>
        <w:ind w:left="1154" w:hanging="360"/>
      </w:pPr>
      <w:rPr>
        <w:rFonts w:ascii="Calibri" w:eastAsia="Calibri" w:hAnsi="Calibri" w:cs="Calibri" w:hint="default"/>
      </w:rPr>
    </w:lvl>
    <w:lvl w:ilvl="1" w:tplc="08090003">
      <w:start w:val="1"/>
      <w:numFmt w:val="bullet"/>
      <w:lvlText w:val="o"/>
      <w:lvlJc w:val="left"/>
      <w:pPr>
        <w:ind w:left="1874" w:hanging="360"/>
      </w:pPr>
      <w:rPr>
        <w:rFonts w:ascii="Courier New" w:hAnsi="Courier New" w:cs="Courier New" w:hint="default"/>
      </w:rPr>
    </w:lvl>
    <w:lvl w:ilvl="2" w:tplc="08090005">
      <w:start w:val="1"/>
      <w:numFmt w:val="bullet"/>
      <w:lvlText w:val=""/>
      <w:lvlJc w:val="left"/>
      <w:pPr>
        <w:ind w:left="2594" w:hanging="360"/>
      </w:pPr>
      <w:rPr>
        <w:rFonts w:ascii="Wingdings" w:hAnsi="Wingdings" w:hint="default"/>
      </w:rPr>
    </w:lvl>
    <w:lvl w:ilvl="3" w:tplc="08090001">
      <w:start w:val="1"/>
      <w:numFmt w:val="bullet"/>
      <w:lvlText w:val=""/>
      <w:lvlJc w:val="left"/>
      <w:pPr>
        <w:ind w:left="3314" w:hanging="360"/>
      </w:pPr>
      <w:rPr>
        <w:rFonts w:ascii="Symbol" w:hAnsi="Symbol" w:hint="default"/>
      </w:rPr>
    </w:lvl>
    <w:lvl w:ilvl="4" w:tplc="08090003">
      <w:start w:val="1"/>
      <w:numFmt w:val="bullet"/>
      <w:lvlText w:val="o"/>
      <w:lvlJc w:val="left"/>
      <w:pPr>
        <w:ind w:left="4034" w:hanging="360"/>
      </w:pPr>
      <w:rPr>
        <w:rFonts w:ascii="Courier New" w:hAnsi="Courier New" w:cs="Courier New" w:hint="default"/>
      </w:rPr>
    </w:lvl>
    <w:lvl w:ilvl="5" w:tplc="08090005">
      <w:start w:val="1"/>
      <w:numFmt w:val="bullet"/>
      <w:lvlText w:val=""/>
      <w:lvlJc w:val="left"/>
      <w:pPr>
        <w:ind w:left="4754" w:hanging="360"/>
      </w:pPr>
      <w:rPr>
        <w:rFonts w:ascii="Wingdings" w:hAnsi="Wingdings" w:hint="default"/>
      </w:rPr>
    </w:lvl>
    <w:lvl w:ilvl="6" w:tplc="08090001">
      <w:start w:val="1"/>
      <w:numFmt w:val="bullet"/>
      <w:lvlText w:val=""/>
      <w:lvlJc w:val="left"/>
      <w:pPr>
        <w:ind w:left="5474" w:hanging="360"/>
      </w:pPr>
      <w:rPr>
        <w:rFonts w:ascii="Symbol" w:hAnsi="Symbol" w:hint="default"/>
      </w:rPr>
    </w:lvl>
    <w:lvl w:ilvl="7" w:tplc="08090003">
      <w:start w:val="1"/>
      <w:numFmt w:val="bullet"/>
      <w:lvlText w:val="o"/>
      <w:lvlJc w:val="left"/>
      <w:pPr>
        <w:ind w:left="6194" w:hanging="360"/>
      </w:pPr>
      <w:rPr>
        <w:rFonts w:ascii="Courier New" w:hAnsi="Courier New" w:cs="Courier New" w:hint="default"/>
      </w:rPr>
    </w:lvl>
    <w:lvl w:ilvl="8" w:tplc="08090005">
      <w:start w:val="1"/>
      <w:numFmt w:val="bullet"/>
      <w:lvlText w:val=""/>
      <w:lvlJc w:val="left"/>
      <w:pPr>
        <w:ind w:left="6914" w:hanging="360"/>
      </w:pPr>
      <w:rPr>
        <w:rFonts w:ascii="Wingdings" w:hAnsi="Wingdings" w:hint="default"/>
      </w:rPr>
    </w:lvl>
  </w:abstractNum>
  <w:abstractNum w:abstractNumId="26" w15:restartNumberingAfterBreak="0">
    <w:nsid w:val="1CEC511B"/>
    <w:multiLevelType w:val="hybridMultilevel"/>
    <w:tmpl w:val="1782313E"/>
    <w:lvl w:ilvl="0" w:tplc="4D96FEA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D2C669A"/>
    <w:multiLevelType w:val="hybridMultilevel"/>
    <w:tmpl w:val="BE72BD10"/>
    <w:lvl w:ilvl="0" w:tplc="44BAED54">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D9648CD"/>
    <w:multiLevelType w:val="hybridMultilevel"/>
    <w:tmpl w:val="B1187E42"/>
    <w:lvl w:ilvl="0" w:tplc="D528050C">
      <w:numFmt w:val="bullet"/>
      <w:lvlText w:val="-"/>
      <w:lvlJc w:val="left"/>
      <w:pPr>
        <w:ind w:left="1210" w:hanging="360"/>
      </w:pPr>
      <w:rPr>
        <w:rFonts w:ascii="Times New Roman" w:eastAsia="Calibri" w:hAnsi="Times New Roman" w:cs="Times New Roman"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29" w15:restartNumberingAfterBreak="0">
    <w:nsid w:val="1D991E80"/>
    <w:multiLevelType w:val="hybridMultilevel"/>
    <w:tmpl w:val="AF5CCC58"/>
    <w:lvl w:ilvl="0" w:tplc="08090001">
      <w:start w:val="1"/>
      <w:numFmt w:val="bullet"/>
      <w:lvlText w:val=""/>
      <w:lvlJc w:val="left"/>
      <w:pPr>
        <w:ind w:left="1634" w:hanging="360"/>
      </w:pPr>
      <w:rPr>
        <w:rFonts w:ascii="Symbol" w:hAnsi="Symbol" w:hint="default"/>
      </w:rPr>
    </w:lvl>
    <w:lvl w:ilvl="1" w:tplc="08090003" w:tentative="1">
      <w:start w:val="1"/>
      <w:numFmt w:val="bullet"/>
      <w:lvlText w:val="o"/>
      <w:lvlJc w:val="left"/>
      <w:pPr>
        <w:ind w:left="2354" w:hanging="360"/>
      </w:pPr>
      <w:rPr>
        <w:rFonts w:ascii="Courier New" w:hAnsi="Courier New" w:cs="Courier New" w:hint="default"/>
      </w:rPr>
    </w:lvl>
    <w:lvl w:ilvl="2" w:tplc="08090005" w:tentative="1">
      <w:start w:val="1"/>
      <w:numFmt w:val="bullet"/>
      <w:lvlText w:val=""/>
      <w:lvlJc w:val="left"/>
      <w:pPr>
        <w:ind w:left="3074" w:hanging="360"/>
      </w:pPr>
      <w:rPr>
        <w:rFonts w:ascii="Wingdings" w:hAnsi="Wingdings" w:hint="default"/>
      </w:rPr>
    </w:lvl>
    <w:lvl w:ilvl="3" w:tplc="08090001" w:tentative="1">
      <w:start w:val="1"/>
      <w:numFmt w:val="bullet"/>
      <w:lvlText w:val=""/>
      <w:lvlJc w:val="left"/>
      <w:pPr>
        <w:ind w:left="3794" w:hanging="360"/>
      </w:pPr>
      <w:rPr>
        <w:rFonts w:ascii="Symbol" w:hAnsi="Symbol" w:hint="default"/>
      </w:rPr>
    </w:lvl>
    <w:lvl w:ilvl="4" w:tplc="08090003" w:tentative="1">
      <w:start w:val="1"/>
      <w:numFmt w:val="bullet"/>
      <w:lvlText w:val="o"/>
      <w:lvlJc w:val="left"/>
      <w:pPr>
        <w:ind w:left="4514" w:hanging="360"/>
      </w:pPr>
      <w:rPr>
        <w:rFonts w:ascii="Courier New" w:hAnsi="Courier New" w:cs="Courier New" w:hint="default"/>
      </w:rPr>
    </w:lvl>
    <w:lvl w:ilvl="5" w:tplc="08090005" w:tentative="1">
      <w:start w:val="1"/>
      <w:numFmt w:val="bullet"/>
      <w:lvlText w:val=""/>
      <w:lvlJc w:val="left"/>
      <w:pPr>
        <w:ind w:left="5234" w:hanging="360"/>
      </w:pPr>
      <w:rPr>
        <w:rFonts w:ascii="Wingdings" w:hAnsi="Wingdings" w:hint="default"/>
      </w:rPr>
    </w:lvl>
    <w:lvl w:ilvl="6" w:tplc="08090001" w:tentative="1">
      <w:start w:val="1"/>
      <w:numFmt w:val="bullet"/>
      <w:lvlText w:val=""/>
      <w:lvlJc w:val="left"/>
      <w:pPr>
        <w:ind w:left="5954" w:hanging="360"/>
      </w:pPr>
      <w:rPr>
        <w:rFonts w:ascii="Symbol" w:hAnsi="Symbol" w:hint="default"/>
      </w:rPr>
    </w:lvl>
    <w:lvl w:ilvl="7" w:tplc="08090003" w:tentative="1">
      <w:start w:val="1"/>
      <w:numFmt w:val="bullet"/>
      <w:lvlText w:val="o"/>
      <w:lvlJc w:val="left"/>
      <w:pPr>
        <w:ind w:left="6674" w:hanging="360"/>
      </w:pPr>
      <w:rPr>
        <w:rFonts w:ascii="Courier New" w:hAnsi="Courier New" w:cs="Courier New" w:hint="default"/>
      </w:rPr>
    </w:lvl>
    <w:lvl w:ilvl="8" w:tplc="08090005" w:tentative="1">
      <w:start w:val="1"/>
      <w:numFmt w:val="bullet"/>
      <w:lvlText w:val=""/>
      <w:lvlJc w:val="left"/>
      <w:pPr>
        <w:ind w:left="7394" w:hanging="360"/>
      </w:pPr>
      <w:rPr>
        <w:rFonts w:ascii="Wingdings" w:hAnsi="Wingdings" w:hint="default"/>
      </w:rPr>
    </w:lvl>
  </w:abstractNum>
  <w:abstractNum w:abstractNumId="30" w15:restartNumberingAfterBreak="0">
    <w:nsid w:val="1E6E1E02"/>
    <w:multiLevelType w:val="hybridMultilevel"/>
    <w:tmpl w:val="D494A8E4"/>
    <w:lvl w:ilvl="0" w:tplc="63C0261A">
      <w:start w:val="1"/>
      <w:numFmt w:val="bullet"/>
      <w:lvlText w:val="-"/>
      <w:lvlJc w:val="left"/>
      <w:pPr>
        <w:ind w:left="720" w:hanging="360"/>
      </w:pPr>
      <w:rPr>
        <w:rFonts w:ascii="Courier New" w:hAnsi="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1EC1174F"/>
    <w:multiLevelType w:val="hybridMultilevel"/>
    <w:tmpl w:val="BDAAC89E"/>
    <w:lvl w:ilvl="0" w:tplc="D528050C">
      <w:numFmt w:val="bullet"/>
      <w:lvlText w:val="-"/>
      <w:lvlJc w:val="left"/>
      <w:pPr>
        <w:ind w:left="1420" w:hanging="570"/>
      </w:pPr>
      <w:rPr>
        <w:rFonts w:ascii="Times New Roman" w:eastAsia="Calibri" w:hAnsi="Times New Roman" w:cs="Times New Roman" w:hint="default"/>
      </w:rPr>
    </w:lvl>
    <w:lvl w:ilvl="1" w:tplc="04090003">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32" w15:restartNumberingAfterBreak="0">
    <w:nsid w:val="1F1F2257"/>
    <w:multiLevelType w:val="hybridMultilevel"/>
    <w:tmpl w:val="21A04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0115B92"/>
    <w:multiLevelType w:val="hybridMultilevel"/>
    <w:tmpl w:val="57CC822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206610FB"/>
    <w:multiLevelType w:val="hybridMultilevel"/>
    <w:tmpl w:val="3140C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1FF619C"/>
    <w:multiLevelType w:val="hybridMultilevel"/>
    <w:tmpl w:val="410E3D4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220C5CDE"/>
    <w:multiLevelType w:val="hybridMultilevel"/>
    <w:tmpl w:val="E9FAE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2E44180"/>
    <w:multiLevelType w:val="multilevel"/>
    <w:tmpl w:val="DFC88CEC"/>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25ED30B9"/>
    <w:multiLevelType w:val="multilevel"/>
    <w:tmpl w:val="B56208CA"/>
    <w:lvl w:ilvl="0">
      <w:numFmt w:val="bullet"/>
      <w:lvlText w:val="-"/>
      <w:lvlJc w:val="left"/>
      <w:pPr>
        <w:tabs>
          <w:tab w:val="num" w:pos="850"/>
        </w:tabs>
        <w:ind w:left="850" w:hanging="850"/>
      </w:pPr>
      <w:rPr>
        <w:rFonts w:ascii="Times New Roman" w:eastAsia="Calibri" w:hAnsi="Times New Roman" w:cs="Times New Roman" w:hint="default"/>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27DF6178"/>
    <w:multiLevelType w:val="multilevel"/>
    <w:tmpl w:val="EDDCCB2C"/>
    <w:lvl w:ilvl="0">
      <w:start w:val="1"/>
      <w:numFmt w:val="decimal"/>
      <w:lvlText w:val="%1."/>
      <w:lvlJc w:val="left"/>
      <w:pPr>
        <w:ind w:left="1420" w:hanging="570"/>
      </w:pPr>
      <w:rPr>
        <w:rFonts w:hint="default"/>
      </w:rPr>
    </w:lvl>
    <w:lvl w:ilvl="1">
      <w:start w:val="1"/>
      <w:numFmt w:val="lowerLetter"/>
      <w:lvlText w:val="%2."/>
      <w:lvlJc w:val="left"/>
      <w:pPr>
        <w:ind w:left="1930" w:hanging="360"/>
      </w:pPr>
    </w:lvl>
    <w:lvl w:ilvl="2" w:tentative="1">
      <w:start w:val="1"/>
      <w:numFmt w:val="lowerRoman"/>
      <w:lvlText w:val="%3."/>
      <w:lvlJc w:val="right"/>
      <w:pPr>
        <w:ind w:left="2650" w:hanging="180"/>
      </w:pPr>
    </w:lvl>
    <w:lvl w:ilvl="3" w:tentative="1">
      <w:start w:val="1"/>
      <w:numFmt w:val="decimal"/>
      <w:lvlText w:val="%4."/>
      <w:lvlJc w:val="left"/>
      <w:pPr>
        <w:ind w:left="3370" w:hanging="360"/>
      </w:pPr>
    </w:lvl>
    <w:lvl w:ilvl="4" w:tentative="1">
      <w:start w:val="1"/>
      <w:numFmt w:val="lowerLetter"/>
      <w:lvlText w:val="%5."/>
      <w:lvlJc w:val="left"/>
      <w:pPr>
        <w:ind w:left="4090" w:hanging="360"/>
      </w:pPr>
    </w:lvl>
    <w:lvl w:ilvl="5" w:tentative="1">
      <w:start w:val="1"/>
      <w:numFmt w:val="lowerRoman"/>
      <w:lvlText w:val="%6."/>
      <w:lvlJc w:val="right"/>
      <w:pPr>
        <w:ind w:left="4810" w:hanging="180"/>
      </w:pPr>
    </w:lvl>
    <w:lvl w:ilvl="6" w:tentative="1">
      <w:start w:val="1"/>
      <w:numFmt w:val="decimal"/>
      <w:lvlText w:val="%7."/>
      <w:lvlJc w:val="left"/>
      <w:pPr>
        <w:ind w:left="5530" w:hanging="360"/>
      </w:pPr>
    </w:lvl>
    <w:lvl w:ilvl="7" w:tentative="1">
      <w:start w:val="1"/>
      <w:numFmt w:val="lowerLetter"/>
      <w:lvlText w:val="%8."/>
      <w:lvlJc w:val="left"/>
      <w:pPr>
        <w:ind w:left="6250" w:hanging="360"/>
      </w:pPr>
    </w:lvl>
    <w:lvl w:ilvl="8" w:tentative="1">
      <w:start w:val="1"/>
      <w:numFmt w:val="lowerRoman"/>
      <w:lvlText w:val="%9."/>
      <w:lvlJc w:val="right"/>
      <w:pPr>
        <w:ind w:left="6970" w:hanging="180"/>
      </w:pPr>
    </w:lvl>
  </w:abstractNum>
  <w:abstractNum w:abstractNumId="40" w15:restartNumberingAfterBreak="0">
    <w:nsid w:val="29820EA7"/>
    <w:multiLevelType w:val="hybridMultilevel"/>
    <w:tmpl w:val="A8F67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AAE20FE"/>
    <w:multiLevelType w:val="hybridMultilevel"/>
    <w:tmpl w:val="E31C5A1C"/>
    <w:lvl w:ilvl="0" w:tplc="9702B38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B17513A"/>
    <w:multiLevelType w:val="hybridMultilevel"/>
    <w:tmpl w:val="EB688382"/>
    <w:lvl w:ilvl="0" w:tplc="966AECFE">
      <w:numFmt w:val="bullet"/>
      <w:lvlText w:val=""/>
      <w:lvlJc w:val="left"/>
      <w:pPr>
        <w:ind w:left="1420" w:hanging="570"/>
      </w:pPr>
      <w:rPr>
        <w:rFonts w:ascii="Symbol" w:eastAsia="Calibri" w:hAnsi="Symbol" w:cs="Times New Roman"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43" w15:restartNumberingAfterBreak="0">
    <w:nsid w:val="2D0A0BEE"/>
    <w:multiLevelType w:val="hybridMultilevel"/>
    <w:tmpl w:val="A112D4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2F7026BF"/>
    <w:multiLevelType w:val="hybridMultilevel"/>
    <w:tmpl w:val="7F02E988"/>
    <w:lvl w:ilvl="0" w:tplc="08090017">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312B07FC"/>
    <w:multiLevelType w:val="hybridMultilevel"/>
    <w:tmpl w:val="E542D59E"/>
    <w:lvl w:ilvl="0" w:tplc="C0C8613E">
      <w:start w:val="1"/>
      <w:numFmt w:val="bullet"/>
      <w:lvlText w:val=""/>
      <w:lvlJc w:val="left"/>
      <w:pPr>
        <w:ind w:left="720" w:hanging="360"/>
      </w:pPr>
      <w:rPr>
        <w:rFonts w:ascii="Symbol" w:hAnsi="Symbol"/>
      </w:rPr>
    </w:lvl>
    <w:lvl w:ilvl="1" w:tplc="162CFCD6">
      <w:start w:val="1"/>
      <w:numFmt w:val="bullet"/>
      <w:lvlText w:val=""/>
      <w:lvlJc w:val="left"/>
      <w:pPr>
        <w:ind w:left="720" w:hanging="360"/>
      </w:pPr>
      <w:rPr>
        <w:rFonts w:ascii="Symbol" w:hAnsi="Symbol"/>
      </w:rPr>
    </w:lvl>
    <w:lvl w:ilvl="2" w:tplc="43DEEF0E">
      <w:start w:val="1"/>
      <w:numFmt w:val="bullet"/>
      <w:lvlText w:val=""/>
      <w:lvlJc w:val="left"/>
      <w:pPr>
        <w:ind w:left="720" w:hanging="360"/>
      </w:pPr>
      <w:rPr>
        <w:rFonts w:ascii="Symbol" w:hAnsi="Symbol"/>
      </w:rPr>
    </w:lvl>
    <w:lvl w:ilvl="3" w:tplc="7162227C">
      <w:start w:val="1"/>
      <w:numFmt w:val="bullet"/>
      <w:lvlText w:val=""/>
      <w:lvlJc w:val="left"/>
      <w:pPr>
        <w:ind w:left="720" w:hanging="360"/>
      </w:pPr>
      <w:rPr>
        <w:rFonts w:ascii="Symbol" w:hAnsi="Symbol"/>
      </w:rPr>
    </w:lvl>
    <w:lvl w:ilvl="4" w:tplc="5E9CED52">
      <w:start w:val="1"/>
      <w:numFmt w:val="bullet"/>
      <w:lvlText w:val=""/>
      <w:lvlJc w:val="left"/>
      <w:pPr>
        <w:ind w:left="720" w:hanging="360"/>
      </w:pPr>
      <w:rPr>
        <w:rFonts w:ascii="Symbol" w:hAnsi="Symbol"/>
      </w:rPr>
    </w:lvl>
    <w:lvl w:ilvl="5" w:tplc="E1C82FE6">
      <w:start w:val="1"/>
      <w:numFmt w:val="bullet"/>
      <w:lvlText w:val=""/>
      <w:lvlJc w:val="left"/>
      <w:pPr>
        <w:ind w:left="720" w:hanging="360"/>
      </w:pPr>
      <w:rPr>
        <w:rFonts w:ascii="Symbol" w:hAnsi="Symbol"/>
      </w:rPr>
    </w:lvl>
    <w:lvl w:ilvl="6" w:tplc="E0C47C4A">
      <w:start w:val="1"/>
      <w:numFmt w:val="bullet"/>
      <w:lvlText w:val=""/>
      <w:lvlJc w:val="left"/>
      <w:pPr>
        <w:ind w:left="720" w:hanging="360"/>
      </w:pPr>
      <w:rPr>
        <w:rFonts w:ascii="Symbol" w:hAnsi="Symbol"/>
      </w:rPr>
    </w:lvl>
    <w:lvl w:ilvl="7" w:tplc="B7C45238">
      <w:start w:val="1"/>
      <w:numFmt w:val="bullet"/>
      <w:lvlText w:val=""/>
      <w:lvlJc w:val="left"/>
      <w:pPr>
        <w:ind w:left="720" w:hanging="360"/>
      </w:pPr>
      <w:rPr>
        <w:rFonts w:ascii="Symbol" w:hAnsi="Symbol"/>
      </w:rPr>
    </w:lvl>
    <w:lvl w:ilvl="8" w:tplc="7FAA3E7E">
      <w:start w:val="1"/>
      <w:numFmt w:val="bullet"/>
      <w:lvlText w:val=""/>
      <w:lvlJc w:val="left"/>
      <w:pPr>
        <w:ind w:left="720" w:hanging="360"/>
      </w:pPr>
      <w:rPr>
        <w:rFonts w:ascii="Symbol" w:hAnsi="Symbol"/>
      </w:rPr>
    </w:lvl>
  </w:abstractNum>
  <w:abstractNum w:abstractNumId="46" w15:restartNumberingAfterBreak="0">
    <w:nsid w:val="33092BEC"/>
    <w:multiLevelType w:val="hybridMultilevel"/>
    <w:tmpl w:val="4B6A93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7" w15:restartNumberingAfterBreak="0">
    <w:nsid w:val="33795BDB"/>
    <w:multiLevelType w:val="hybridMultilevel"/>
    <w:tmpl w:val="7A687D46"/>
    <w:lvl w:ilvl="0" w:tplc="04090019">
      <w:start w:val="1"/>
      <w:numFmt w:val="lowerLetter"/>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33EC1F7C"/>
    <w:multiLevelType w:val="hybridMultilevel"/>
    <w:tmpl w:val="C13CAA90"/>
    <w:lvl w:ilvl="0" w:tplc="47D62DEA">
      <w:numFmt w:val="bullet"/>
      <w:lvlText w:val="-"/>
      <w:lvlJc w:val="left"/>
      <w:pPr>
        <w:ind w:left="1210" w:hanging="360"/>
      </w:pPr>
      <w:rPr>
        <w:rFonts w:ascii="Times New Roman" w:eastAsia="Calibri" w:hAnsi="Times New Roman" w:cs="Times New Roman"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49" w15:restartNumberingAfterBreak="0">
    <w:nsid w:val="34014403"/>
    <w:multiLevelType w:val="hybridMultilevel"/>
    <w:tmpl w:val="361AD9B8"/>
    <w:lvl w:ilvl="0" w:tplc="D2C201EC">
      <w:start w:val="1"/>
      <w:numFmt w:val="low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0" w15:restartNumberingAfterBreak="0">
    <w:nsid w:val="34CE7C03"/>
    <w:multiLevelType w:val="hybridMultilevel"/>
    <w:tmpl w:val="5A82A9E0"/>
    <w:lvl w:ilvl="0" w:tplc="04020001">
      <w:start w:val="1"/>
      <w:numFmt w:val="bullet"/>
      <w:lvlText w:val=""/>
      <w:lvlJc w:val="left"/>
      <w:pPr>
        <w:ind w:left="360" w:hanging="360"/>
      </w:pPr>
      <w:rPr>
        <w:rFonts w:ascii="Symbol" w:hAnsi="Symbol" w:hint="default"/>
      </w:rPr>
    </w:lvl>
    <w:lvl w:ilvl="1" w:tplc="04020003">
      <w:start w:val="1"/>
      <w:numFmt w:val="bullet"/>
      <w:lvlText w:val="o"/>
      <w:lvlJc w:val="left"/>
      <w:pPr>
        <w:ind w:left="1080" w:hanging="360"/>
      </w:pPr>
      <w:rPr>
        <w:rFonts w:ascii="Courier New" w:hAnsi="Courier New" w:cs="Courier New" w:hint="default"/>
      </w:rPr>
    </w:lvl>
    <w:lvl w:ilvl="2" w:tplc="04020005">
      <w:start w:val="1"/>
      <w:numFmt w:val="bullet"/>
      <w:lvlText w:val=""/>
      <w:lvlJc w:val="left"/>
      <w:pPr>
        <w:ind w:left="1800" w:hanging="360"/>
      </w:pPr>
      <w:rPr>
        <w:rFonts w:ascii="Wingdings" w:hAnsi="Wingdings" w:hint="default"/>
      </w:rPr>
    </w:lvl>
    <w:lvl w:ilvl="3" w:tplc="04020001">
      <w:start w:val="1"/>
      <w:numFmt w:val="bullet"/>
      <w:lvlText w:val=""/>
      <w:lvlJc w:val="left"/>
      <w:pPr>
        <w:ind w:left="2520" w:hanging="360"/>
      </w:pPr>
      <w:rPr>
        <w:rFonts w:ascii="Symbol" w:hAnsi="Symbol" w:hint="default"/>
      </w:rPr>
    </w:lvl>
    <w:lvl w:ilvl="4" w:tplc="04020003">
      <w:start w:val="1"/>
      <w:numFmt w:val="bullet"/>
      <w:lvlText w:val="o"/>
      <w:lvlJc w:val="left"/>
      <w:pPr>
        <w:ind w:left="3240" w:hanging="360"/>
      </w:pPr>
      <w:rPr>
        <w:rFonts w:ascii="Courier New" w:hAnsi="Courier New" w:cs="Courier New" w:hint="default"/>
      </w:rPr>
    </w:lvl>
    <w:lvl w:ilvl="5" w:tplc="04020005">
      <w:start w:val="1"/>
      <w:numFmt w:val="bullet"/>
      <w:lvlText w:val=""/>
      <w:lvlJc w:val="left"/>
      <w:pPr>
        <w:ind w:left="3960" w:hanging="360"/>
      </w:pPr>
      <w:rPr>
        <w:rFonts w:ascii="Wingdings" w:hAnsi="Wingdings" w:hint="default"/>
      </w:rPr>
    </w:lvl>
    <w:lvl w:ilvl="6" w:tplc="04020001">
      <w:start w:val="1"/>
      <w:numFmt w:val="bullet"/>
      <w:lvlText w:val=""/>
      <w:lvlJc w:val="left"/>
      <w:pPr>
        <w:ind w:left="4680" w:hanging="360"/>
      </w:pPr>
      <w:rPr>
        <w:rFonts w:ascii="Symbol" w:hAnsi="Symbol" w:hint="default"/>
      </w:rPr>
    </w:lvl>
    <w:lvl w:ilvl="7" w:tplc="04020003">
      <w:start w:val="1"/>
      <w:numFmt w:val="bullet"/>
      <w:lvlText w:val="o"/>
      <w:lvlJc w:val="left"/>
      <w:pPr>
        <w:ind w:left="5400" w:hanging="360"/>
      </w:pPr>
      <w:rPr>
        <w:rFonts w:ascii="Courier New" w:hAnsi="Courier New" w:cs="Courier New" w:hint="default"/>
      </w:rPr>
    </w:lvl>
    <w:lvl w:ilvl="8" w:tplc="04020005">
      <w:start w:val="1"/>
      <w:numFmt w:val="bullet"/>
      <w:lvlText w:val=""/>
      <w:lvlJc w:val="left"/>
      <w:pPr>
        <w:ind w:left="6120" w:hanging="360"/>
      </w:pPr>
      <w:rPr>
        <w:rFonts w:ascii="Wingdings" w:hAnsi="Wingdings" w:hint="default"/>
      </w:rPr>
    </w:lvl>
  </w:abstractNum>
  <w:abstractNum w:abstractNumId="51" w15:restartNumberingAfterBreak="0">
    <w:nsid w:val="383D34C9"/>
    <w:multiLevelType w:val="hybridMultilevel"/>
    <w:tmpl w:val="A25890DC"/>
    <w:lvl w:ilvl="0" w:tplc="080C0001">
      <w:start w:val="1"/>
      <w:numFmt w:val="bullet"/>
      <w:lvlText w:val=""/>
      <w:lvlJc w:val="left"/>
      <w:pPr>
        <w:ind w:left="779" w:hanging="360"/>
      </w:pPr>
      <w:rPr>
        <w:rFonts w:ascii="Symbol" w:hAnsi="Symbol" w:hint="default"/>
      </w:rPr>
    </w:lvl>
    <w:lvl w:ilvl="1" w:tplc="080C0003" w:tentative="1">
      <w:start w:val="1"/>
      <w:numFmt w:val="bullet"/>
      <w:lvlText w:val="o"/>
      <w:lvlJc w:val="left"/>
      <w:pPr>
        <w:ind w:left="1499" w:hanging="360"/>
      </w:pPr>
      <w:rPr>
        <w:rFonts w:ascii="Courier New" w:hAnsi="Courier New" w:cs="Courier New" w:hint="default"/>
      </w:rPr>
    </w:lvl>
    <w:lvl w:ilvl="2" w:tplc="080C0005" w:tentative="1">
      <w:start w:val="1"/>
      <w:numFmt w:val="bullet"/>
      <w:lvlText w:val=""/>
      <w:lvlJc w:val="left"/>
      <w:pPr>
        <w:ind w:left="2219" w:hanging="360"/>
      </w:pPr>
      <w:rPr>
        <w:rFonts w:ascii="Wingdings" w:hAnsi="Wingdings" w:hint="default"/>
      </w:rPr>
    </w:lvl>
    <w:lvl w:ilvl="3" w:tplc="080C0001" w:tentative="1">
      <w:start w:val="1"/>
      <w:numFmt w:val="bullet"/>
      <w:lvlText w:val=""/>
      <w:lvlJc w:val="left"/>
      <w:pPr>
        <w:ind w:left="2939" w:hanging="360"/>
      </w:pPr>
      <w:rPr>
        <w:rFonts w:ascii="Symbol" w:hAnsi="Symbol" w:hint="default"/>
      </w:rPr>
    </w:lvl>
    <w:lvl w:ilvl="4" w:tplc="080C0003" w:tentative="1">
      <w:start w:val="1"/>
      <w:numFmt w:val="bullet"/>
      <w:lvlText w:val="o"/>
      <w:lvlJc w:val="left"/>
      <w:pPr>
        <w:ind w:left="3659" w:hanging="360"/>
      </w:pPr>
      <w:rPr>
        <w:rFonts w:ascii="Courier New" w:hAnsi="Courier New" w:cs="Courier New" w:hint="default"/>
      </w:rPr>
    </w:lvl>
    <w:lvl w:ilvl="5" w:tplc="080C0005" w:tentative="1">
      <w:start w:val="1"/>
      <w:numFmt w:val="bullet"/>
      <w:lvlText w:val=""/>
      <w:lvlJc w:val="left"/>
      <w:pPr>
        <w:ind w:left="4379" w:hanging="360"/>
      </w:pPr>
      <w:rPr>
        <w:rFonts w:ascii="Wingdings" w:hAnsi="Wingdings" w:hint="default"/>
      </w:rPr>
    </w:lvl>
    <w:lvl w:ilvl="6" w:tplc="080C0001" w:tentative="1">
      <w:start w:val="1"/>
      <w:numFmt w:val="bullet"/>
      <w:lvlText w:val=""/>
      <w:lvlJc w:val="left"/>
      <w:pPr>
        <w:ind w:left="5099" w:hanging="360"/>
      </w:pPr>
      <w:rPr>
        <w:rFonts w:ascii="Symbol" w:hAnsi="Symbol" w:hint="default"/>
      </w:rPr>
    </w:lvl>
    <w:lvl w:ilvl="7" w:tplc="080C0003" w:tentative="1">
      <w:start w:val="1"/>
      <w:numFmt w:val="bullet"/>
      <w:lvlText w:val="o"/>
      <w:lvlJc w:val="left"/>
      <w:pPr>
        <w:ind w:left="5819" w:hanging="360"/>
      </w:pPr>
      <w:rPr>
        <w:rFonts w:ascii="Courier New" w:hAnsi="Courier New" w:cs="Courier New" w:hint="default"/>
      </w:rPr>
    </w:lvl>
    <w:lvl w:ilvl="8" w:tplc="080C0005" w:tentative="1">
      <w:start w:val="1"/>
      <w:numFmt w:val="bullet"/>
      <w:lvlText w:val=""/>
      <w:lvlJc w:val="left"/>
      <w:pPr>
        <w:ind w:left="6539" w:hanging="360"/>
      </w:pPr>
      <w:rPr>
        <w:rFonts w:ascii="Wingdings" w:hAnsi="Wingdings" w:hint="default"/>
      </w:rPr>
    </w:lvl>
  </w:abstractNum>
  <w:abstractNum w:abstractNumId="52" w15:restartNumberingAfterBreak="0">
    <w:nsid w:val="39257A5D"/>
    <w:multiLevelType w:val="hybridMultilevel"/>
    <w:tmpl w:val="0E2C3454"/>
    <w:lvl w:ilvl="0" w:tplc="138051E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94E2477"/>
    <w:multiLevelType w:val="hybridMultilevel"/>
    <w:tmpl w:val="54EE9C58"/>
    <w:lvl w:ilvl="0" w:tplc="D528050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9D84B76"/>
    <w:multiLevelType w:val="hybridMultilevel"/>
    <w:tmpl w:val="7F02E988"/>
    <w:lvl w:ilvl="0" w:tplc="08090017">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39F242A2"/>
    <w:multiLevelType w:val="hybridMultilevel"/>
    <w:tmpl w:val="1B060B1A"/>
    <w:lvl w:ilvl="0" w:tplc="9702B38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AA51EE7"/>
    <w:multiLevelType w:val="hybridMultilevel"/>
    <w:tmpl w:val="6C5803B8"/>
    <w:lvl w:ilvl="0" w:tplc="04090001">
      <w:start w:val="1"/>
      <w:numFmt w:val="bullet"/>
      <w:lvlText w:val=""/>
      <w:lvlJc w:val="left"/>
      <w:pPr>
        <w:ind w:left="1570" w:hanging="360"/>
      </w:pPr>
      <w:rPr>
        <w:rFonts w:ascii="Symbol" w:hAnsi="Symbol"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57" w15:restartNumberingAfterBreak="0">
    <w:nsid w:val="3AE22C0D"/>
    <w:multiLevelType w:val="hybridMultilevel"/>
    <w:tmpl w:val="319468D8"/>
    <w:lvl w:ilvl="0" w:tplc="11462DB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BE758A3"/>
    <w:multiLevelType w:val="hybridMultilevel"/>
    <w:tmpl w:val="7974D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C2B082B"/>
    <w:multiLevelType w:val="hybridMultilevel"/>
    <w:tmpl w:val="2CA41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CD73D17"/>
    <w:multiLevelType w:val="hybridMultilevel"/>
    <w:tmpl w:val="C71CF8A6"/>
    <w:lvl w:ilvl="0" w:tplc="BDAC0944">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1" w15:restartNumberingAfterBreak="0">
    <w:nsid w:val="40B11A9A"/>
    <w:multiLevelType w:val="hybridMultilevel"/>
    <w:tmpl w:val="55BA25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2EF06B2"/>
    <w:multiLevelType w:val="hybridMultilevel"/>
    <w:tmpl w:val="0230413E"/>
    <w:lvl w:ilvl="0" w:tplc="D528050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36966B0"/>
    <w:multiLevelType w:val="hybridMultilevel"/>
    <w:tmpl w:val="78E69F4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440A768D"/>
    <w:multiLevelType w:val="hybridMultilevel"/>
    <w:tmpl w:val="B9B2800C"/>
    <w:lvl w:ilvl="0" w:tplc="9702B384">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468F2093"/>
    <w:multiLevelType w:val="multilevel"/>
    <w:tmpl w:val="C99AB46E"/>
    <w:name w:val="NumPar2"/>
    <w:lvl w:ilvl="0">
      <w:start w:val="1"/>
      <w:numFmt w:val="decimal"/>
      <w:lvlRestart w:val="0"/>
      <w:lvlText w:val="%1."/>
      <w:lvlJc w:val="left"/>
      <w:pPr>
        <w:tabs>
          <w:tab w:val="num" w:pos="850"/>
        </w:tabs>
        <w:ind w:left="850" w:hanging="85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478153AA"/>
    <w:multiLevelType w:val="hybridMultilevel"/>
    <w:tmpl w:val="EB025D64"/>
    <w:lvl w:ilvl="0" w:tplc="08090001">
      <w:start w:val="1"/>
      <w:numFmt w:val="bullet"/>
      <w:lvlText w:val=""/>
      <w:lvlJc w:val="left"/>
      <w:pPr>
        <w:ind w:left="1570" w:hanging="360"/>
      </w:pPr>
      <w:rPr>
        <w:rFonts w:ascii="Symbol" w:hAnsi="Symbol"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67" w15:restartNumberingAfterBreak="0">
    <w:nsid w:val="4852430B"/>
    <w:multiLevelType w:val="hybridMultilevel"/>
    <w:tmpl w:val="963AAA8A"/>
    <w:lvl w:ilvl="0" w:tplc="78C6D84C">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8D97542"/>
    <w:multiLevelType w:val="hybridMultilevel"/>
    <w:tmpl w:val="4B486FE4"/>
    <w:lvl w:ilvl="0" w:tplc="44BAED5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9964320"/>
    <w:multiLevelType w:val="hybridMultilevel"/>
    <w:tmpl w:val="A7701D4C"/>
    <w:lvl w:ilvl="0" w:tplc="080C0001">
      <w:start w:val="1"/>
      <w:numFmt w:val="bullet"/>
      <w:lvlText w:val=""/>
      <w:lvlJc w:val="left"/>
      <w:pPr>
        <w:ind w:left="2160" w:hanging="360"/>
      </w:pPr>
      <w:rPr>
        <w:rFonts w:ascii="Symbol" w:hAnsi="Symbol" w:hint="default"/>
      </w:rPr>
    </w:lvl>
    <w:lvl w:ilvl="1" w:tplc="080C0003" w:tentative="1">
      <w:start w:val="1"/>
      <w:numFmt w:val="bullet"/>
      <w:lvlText w:val="o"/>
      <w:lvlJc w:val="left"/>
      <w:pPr>
        <w:ind w:left="2880" w:hanging="360"/>
      </w:pPr>
      <w:rPr>
        <w:rFonts w:ascii="Courier New" w:hAnsi="Courier New" w:cs="Courier New" w:hint="default"/>
      </w:rPr>
    </w:lvl>
    <w:lvl w:ilvl="2" w:tplc="080C0005" w:tentative="1">
      <w:start w:val="1"/>
      <w:numFmt w:val="bullet"/>
      <w:lvlText w:val=""/>
      <w:lvlJc w:val="left"/>
      <w:pPr>
        <w:ind w:left="3600" w:hanging="360"/>
      </w:pPr>
      <w:rPr>
        <w:rFonts w:ascii="Wingdings" w:hAnsi="Wingdings" w:hint="default"/>
      </w:rPr>
    </w:lvl>
    <w:lvl w:ilvl="3" w:tplc="080C0001" w:tentative="1">
      <w:start w:val="1"/>
      <w:numFmt w:val="bullet"/>
      <w:lvlText w:val=""/>
      <w:lvlJc w:val="left"/>
      <w:pPr>
        <w:ind w:left="4320" w:hanging="360"/>
      </w:pPr>
      <w:rPr>
        <w:rFonts w:ascii="Symbol" w:hAnsi="Symbol" w:hint="default"/>
      </w:rPr>
    </w:lvl>
    <w:lvl w:ilvl="4" w:tplc="080C0003" w:tentative="1">
      <w:start w:val="1"/>
      <w:numFmt w:val="bullet"/>
      <w:lvlText w:val="o"/>
      <w:lvlJc w:val="left"/>
      <w:pPr>
        <w:ind w:left="5040" w:hanging="360"/>
      </w:pPr>
      <w:rPr>
        <w:rFonts w:ascii="Courier New" w:hAnsi="Courier New" w:cs="Courier New" w:hint="default"/>
      </w:rPr>
    </w:lvl>
    <w:lvl w:ilvl="5" w:tplc="080C0005" w:tentative="1">
      <w:start w:val="1"/>
      <w:numFmt w:val="bullet"/>
      <w:lvlText w:val=""/>
      <w:lvlJc w:val="left"/>
      <w:pPr>
        <w:ind w:left="5760" w:hanging="360"/>
      </w:pPr>
      <w:rPr>
        <w:rFonts w:ascii="Wingdings" w:hAnsi="Wingdings" w:hint="default"/>
      </w:rPr>
    </w:lvl>
    <w:lvl w:ilvl="6" w:tplc="080C0001" w:tentative="1">
      <w:start w:val="1"/>
      <w:numFmt w:val="bullet"/>
      <w:lvlText w:val=""/>
      <w:lvlJc w:val="left"/>
      <w:pPr>
        <w:ind w:left="6480" w:hanging="360"/>
      </w:pPr>
      <w:rPr>
        <w:rFonts w:ascii="Symbol" w:hAnsi="Symbol" w:hint="default"/>
      </w:rPr>
    </w:lvl>
    <w:lvl w:ilvl="7" w:tplc="080C0003" w:tentative="1">
      <w:start w:val="1"/>
      <w:numFmt w:val="bullet"/>
      <w:lvlText w:val="o"/>
      <w:lvlJc w:val="left"/>
      <w:pPr>
        <w:ind w:left="7200" w:hanging="360"/>
      </w:pPr>
      <w:rPr>
        <w:rFonts w:ascii="Courier New" w:hAnsi="Courier New" w:cs="Courier New" w:hint="default"/>
      </w:rPr>
    </w:lvl>
    <w:lvl w:ilvl="8" w:tplc="080C0005" w:tentative="1">
      <w:start w:val="1"/>
      <w:numFmt w:val="bullet"/>
      <w:lvlText w:val=""/>
      <w:lvlJc w:val="left"/>
      <w:pPr>
        <w:ind w:left="7920" w:hanging="360"/>
      </w:pPr>
      <w:rPr>
        <w:rFonts w:ascii="Wingdings" w:hAnsi="Wingdings" w:hint="default"/>
      </w:rPr>
    </w:lvl>
  </w:abstractNum>
  <w:abstractNum w:abstractNumId="70" w15:restartNumberingAfterBreak="0">
    <w:nsid w:val="49E9212C"/>
    <w:multiLevelType w:val="hybridMultilevel"/>
    <w:tmpl w:val="AC8E5ABE"/>
    <w:lvl w:ilvl="0" w:tplc="C5A6E5AC">
      <w:start w:val="1"/>
      <w:numFmt w:val="bullet"/>
      <w:lvlText w:val="-"/>
      <w:lvlJc w:val="left"/>
      <w:pPr>
        <w:ind w:left="720" w:hanging="360"/>
      </w:pPr>
      <w:rPr>
        <w:rFonts w:ascii="&quot;Calibri&quot;,sans-serif" w:hAnsi="&quot;Calibri&quot;,sans-serif" w:hint="default"/>
      </w:rPr>
    </w:lvl>
    <w:lvl w:ilvl="1" w:tplc="76E0F49A">
      <w:start w:val="1"/>
      <w:numFmt w:val="bullet"/>
      <w:lvlText w:val="o"/>
      <w:lvlJc w:val="left"/>
      <w:pPr>
        <w:ind w:left="1440" w:hanging="360"/>
      </w:pPr>
      <w:rPr>
        <w:rFonts w:ascii="Courier New" w:hAnsi="Courier New" w:hint="default"/>
      </w:rPr>
    </w:lvl>
    <w:lvl w:ilvl="2" w:tplc="45F2C4EC">
      <w:start w:val="1"/>
      <w:numFmt w:val="bullet"/>
      <w:lvlText w:val=""/>
      <w:lvlJc w:val="left"/>
      <w:pPr>
        <w:ind w:left="2160" w:hanging="360"/>
      </w:pPr>
      <w:rPr>
        <w:rFonts w:ascii="Wingdings" w:hAnsi="Wingdings" w:hint="default"/>
      </w:rPr>
    </w:lvl>
    <w:lvl w:ilvl="3" w:tplc="4F0AB4FE">
      <w:start w:val="1"/>
      <w:numFmt w:val="bullet"/>
      <w:lvlText w:val=""/>
      <w:lvlJc w:val="left"/>
      <w:pPr>
        <w:ind w:left="2880" w:hanging="360"/>
      </w:pPr>
      <w:rPr>
        <w:rFonts w:ascii="Symbol" w:hAnsi="Symbol" w:hint="default"/>
      </w:rPr>
    </w:lvl>
    <w:lvl w:ilvl="4" w:tplc="F30CD29A">
      <w:start w:val="1"/>
      <w:numFmt w:val="bullet"/>
      <w:lvlText w:val="o"/>
      <w:lvlJc w:val="left"/>
      <w:pPr>
        <w:ind w:left="3600" w:hanging="360"/>
      </w:pPr>
      <w:rPr>
        <w:rFonts w:ascii="Courier New" w:hAnsi="Courier New" w:hint="default"/>
      </w:rPr>
    </w:lvl>
    <w:lvl w:ilvl="5" w:tplc="EFAAF094">
      <w:start w:val="1"/>
      <w:numFmt w:val="bullet"/>
      <w:lvlText w:val=""/>
      <w:lvlJc w:val="left"/>
      <w:pPr>
        <w:ind w:left="4320" w:hanging="360"/>
      </w:pPr>
      <w:rPr>
        <w:rFonts w:ascii="Wingdings" w:hAnsi="Wingdings" w:hint="default"/>
      </w:rPr>
    </w:lvl>
    <w:lvl w:ilvl="6" w:tplc="25709CB4">
      <w:start w:val="1"/>
      <w:numFmt w:val="bullet"/>
      <w:lvlText w:val=""/>
      <w:lvlJc w:val="left"/>
      <w:pPr>
        <w:ind w:left="5040" w:hanging="360"/>
      </w:pPr>
      <w:rPr>
        <w:rFonts w:ascii="Symbol" w:hAnsi="Symbol" w:hint="default"/>
      </w:rPr>
    </w:lvl>
    <w:lvl w:ilvl="7" w:tplc="325662F6">
      <w:start w:val="1"/>
      <w:numFmt w:val="bullet"/>
      <w:lvlText w:val="o"/>
      <w:lvlJc w:val="left"/>
      <w:pPr>
        <w:ind w:left="5760" w:hanging="360"/>
      </w:pPr>
      <w:rPr>
        <w:rFonts w:ascii="Courier New" w:hAnsi="Courier New" w:hint="default"/>
      </w:rPr>
    </w:lvl>
    <w:lvl w:ilvl="8" w:tplc="EFA4FE32">
      <w:start w:val="1"/>
      <w:numFmt w:val="bullet"/>
      <w:lvlText w:val=""/>
      <w:lvlJc w:val="left"/>
      <w:pPr>
        <w:ind w:left="6480" w:hanging="360"/>
      </w:pPr>
      <w:rPr>
        <w:rFonts w:ascii="Wingdings" w:hAnsi="Wingdings" w:hint="default"/>
      </w:rPr>
    </w:lvl>
  </w:abstractNum>
  <w:abstractNum w:abstractNumId="71" w15:restartNumberingAfterBreak="0">
    <w:nsid w:val="4A1254B0"/>
    <w:multiLevelType w:val="hybridMultilevel"/>
    <w:tmpl w:val="574EDD8E"/>
    <w:lvl w:ilvl="0" w:tplc="47643D76">
      <w:start w:val="10"/>
      <w:numFmt w:val="bullet"/>
      <w:lvlText w:val="-"/>
      <w:lvlJc w:val="left"/>
      <w:pPr>
        <w:ind w:left="2160" w:hanging="360"/>
      </w:pPr>
      <w:rPr>
        <w:rFonts w:ascii="Calibri" w:eastAsia="Calibri" w:hAnsi="Calibri" w:cs="Calibri" w:hint="default"/>
      </w:rPr>
    </w:lvl>
    <w:lvl w:ilvl="1" w:tplc="080C0003" w:tentative="1">
      <w:start w:val="1"/>
      <w:numFmt w:val="bullet"/>
      <w:lvlText w:val="o"/>
      <w:lvlJc w:val="left"/>
      <w:pPr>
        <w:ind w:left="2880" w:hanging="360"/>
      </w:pPr>
      <w:rPr>
        <w:rFonts w:ascii="Courier New" w:hAnsi="Courier New" w:cs="Courier New" w:hint="default"/>
      </w:rPr>
    </w:lvl>
    <w:lvl w:ilvl="2" w:tplc="080C0005" w:tentative="1">
      <w:start w:val="1"/>
      <w:numFmt w:val="bullet"/>
      <w:lvlText w:val=""/>
      <w:lvlJc w:val="left"/>
      <w:pPr>
        <w:ind w:left="3600" w:hanging="360"/>
      </w:pPr>
      <w:rPr>
        <w:rFonts w:ascii="Wingdings" w:hAnsi="Wingdings" w:hint="default"/>
      </w:rPr>
    </w:lvl>
    <w:lvl w:ilvl="3" w:tplc="080C0001" w:tentative="1">
      <w:start w:val="1"/>
      <w:numFmt w:val="bullet"/>
      <w:lvlText w:val=""/>
      <w:lvlJc w:val="left"/>
      <w:pPr>
        <w:ind w:left="4320" w:hanging="360"/>
      </w:pPr>
      <w:rPr>
        <w:rFonts w:ascii="Symbol" w:hAnsi="Symbol" w:hint="default"/>
      </w:rPr>
    </w:lvl>
    <w:lvl w:ilvl="4" w:tplc="080C0003" w:tentative="1">
      <w:start w:val="1"/>
      <w:numFmt w:val="bullet"/>
      <w:lvlText w:val="o"/>
      <w:lvlJc w:val="left"/>
      <w:pPr>
        <w:ind w:left="5040" w:hanging="360"/>
      </w:pPr>
      <w:rPr>
        <w:rFonts w:ascii="Courier New" w:hAnsi="Courier New" w:cs="Courier New" w:hint="default"/>
      </w:rPr>
    </w:lvl>
    <w:lvl w:ilvl="5" w:tplc="080C0005" w:tentative="1">
      <w:start w:val="1"/>
      <w:numFmt w:val="bullet"/>
      <w:lvlText w:val=""/>
      <w:lvlJc w:val="left"/>
      <w:pPr>
        <w:ind w:left="5760" w:hanging="360"/>
      </w:pPr>
      <w:rPr>
        <w:rFonts w:ascii="Wingdings" w:hAnsi="Wingdings" w:hint="default"/>
      </w:rPr>
    </w:lvl>
    <w:lvl w:ilvl="6" w:tplc="080C0001" w:tentative="1">
      <w:start w:val="1"/>
      <w:numFmt w:val="bullet"/>
      <w:lvlText w:val=""/>
      <w:lvlJc w:val="left"/>
      <w:pPr>
        <w:ind w:left="6480" w:hanging="360"/>
      </w:pPr>
      <w:rPr>
        <w:rFonts w:ascii="Symbol" w:hAnsi="Symbol" w:hint="default"/>
      </w:rPr>
    </w:lvl>
    <w:lvl w:ilvl="7" w:tplc="080C0003" w:tentative="1">
      <w:start w:val="1"/>
      <w:numFmt w:val="bullet"/>
      <w:lvlText w:val="o"/>
      <w:lvlJc w:val="left"/>
      <w:pPr>
        <w:ind w:left="7200" w:hanging="360"/>
      </w:pPr>
      <w:rPr>
        <w:rFonts w:ascii="Courier New" w:hAnsi="Courier New" w:cs="Courier New" w:hint="default"/>
      </w:rPr>
    </w:lvl>
    <w:lvl w:ilvl="8" w:tplc="080C0005" w:tentative="1">
      <w:start w:val="1"/>
      <w:numFmt w:val="bullet"/>
      <w:lvlText w:val=""/>
      <w:lvlJc w:val="left"/>
      <w:pPr>
        <w:ind w:left="7920" w:hanging="360"/>
      </w:pPr>
      <w:rPr>
        <w:rFonts w:ascii="Wingdings" w:hAnsi="Wingdings" w:hint="default"/>
      </w:rPr>
    </w:lvl>
  </w:abstractNum>
  <w:abstractNum w:abstractNumId="72" w15:restartNumberingAfterBreak="0">
    <w:nsid w:val="4A32288F"/>
    <w:multiLevelType w:val="multilevel"/>
    <w:tmpl w:val="EDDCCB2C"/>
    <w:lvl w:ilvl="0">
      <w:start w:val="1"/>
      <w:numFmt w:val="decimal"/>
      <w:lvlText w:val="%1."/>
      <w:lvlJc w:val="left"/>
      <w:pPr>
        <w:ind w:left="1420" w:hanging="570"/>
      </w:pPr>
      <w:rPr>
        <w:rFonts w:hint="default"/>
      </w:rPr>
    </w:lvl>
    <w:lvl w:ilvl="1" w:tentative="1">
      <w:start w:val="1"/>
      <w:numFmt w:val="lowerLetter"/>
      <w:lvlText w:val="%2."/>
      <w:lvlJc w:val="left"/>
      <w:pPr>
        <w:ind w:left="1930" w:hanging="360"/>
      </w:pPr>
    </w:lvl>
    <w:lvl w:ilvl="2" w:tentative="1">
      <w:start w:val="1"/>
      <w:numFmt w:val="lowerRoman"/>
      <w:lvlText w:val="%3."/>
      <w:lvlJc w:val="right"/>
      <w:pPr>
        <w:ind w:left="2650" w:hanging="180"/>
      </w:pPr>
    </w:lvl>
    <w:lvl w:ilvl="3" w:tentative="1">
      <w:start w:val="1"/>
      <w:numFmt w:val="decimal"/>
      <w:lvlText w:val="%4."/>
      <w:lvlJc w:val="left"/>
      <w:pPr>
        <w:ind w:left="3370" w:hanging="360"/>
      </w:pPr>
    </w:lvl>
    <w:lvl w:ilvl="4" w:tentative="1">
      <w:start w:val="1"/>
      <w:numFmt w:val="lowerLetter"/>
      <w:lvlText w:val="%5."/>
      <w:lvlJc w:val="left"/>
      <w:pPr>
        <w:ind w:left="4090" w:hanging="360"/>
      </w:pPr>
    </w:lvl>
    <w:lvl w:ilvl="5" w:tentative="1">
      <w:start w:val="1"/>
      <w:numFmt w:val="lowerRoman"/>
      <w:lvlText w:val="%6."/>
      <w:lvlJc w:val="right"/>
      <w:pPr>
        <w:ind w:left="4810" w:hanging="180"/>
      </w:pPr>
    </w:lvl>
    <w:lvl w:ilvl="6" w:tentative="1">
      <w:start w:val="1"/>
      <w:numFmt w:val="decimal"/>
      <w:lvlText w:val="%7."/>
      <w:lvlJc w:val="left"/>
      <w:pPr>
        <w:ind w:left="5530" w:hanging="360"/>
      </w:pPr>
    </w:lvl>
    <w:lvl w:ilvl="7" w:tentative="1">
      <w:start w:val="1"/>
      <w:numFmt w:val="lowerLetter"/>
      <w:lvlText w:val="%8."/>
      <w:lvlJc w:val="left"/>
      <w:pPr>
        <w:ind w:left="6250" w:hanging="360"/>
      </w:pPr>
    </w:lvl>
    <w:lvl w:ilvl="8" w:tentative="1">
      <w:start w:val="1"/>
      <w:numFmt w:val="lowerRoman"/>
      <w:lvlText w:val="%9."/>
      <w:lvlJc w:val="right"/>
      <w:pPr>
        <w:ind w:left="6970" w:hanging="180"/>
      </w:pPr>
    </w:lvl>
  </w:abstractNum>
  <w:abstractNum w:abstractNumId="73" w15:restartNumberingAfterBreak="0">
    <w:nsid w:val="4B385763"/>
    <w:multiLevelType w:val="hybridMultilevel"/>
    <w:tmpl w:val="97D08396"/>
    <w:lvl w:ilvl="0" w:tplc="D528050C">
      <w:numFmt w:val="bullet"/>
      <w:lvlText w:val="-"/>
      <w:lvlJc w:val="left"/>
      <w:pPr>
        <w:ind w:left="720" w:hanging="360"/>
      </w:pPr>
      <w:rPr>
        <w:rFonts w:ascii="Times New Roman" w:eastAsia="Calibri" w:hAnsi="Times New Roman" w:cs="Times New Roman" w:hint="default"/>
      </w:rPr>
    </w:lvl>
    <w:lvl w:ilvl="1" w:tplc="7F6846DC">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BA52D1F"/>
    <w:multiLevelType w:val="hybridMultilevel"/>
    <w:tmpl w:val="8FD4361A"/>
    <w:lvl w:ilvl="0" w:tplc="CC4AD21A">
      <w:start w:val="1"/>
      <w:numFmt w:val="bullet"/>
      <w:lvlText w:val=""/>
      <w:lvlJc w:val="left"/>
      <w:pPr>
        <w:ind w:left="720" w:hanging="360"/>
      </w:pPr>
      <w:rPr>
        <w:rFonts w:ascii="Symbol" w:hAnsi="Symbol" w:hint="default"/>
      </w:rPr>
    </w:lvl>
    <w:lvl w:ilvl="1" w:tplc="E8C0C1FE">
      <w:start w:val="1"/>
      <w:numFmt w:val="bullet"/>
      <w:lvlText w:val="o"/>
      <w:lvlJc w:val="left"/>
      <w:pPr>
        <w:ind w:left="1440" w:hanging="360"/>
      </w:pPr>
      <w:rPr>
        <w:rFonts w:ascii="Courier New" w:hAnsi="Courier New" w:hint="default"/>
      </w:rPr>
    </w:lvl>
    <w:lvl w:ilvl="2" w:tplc="C5F02F7C">
      <w:start w:val="1"/>
      <w:numFmt w:val="bullet"/>
      <w:lvlText w:val=""/>
      <w:lvlJc w:val="left"/>
      <w:pPr>
        <w:ind w:left="2160" w:hanging="360"/>
      </w:pPr>
      <w:rPr>
        <w:rFonts w:ascii="Wingdings" w:hAnsi="Wingdings" w:hint="default"/>
      </w:rPr>
    </w:lvl>
    <w:lvl w:ilvl="3" w:tplc="FD9006A6">
      <w:start w:val="1"/>
      <w:numFmt w:val="bullet"/>
      <w:lvlText w:val=""/>
      <w:lvlJc w:val="left"/>
      <w:pPr>
        <w:ind w:left="2880" w:hanging="360"/>
      </w:pPr>
      <w:rPr>
        <w:rFonts w:ascii="Symbol" w:hAnsi="Symbol" w:hint="default"/>
      </w:rPr>
    </w:lvl>
    <w:lvl w:ilvl="4" w:tplc="7EF4F96A">
      <w:start w:val="1"/>
      <w:numFmt w:val="bullet"/>
      <w:lvlText w:val="o"/>
      <w:lvlJc w:val="left"/>
      <w:pPr>
        <w:ind w:left="3600" w:hanging="360"/>
      </w:pPr>
      <w:rPr>
        <w:rFonts w:ascii="Courier New" w:hAnsi="Courier New" w:hint="default"/>
      </w:rPr>
    </w:lvl>
    <w:lvl w:ilvl="5" w:tplc="053C081C">
      <w:start w:val="1"/>
      <w:numFmt w:val="bullet"/>
      <w:lvlText w:val=""/>
      <w:lvlJc w:val="left"/>
      <w:pPr>
        <w:ind w:left="4320" w:hanging="360"/>
      </w:pPr>
      <w:rPr>
        <w:rFonts w:ascii="Wingdings" w:hAnsi="Wingdings" w:hint="default"/>
      </w:rPr>
    </w:lvl>
    <w:lvl w:ilvl="6" w:tplc="74BCCC18">
      <w:start w:val="1"/>
      <w:numFmt w:val="bullet"/>
      <w:lvlText w:val=""/>
      <w:lvlJc w:val="left"/>
      <w:pPr>
        <w:ind w:left="5040" w:hanging="360"/>
      </w:pPr>
      <w:rPr>
        <w:rFonts w:ascii="Symbol" w:hAnsi="Symbol" w:hint="default"/>
      </w:rPr>
    </w:lvl>
    <w:lvl w:ilvl="7" w:tplc="3A94ADDC">
      <w:start w:val="1"/>
      <w:numFmt w:val="bullet"/>
      <w:lvlText w:val="o"/>
      <w:lvlJc w:val="left"/>
      <w:pPr>
        <w:ind w:left="5760" w:hanging="360"/>
      </w:pPr>
      <w:rPr>
        <w:rFonts w:ascii="Courier New" w:hAnsi="Courier New" w:hint="default"/>
      </w:rPr>
    </w:lvl>
    <w:lvl w:ilvl="8" w:tplc="608E8538">
      <w:start w:val="1"/>
      <w:numFmt w:val="bullet"/>
      <w:lvlText w:val=""/>
      <w:lvlJc w:val="left"/>
      <w:pPr>
        <w:ind w:left="6480" w:hanging="360"/>
      </w:pPr>
      <w:rPr>
        <w:rFonts w:ascii="Wingdings" w:hAnsi="Wingdings" w:hint="default"/>
      </w:rPr>
    </w:lvl>
  </w:abstractNum>
  <w:abstractNum w:abstractNumId="75" w15:restartNumberingAfterBreak="0">
    <w:nsid w:val="4C053009"/>
    <w:multiLevelType w:val="hybridMultilevel"/>
    <w:tmpl w:val="F4FE745A"/>
    <w:lvl w:ilvl="0" w:tplc="4EB867B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4D9169D3"/>
    <w:multiLevelType w:val="hybridMultilevel"/>
    <w:tmpl w:val="2954FAEA"/>
    <w:lvl w:ilvl="0" w:tplc="08090017">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4E165FC6"/>
    <w:multiLevelType w:val="hybridMultilevel"/>
    <w:tmpl w:val="18DE643A"/>
    <w:lvl w:ilvl="0" w:tplc="B3D6A44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4E9F78D3"/>
    <w:multiLevelType w:val="hybridMultilevel"/>
    <w:tmpl w:val="AA90D73C"/>
    <w:lvl w:ilvl="0" w:tplc="D528050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EB81BA2"/>
    <w:multiLevelType w:val="hybridMultilevel"/>
    <w:tmpl w:val="E2B6E748"/>
    <w:lvl w:ilvl="0" w:tplc="033A3B36">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15:restartNumberingAfterBreak="0">
    <w:nsid w:val="5158543E"/>
    <w:multiLevelType w:val="hybridMultilevel"/>
    <w:tmpl w:val="0C428A2C"/>
    <w:lvl w:ilvl="0" w:tplc="3D926EEC">
      <w:start w:val="1"/>
      <w:numFmt w:val="bullet"/>
      <w:lvlText w:val=""/>
      <w:lvlJc w:val="left"/>
      <w:pPr>
        <w:ind w:left="720" w:hanging="360"/>
      </w:pPr>
      <w:rPr>
        <w:rFonts w:ascii="Symbol" w:hAnsi="Symbol" w:hint="default"/>
      </w:rPr>
    </w:lvl>
    <w:lvl w:ilvl="1" w:tplc="C4706EFA">
      <w:start w:val="1"/>
      <w:numFmt w:val="bullet"/>
      <w:lvlText w:val="o"/>
      <w:lvlJc w:val="left"/>
      <w:pPr>
        <w:ind w:left="1440" w:hanging="360"/>
      </w:pPr>
      <w:rPr>
        <w:rFonts w:ascii="Courier New" w:hAnsi="Courier New" w:hint="default"/>
      </w:rPr>
    </w:lvl>
    <w:lvl w:ilvl="2" w:tplc="EB42E5D4">
      <w:start w:val="1"/>
      <w:numFmt w:val="bullet"/>
      <w:lvlText w:val=""/>
      <w:lvlJc w:val="left"/>
      <w:pPr>
        <w:ind w:left="2160" w:hanging="360"/>
      </w:pPr>
      <w:rPr>
        <w:rFonts w:ascii="Wingdings" w:hAnsi="Wingdings" w:hint="default"/>
      </w:rPr>
    </w:lvl>
    <w:lvl w:ilvl="3" w:tplc="8FE827F4">
      <w:start w:val="1"/>
      <w:numFmt w:val="bullet"/>
      <w:lvlText w:val=""/>
      <w:lvlJc w:val="left"/>
      <w:pPr>
        <w:ind w:left="2880" w:hanging="360"/>
      </w:pPr>
      <w:rPr>
        <w:rFonts w:ascii="Symbol" w:hAnsi="Symbol" w:hint="default"/>
      </w:rPr>
    </w:lvl>
    <w:lvl w:ilvl="4" w:tplc="375AD4EC">
      <w:start w:val="1"/>
      <w:numFmt w:val="bullet"/>
      <w:lvlText w:val="o"/>
      <w:lvlJc w:val="left"/>
      <w:pPr>
        <w:ind w:left="3600" w:hanging="360"/>
      </w:pPr>
      <w:rPr>
        <w:rFonts w:ascii="Courier New" w:hAnsi="Courier New" w:hint="default"/>
      </w:rPr>
    </w:lvl>
    <w:lvl w:ilvl="5" w:tplc="E3BC2F64">
      <w:start w:val="1"/>
      <w:numFmt w:val="bullet"/>
      <w:lvlText w:val=""/>
      <w:lvlJc w:val="left"/>
      <w:pPr>
        <w:ind w:left="4320" w:hanging="360"/>
      </w:pPr>
      <w:rPr>
        <w:rFonts w:ascii="Wingdings" w:hAnsi="Wingdings" w:hint="default"/>
      </w:rPr>
    </w:lvl>
    <w:lvl w:ilvl="6" w:tplc="594AE5F0">
      <w:start w:val="1"/>
      <w:numFmt w:val="bullet"/>
      <w:lvlText w:val=""/>
      <w:lvlJc w:val="left"/>
      <w:pPr>
        <w:ind w:left="5040" w:hanging="360"/>
      </w:pPr>
      <w:rPr>
        <w:rFonts w:ascii="Symbol" w:hAnsi="Symbol" w:hint="default"/>
      </w:rPr>
    </w:lvl>
    <w:lvl w:ilvl="7" w:tplc="EC843358">
      <w:start w:val="1"/>
      <w:numFmt w:val="bullet"/>
      <w:lvlText w:val="o"/>
      <w:lvlJc w:val="left"/>
      <w:pPr>
        <w:ind w:left="5760" w:hanging="360"/>
      </w:pPr>
      <w:rPr>
        <w:rFonts w:ascii="Courier New" w:hAnsi="Courier New" w:hint="default"/>
      </w:rPr>
    </w:lvl>
    <w:lvl w:ilvl="8" w:tplc="4484040A">
      <w:start w:val="1"/>
      <w:numFmt w:val="bullet"/>
      <w:lvlText w:val=""/>
      <w:lvlJc w:val="left"/>
      <w:pPr>
        <w:ind w:left="6480" w:hanging="360"/>
      </w:pPr>
      <w:rPr>
        <w:rFonts w:ascii="Wingdings" w:hAnsi="Wingdings" w:hint="default"/>
      </w:rPr>
    </w:lvl>
  </w:abstractNum>
  <w:abstractNum w:abstractNumId="81" w15:restartNumberingAfterBreak="0">
    <w:nsid w:val="52321D53"/>
    <w:multiLevelType w:val="hybridMultilevel"/>
    <w:tmpl w:val="3B1AE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54504388"/>
    <w:multiLevelType w:val="hybridMultilevel"/>
    <w:tmpl w:val="82A459B4"/>
    <w:lvl w:ilvl="0" w:tplc="138051E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4E94157"/>
    <w:multiLevelType w:val="hybridMultilevel"/>
    <w:tmpl w:val="364A3EB6"/>
    <w:lvl w:ilvl="0" w:tplc="A69C297E">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84" w15:restartNumberingAfterBreak="0">
    <w:nsid w:val="561652A5"/>
    <w:multiLevelType w:val="hybridMultilevel"/>
    <w:tmpl w:val="118682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57C97E97"/>
    <w:multiLevelType w:val="hybridMultilevel"/>
    <w:tmpl w:val="6240AB2E"/>
    <w:lvl w:ilvl="0" w:tplc="D528050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CB54310"/>
    <w:multiLevelType w:val="hybridMultilevel"/>
    <w:tmpl w:val="21507320"/>
    <w:lvl w:ilvl="0" w:tplc="D528050C">
      <w:numFmt w:val="bullet"/>
      <w:lvlText w:val="-"/>
      <w:lvlJc w:val="left"/>
      <w:pPr>
        <w:ind w:left="720" w:hanging="360"/>
      </w:pPr>
      <w:rPr>
        <w:rFonts w:ascii="Times New Roman" w:eastAsia="Calibri" w:hAnsi="Times New Roman" w:cs="Times New Roman" w:hint="default"/>
      </w:rPr>
    </w:lvl>
    <w:lvl w:ilvl="1" w:tplc="045A2B72">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E547FF2"/>
    <w:multiLevelType w:val="hybridMultilevel"/>
    <w:tmpl w:val="81F62E0E"/>
    <w:lvl w:ilvl="0" w:tplc="08090001">
      <w:start w:val="1"/>
      <w:numFmt w:val="bullet"/>
      <w:lvlText w:val=""/>
      <w:lvlJc w:val="left"/>
      <w:pPr>
        <w:ind w:left="1570" w:hanging="360"/>
      </w:pPr>
      <w:rPr>
        <w:rFonts w:ascii="Symbol" w:hAnsi="Symbol" w:hint="default"/>
      </w:rPr>
    </w:lvl>
    <w:lvl w:ilvl="1" w:tplc="44BAED54">
      <w:numFmt w:val="bullet"/>
      <w:lvlText w:val="-"/>
      <w:lvlJc w:val="left"/>
      <w:pPr>
        <w:ind w:left="555" w:hanging="555"/>
      </w:pPr>
      <w:rPr>
        <w:rFonts w:ascii="Times New Roman" w:eastAsia="Calibri" w:hAnsi="Times New Roman" w:cs="Times New Roman" w:hint="default"/>
      </w:rPr>
    </w:lvl>
    <w:lvl w:ilvl="2" w:tplc="08090005">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88" w15:restartNumberingAfterBreak="0">
    <w:nsid w:val="5E6100B8"/>
    <w:multiLevelType w:val="hybridMultilevel"/>
    <w:tmpl w:val="8204384A"/>
    <w:lvl w:ilvl="0" w:tplc="138051E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950" w:hanging="360"/>
      </w:pPr>
      <w:rPr>
        <w:rFonts w:ascii="Courier New" w:hAnsi="Courier New" w:cs="Courier New" w:hint="default"/>
      </w:rPr>
    </w:lvl>
    <w:lvl w:ilvl="2" w:tplc="04090005" w:tentative="1">
      <w:start w:val="1"/>
      <w:numFmt w:val="bullet"/>
      <w:lvlText w:val=""/>
      <w:lvlJc w:val="left"/>
      <w:pPr>
        <w:ind w:left="1670" w:hanging="360"/>
      </w:pPr>
      <w:rPr>
        <w:rFonts w:ascii="Wingdings" w:hAnsi="Wingdings" w:hint="default"/>
      </w:rPr>
    </w:lvl>
    <w:lvl w:ilvl="3" w:tplc="04090001" w:tentative="1">
      <w:start w:val="1"/>
      <w:numFmt w:val="bullet"/>
      <w:lvlText w:val=""/>
      <w:lvlJc w:val="left"/>
      <w:pPr>
        <w:ind w:left="2390" w:hanging="360"/>
      </w:pPr>
      <w:rPr>
        <w:rFonts w:ascii="Symbol" w:hAnsi="Symbol" w:hint="default"/>
      </w:rPr>
    </w:lvl>
    <w:lvl w:ilvl="4" w:tplc="04090003" w:tentative="1">
      <w:start w:val="1"/>
      <w:numFmt w:val="bullet"/>
      <w:lvlText w:val="o"/>
      <w:lvlJc w:val="left"/>
      <w:pPr>
        <w:ind w:left="3110" w:hanging="360"/>
      </w:pPr>
      <w:rPr>
        <w:rFonts w:ascii="Courier New" w:hAnsi="Courier New" w:cs="Courier New" w:hint="default"/>
      </w:rPr>
    </w:lvl>
    <w:lvl w:ilvl="5" w:tplc="04090005" w:tentative="1">
      <w:start w:val="1"/>
      <w:numFmt w:val="bullet"/>
      <w:lvlText w:val=""/>
      <w:lvlJc w:val="left"/>
      <w:pPr>
        <w:ind w:left="3830" w:hanging="360"/>
      </w:pPr>
      <w:rPr>
        <w:rFonts w:ascii="Wingdings" w:hAnsi="Wingdings" w:hint="default"/>
      </w:rPr>
    </w:lvl>
    <w:lvl w:ilvl="6" w:tplc="04090001" w:tentative="1">
      <w:start w:val="1"/>
      <w:numFmt w:val="bullet"/>
      <w:lvlText w:val=""/>
      <w:lvlJc w:val="left"/>
      <w:pPr>
        <w:ind w:left="4550" w:hanging="360"/>
      </w:pPr>
      <w:rPr>
        <w:rFonts w:ascii="Symbol" w:hAnsi="Symbol" w:hint="default"/>
      </w:rPr>
    </w:lvl>
    <w:lvl w:ilvl="7" w:tplc="04090003" w:tentative="1">
      <w:start w:val="1"/>
      <w:numFmt w:val="bullet"/>
      <w:lvlText w:val="o"/>
      <w:lvlJc w:val="left"/>
      <w:pPr>
        <w:ind w:left="5270" w:hanging="360"/>
      </w:pPr>
      <w:rPr>
        <w:rFonts w:ascii="Courier New" w:hAnsi="Courier New" w:cs="Courier New" w:hint="default"/>
      </w:rPr>
    </w:lvl>
    <w:lvl w:ilvl="8" w:tplc="04090005" w:tentative="1">
      <w:start w:val="1"/>
      <w:numFmt w:val="bullet"/>
      <w:lvlText w:val=""/>
      <w:lvlJc w:val="left"/>
      <w:pPr>
        <w:ind w:left="5990" w:hanging="360"/>
      </w:pPr>
      <w:rPr>
        <w:rFonts w:ascii="Wingdings" w:hAnsi="Wingdings" w:hint="default"/>
      </w:rPr>
    </w:lvl>
  </w:abstractNum>
  <w:abstractNum w:abstractNumId="89" w15:restartNumberingAfterBreak="0">
    <w:nsid w:val="618E631C"/>
    <w:multiLevelType w:val="multilevel"/>
    <w:tmpl w:val="ECFE7DCC"/>
    <w:lvl w:ilvl="0">
      <w:start w:val="1"/>
      <w:numFmt w:val="bullet"/>
      <w:lvlText w:val="o"/>
      <w:lvlJc w:val="left"/>
      <w:pPr>
        <w:tabs>
          <w:tab w:val="num" w:pos="1068"/>
        </w:tabs>
        <w:ind w:left="1068" w:hanging="360"/>
      </w:pPr>
      <w:rPr>
        <w:rFonts w:ascii="Courier New" w:hAnsi="Courier New"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o"/>
      <w:lvlJc w:val="left"/>
      <w:pPr>
        <w:tabs>
          <w:tab w:val="num" w:pos="2508"/>
        </w:tabs>
        <w:ind w:left="2508" w:hanging="360"/>
      </w:pPr>
      <w:rPr>
        <w:rFonts w:ascii="Courier New" w:hAnsi="Courier New" w:hint="default"/>
        <w:sz w:val="20"/>
      </w:rPr>
    </w:lvl>
    <w:lvl w:ilvl="3" w:tentative="1">
      <w:start w:val="1"/>
      <w:numFmt w:val="bullet"/>
      <w:lvlText w:val="o"/>
      <w:lvlJc w:val="left"/>
      <w:pPr>
        <w:tabs>
          <w:tab w:val="num" w:pos="3228"/>
        </w:tabs>
        <w:ind w:left="3228" w:hanging="360"/>
      </w:pPr>
      <w:rPr>
        <w:rFonts w:ascii="Courier New" w:hAnsi="Courier New" w:hint="default"/>
        <w:sz w:val="20"/>
      </w:rPr>
    </w:lvl>
    <w:lvl w:ilvl="4" w:tentative="1">
      <w:start w:val="1"/>
      <w:numFmt w:val="bullet"/>
      <w:lvlText w:val="o"/>
      <w:lvlJc w:val="left"/>
      <w:pPr>
        <w:tabs>
          <w:tab w:val="num" w:pos="3948"/>
        </w:tabs>
        <w:ind w:left="3948" w:hanging="360"/>
      </w:pPr>
      <w:rPr>
        <w:rFonts w:ascii="Courier New" w:hAnsi="Courier New" w:hint="default"/>
        <w:sz w:val="20"/>
      </w:rPr>
    </w:lvl>
    <w:lvl w:ilvl="5" w:tentative="1">
      <w:start w:val="1"/>
      <w:numFmt w:val="bullet"/>
      <w:lvlText w:val="o"/>
      <w:lvlJc w:val="left"/>
      <w:pPr>
        <w:tabs>
          <w:tab w:val="num" w:pos="4668"/>
        </w:tabs>
        <w:ind w:left="4668" w:hanging="360"/>
      </w:pPr>
      <w:rPr>
        <w:rFonts w:ascii="Courier New" w:hAnsi="Courier New" w:hint="default"/>
        <w:sz w:val="20"/>
      </w:rPr>
    </w:lvl>
    <w:lvl w:ilvl="6" w:tentative="1">
      <w:start w:val="1"/>
      <w:numFmt w:val="bullet"/>
      <w:lvlText w:val="o"/>
      <w:lvlJc w:val="left"/>
      <w:pPr>
        <w:tabs>
          <w:tab w:val="num" w:pos="5388"/>
        </w:tabs>
        <w:ind w:left="5388" w:hanging="360"/>
      </w:pPr>
      <w:rPr>
        <w:rFonts w:ascii="Courier New" w:hAnsi="Courier New" w:hint="default"/>
        <w:sz w:val="20"/>
      </w:rPr>
    </w:lvl>
    <w:lvl w:ilvl="7" w:tentative="1">
      <w:start w:val="1"/>
      <w:numFmt w:val="bullet"/>
      <w:lvlText w:val="o"/>
      <w:lvlJc w:val="left"/>
      <w:pPr>
        <w:tabs>
          <w:tab w:val="num" w:pos="6108"/>
        </w:tabs>
        <w:ind w:left="6108" w:hanging="360"/>
      </w:pPr>
      <w:rPr>
        <w:rFonts w:ascii="Courier New" w:hAnsi="Courier New" w:hint="default"/>
        <w:sz w:val="20"/>
      </w:rPr>
    </w:lvl>
    <w:lvl w:ilvl="8" w:tentative="1">
      <w:start w:val="1"/>
      <w:numFmt w:val="bullet"/>
      <w:lvlText w:val="o"/>
      <w:lvlJc w:val="left"/>
      <w:pPr>
        <w:tabs>
          <w:tab w:val="num" w:pos="6828"/>
        </w:tabs>
        <w:ind w:left="6828" w:hanging="360"/>
      </w:pPr>
      <w:rPr>
        <w:rFonts w:ascii="Courier New" w:hAnsi="Courier New" w:hint="default"/>
        <w:sz w:val="20"/>
      </w:rPr>
    </w:lvl>
  </w:abstractNum>
  <w:abstractNum w:abstractNumId="90" w15:restartNumberingAfterBreak="0">
    <w:nsid w:val="64334846"/>
    <w:multiLevelType w:val="hybridMultilevel"/>
    <w:tmpl w:val="C1568BB6"/>
    <w:lvl w:ilvl="0" w:tplc="5A6C5C06">
      <w:start w:val="1"/>
      <w:numFmt w:val="bullet"/>
      <w:lvlText w:val=""/>
      <w:lvlJc w:val="left"/>
      <w:pPr>
        <w:ind w:left="720" w:hanging="360"/>
      </w:pPr>
      <w:rPr>
        <w:rFonts w:ascii="Symbol" w:hAnsi="Symbol"/>
      </w:rPr>
    </w:lvl>
    <w:lvl w:ilvl="1" w:tplc="B57247AA">
      <w:start w:val="1"/>
      <w:numFmt w:val="bullet"/>
      <w:lvlText w:val=""/>
      <w:lvlJc w:val="left"/>
      <w:pPr>
        <w:ind w:left="720" w:hanging="360"/>
      </w:pPr>
      <w:rPr>
        <w:rFonts w:ascii="Symbol" w:hAnsi="Symbol"/>
      </w:rPr>
    </w:lvl>
    <w:lvl w:ilvl="2" w:tplc="A54E25E0">
      <w:start w:val="1"/>
      <w:numFmt w:val="bullet"/>
      <w:lvlText w:val=""/>
      <w:lvlJc w:val="left"/>
      <w:pPr>
        <w:ind w:left="720" w:hanging="360"/>
      </w:pPr>
      <w:rPr>
        <w:rFonts w:ascii="Symbol" w:hAnsi="Symbol"/>
      </w:rPr>
    </w:lvl>
    <w:lvl w:ilvl="3" w:tplc="600AFDAA">
      <w:start w:val="1"/>
      <w:numFmt w:val="bullet"/>
      <w:lvlText w:val=""/>
      <w:lvlJc w:val="left"/>
      <w:pPr>
        <w:ind w:left="720" w:hanging="360"/>
      </w:pPr>
      <w:rPr>
        <w:rFonts w:ascii="Symbol" w:hAnsi="Symbol"/>
      </w:rPr>
    </w:lvl>
    <w:lvl w:ilvl="4" w:tplc="126C093C">
      <w:start w:val="1"/>
      <w:numFmt w:val="bullet"/>
      <w:lvlText w:val=""/>
      <w:lvlJc w:val="left"/>
      <w:pPr>
        <w:ind w:left="720" w:hanging="360"/>
      </w:pPr>
      <w:rPr>
        <w:rFonts w:ascii="Symbol" w:hAnsi="Symbol"/>
      </w:rPr>
    </w:lvl>
    <w:lvl w:ilvl="5" w:tplc="7C3A356A">
      <w:start w:val="1"/>
      <w:numFmt w:val="bullet"/>
      <w:lvlText w:val=""/>
      <w:lvlJc w:val="left"/>
      <w:pPr>
        <w:ind w:left="720" w:hanging="360"/>
      </w:pPr>
      <w:rPr>
        <w:rFonts w:ascii="Symbol" w:hAnsi="Symbol"/>
      </w:rPr>
    </w:lvl>
    <w:lvl w:ilvl="6" w:tplc="7DF222C6">
      <w:start w:val="1"/>
      <w:numFmt w:val="bullet"/>
      <w:lvlText w:val=""/>
      <w:lvlJc w:val="left"/>
      <w:pPr>
        <w:ind w:left="720" w:hanging="360"/>
      </w:pPr>
      <w:rPr>
        <w:rFonts w:ascii="Symbol" w:hAnsi="Symbol"/>
      </w:rPr>
    </w:lvl>
    <w:lvl w:ilvl="7" w:tplc="84DC521A">
      <w:start w:val="1"/>
      <w:numFmt w:val="bullet"/>
      <w:lvlText w:val=""/>
      <w:lvlJc w:val="left"/>
      <w:pPr>
        <w:ind w:left="720" w:hanging="360"/>
      </w:pPr>
      <w:rPr>
        <w:rFonts w:ascii="Symbol" w:hAnsi="Symbol"/>
      </w:rPr>
    </w:lvl>
    <w:lvl w:ilvl="8" w:tplc="2CBC83B2">
      <w:start w:val="1"/>
      <w:numFmt w:val="bullet"/>
      <w:lvlText w:val=""/>
      <w:lvlJc w:val="left"/>
      <w:pPr>
        <w:ind w:left="720" w:hanging="360"/>
      </w:pPr>
      <w:rPr>
        <w:rFonts w:ascii="Symbol" w:hAnsi="Symbol"/>
      </w:rPr>
    </w:lvl>
  </w:abstractNum>
  <w:abstractNum w:abstractNumId="91" w15:restartNumberingAfterBreak="0">
    <w:nsid w:val="67AE431F"/>
    <w:multiLevelType w:val="hybridMultilevel"/>
    <w:tmpl w:val="A2D4380E"/>
    <w:lvl w:ilvl="0" w:tplc="7A72C7A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9D84C63"/>
    <w:multiLevelType w:val="hybridMultilevel"/>
    <w:tmpl w:val="6CB27466"/>
    <w:lvl w:ilvl="0" w:tplc="08090017">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3" w15:restartNumberingAfterBreak="0">
    <w:nsid w:val="6C0F3A3F"/>
    <w:multiLevelType w:val="hybridMultilevel"/>
    <w:tmpl w:val="F43C5544"/>
    <w:lvl w:ilvl="0" w:tplc="BDAC0944">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4" w15:restartNumberingAfterBreak="0">
    <w:nsid w:val="6E28565F"/>
    <w:multiLevelType w:val="hybridMultilevel"/>
    <w:tmpl w:val="9392B9B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705F4C33"/>
    <w:multiLevelType w:val="hybridMultilevel"/>
    <w:tmpl w:val="FDD0DF14"/>
    <w:lvl w:ilvl="0" w:tplc="0809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6" w15:restartNumberingAfterBreak="0">
    <w:nsid w:val="714D76A7"/>
    <w:multiLevelType w:val="hybridMultilevel"/>
    <w:tmpl w:val="5F2CB570"/>
    <w:lvl w:ilvl="0" w:tplc="E0327970">
      <w:start w:val="1"/>
      <w:numFmt w:val="lowerLetter"/>
      <w:lvlText w:val="%1)"/>
      <w:lvlJc w:val="left"/>
      <w:pPr>
        <w:ind w:left="720" w:hanging="36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190718B"/>
    <w:multiLevelType w:val="hybridMultilevel"/>
    <w:tmpl w:val="89B213EE"/>
    <w:lvl w:ilvl="0" w:tplc="47643D76">
      <w:start w:val="10"/>
      <w:numFmt w:val="bullet"/>
      <w:lvlText w:val="-"/>
      <w:lvlJc w:val="left"/>
      <w:pPr>
        <w:ind w:left="2136" w:hanging="360"/>
      </w:pPr>
      <w:rPr>
        <w:rFonts w:ascii="Calibri" w:eastAsia="Calibri" w:hAnsi="Calibri" w:cs="Calibri"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98" w15:restartNumberingAfterBreak="0">
    <w:nsid w:val="7199399C"/>
    <w:multiLevelType w:val="hybridMultilevel"/>
    <w:tmpl w:val="AC4C6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3056AAD"/>
    <w:multiLevelType w:val="hybridMultilevel"/>
    <w:tmpl w:val="5DDAD048"/>
    <w:lvl w:ilvl="0" w:tplc="44BAED5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41405A5"/>
    <w:multiLevelType w:val="hybridMultilevel"/>
    <w:tmpl w:val="9622411C"/>
    <w:lvl w:ilvl="0" w:tplc="08090001">
      <w:start w:val="1"/>
      <w:numFmt w:val="bullet"/>
      <w:lvlText w:val=""/>
      <w:lvlJc w:val="left"/>
      <w:pPr>
        <w:ind w:left="1570" w:hanging="360"/>
      </w:pPr>
      <w:rPr>
        <w:rFonts w:ascii="Symbol" w:hAnsi="Symbol"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101" w15:restartNumberingAfterBreak="0">
    <w:nsid w:val="74982E5A"/>
    <w:multiLevelType w:val="hybridMultilevel"/>
    <w:tmpl w:val="CD5A6970"/>
    <w:lvl w:ilvl="0" w:tplc="A69C297E">
      <w:start w:val="1"/>
      <w:numFmt w:val="decimal"/>
      <w:lvlText w:val="%1."/>
      <w:lvlJc w:val="left"/>
      <w:pPr>
        <w:ind w:left="4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64F0659"/>
    <w:multiLevelType w:val="hybridMultilevel"/>
    <w:tmpl w:val="81C86B2A"/>
    <w:lvl w:ilvl="0" w:tplc="08090001">
      <w:start w:val="1"/>
      <w:numFmt w:val="bullet"/>
      <w:lvlText w:val=""/>
      <w:lvlJc w:val="left"/>
      <w:pPr>
        <w:ind w:left="1570" w:hanging="360"/>
      </w:pPr>
      <w:rPr>
        <w:rFonts w:ascii="Symbol" w:hAnsi="Symbol"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103" w15:restartNumberingAfterBreak="0">
    <w:nsid w:val="76A90DA3"/>
    <w:multiLevelType w:val="hybridMultilevel"/>
    <w:tmpl w:val="D6586E38"/>
    <w:lvl w:ilvl="0" w:tplc="08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104" w15:restartNumberingAfterBreak="0">
    <w:nsid w:val="7C2F64E3"/>
    <w:multiLevelType w:val="hybridMultilevel"/>
    <w:tmpl w:val="4DD8D9F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5" w15:restartNumberingAfterBreak="0">
    <w:nsid w:val="7D2E1FC9"/>
    <w:multiLevelType w:val="hybridMultilevel"/>
    <w:tmpl w:val="41EA0126"/>
    <w:lvl w:ilvl="0" w:tplc="D528050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F774F2B"/>
    <w:multiLevelType w:val="multilevel"/>
    <w:tmpl w:val="F8E2BD90"/>
    <w:lvl w:ilvl="0">
      <w:start w:val="1"/>
      <w:numFmt w:val="bullet"/>
      <w:lvlText w:val="-"/>
      <w:lvlJc w:val="left"/>
      <w:pPr>
        <w:ind w:left="0" w:firstLine="0"/>
      </w:pPr>
      <w:rPr>
        <w:rFonts w:ascii="Calibri" w:eastAsia="Calibri" w:hAnsi="Calibri" w:cs="Calibri"/>
        <w:b w:val="0"/>
        <w:bCs w:val="0"/>
        <w:i w:val="0"/>
        <w:iCs w:val="0"/>
        <w:smallCaps w:val="0"/>
        <w:strike w:val="0"/>
        <w:dstrike w:val="0"/>
        <w:color w:val="000000"/>
        <w:spacing w:val="0"/>
        <w:w w:val="100"/>
        <w:position w:val="0"/>
        <w:sz w:val="22"/>
        <w:szCs w:val="22"/>
        <w:u w:val="none"/>
        <w:effect w:val="none"/>
        <w:lang w:val="bg-BG" w:eastAsia="bg-BG" w:bidi="bg-BG"/>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37"/>
  </w:num>
  <w:num w:numId="2">
    <w:abstractNumId w:val="0"/>
  </w:num>
  <w:num w:numId="3">
    <w:abstractNumId w:val="11"/>
  </w:num>
  <w:num w:numId="4">
    <w:abstractNumId w:val="48"/>
  </w:num>
  <w:num w:numId="5">
    <w:abstractNumId w:val="14"/>
  </w:num>
  <w:num w:numId="6">
    <w:abstractNumId w:val="78"/>
  </w:num>
  <w:num w:numId="7">
    <w:abstractNumId w:val="86"/>
  </w:num>
  <w:num w:numId="8">
    <w:abstractNumId w:val="23"/>
  </w:num>
  <w:num w:numId="9">
    <w:abstractNumId w:val="73"/>
  </w:num>
  <w:num w:numId="10">
    <w:abstractNumId w:val="53"/>
  </w:num>
  <w:num w:numId="11">
    <w:abstractNumId w:val="26"/>
  </w:num>
  <w:num w:numId="12">
    <w:abstractNumId w:val="85"/>
  </w:num>
  <w:num w:numId="13">
    <w:abstractNumId w:val="39"/>
  </w:num>
  <w:num w:numId="14">
    <w:abstractNumId w:val="72"/>
  </w:num>
  <w:num w:numId="15">
    <w:abstractNumId w:val="38"/>
  </w:num>
  <w:num w:numId="16">
    <w:abstractNumId w:val="105"/>
  </w:num>
  <w:num w:numId="17">
    <w:abstractNumId w:val="89"/>
  </w:num>
  <w:num w:numId="18">
    <w:abstractNumId w:val="97"/>
  </w:num>
  <w:num w:numId="19">
    <w:abstractNumId w:val="2"/>
  </w:num>
  <w:num w:numId="20">
    <w:abstractNumId w:val="43"/>
  </w:num>
  <w:num w:numId="21">
    <w:abstractNumId w:val="54"/>
  </w:num>
  <w:num w:numId="22">
    <w:abstractNumId w:val="33"/>
  </w:num>
  <w:num w:numId="23">
    <w:abstractNumId w:val="83"/>
  </w:num>
  <w:num w:numId="24">
    <w:abstractNumId w:val="101"/>
  </w:num>
  <w:num w:numId="25">
    <w:abstractNumId w:val="98"/>
  </w:num>
  <w:num w:numId="26">
    <w:abstractNumId w:val="36"/>
  </w:num>
  <w:num w:numId="27">
    <w:abstractNumId w:val="17"/>
  </w:num>
  <w:num w:numId="28">
    <w:abstractNumId w:val="25"/>
  </w:num>
  <w:num w:numId="29">
    <w:abstractNumId w:val="106"/>
  </w:num>
  <w:num w:numId="30">
    <w:abstractNumId w:val="20"/>
  </w:num>
  <w:num w:numId="31">
    <w:abstractNumId w:val="77"/>
  </w:num>
  <w:num w:numId="32">
    <w:abstractNumId w:val="80"/>
  </w:num>
  <w:num w:numId="33">
    <w:abstractNumId w:val="93"/>
  </w:num>
  <w:num w:numId="34">
    <w:abstractNumId w:val="60"/>
  </w:num>
  <w:num w:numId="35">
    <w:abstractNumId w:val="51"/>
  </w:num>
  <w:num w:numId="36">
    <w:abstractNumId w:val="34"/>
  </w:num>
  <w:num w:numId="37">
    <w:abstractNumId w:val="87"/>
  </w:num>
  <w:num w:numId="38">
    <w:abstractNumId w:val="100"/>
  </w:num>
  <w:num w:numId="39">
    <w:abstractNumId w:val="66"/>
  </w:num>
  <w:num w:numId="40">
    <w:abstractNumId w:val="102"/>
  </w:num>
  <w:num w:numId="41">
    <w:abstractNumId w:val="103"/>
  </w:num>
  <w:num w:numId="42">
    <w:abstractNumId w:val="29"/>
  </w:num>
  <w:num w:numId="43">
    <w:abstractNumId w:val="56"/>
  </w:num>
  <w:num w:numId="44">
    <w:abstractNumId w:val="6"/>
  </w:num>
  <w:num w:numId="45">
    <w:abstractNumId w:val="84"/>
  </w:num>
  <w:num w:numId="46">
    <w:abstractNumId w:val="99"/>
  </w:num>
  <w:num w:numId="47">
    <w:abstractNumId w:val="27"/>
  </w:num>
  <w:num w:numId="48">
    <w:abstractNumId w:val="68"/>
  </w:num>
  <w:num w:numId="49">
    <w:abstractNumId w:val="13"/>
  </w:num>
  <w:num w:numId="50">
    <w:abstractNumId w:val="81"/>
  </w:num>
  <w:num w:numId="51">
    <w:abstractNumId w:val="40"/>
  </w:num>
  <w:num w:numId="52">
    <w:abstractNumId w:val="12"/>
  </w:num>
  <w:num w:numId="53">
    <w:abstractNumId w:val="59"/>
  </w:num>
  <w:num w:numId="54">
    <w:abstractNumId w:val="31"/>
  </w:num>
  <w:num w:numId="55">
    <w:abstractNumId w:val="28"/>
  </w:num>
  <w:num w:numId="56">
    <w:abstractNumId w:val="18"/>
  </w:num>
  <w:num w:numId="57">
    <w:abstractNumId w:val="15"/>
  </w:num>
  <w:num w:numId="58">
    <w:abstractNumId w:val="91"/>
  </w:num>
  <w:num w:numId="59">
    <w:abstractNumId w:val="57"/>
  </w:num>
  <w:num w:numId="60">
    <w:abstractNumId w:val="42"/>
  </w:num>
  <w:num w:numId="61">
    <w:abstractNumId w:val="82"/>
  </w:num>
  <w:num w:numId="62">
    <w:abstractNumId w:val="88"/>
  </w:num>
  <w:num w:numId="63">
    <w:abstractNumId w:val="52"/>
  </w:num>
  <w:num w:numId="64">
    <w:abstractNumId w:val="1"/>
  </w:num>
  <w:num w:numId="65">
    <w:abstractNumId w:val="19"/>
  </w:num>
  <w:num w:numId="66">
    <w:abstractNumId w:val="16"/>
  </w:num>
  <w:num w:numId="67">
    <w:abstractNumId w:val="96"/>
  </w:num>
  <w:num w:numId="68">
    <w:abstractNumId w:val="74"/>
  </w:num>
  <w:num w:numId="69">
    <w:abstractNumId w:val="46"/>
  </w:num>
  <w:num w:numId="70">
    <w:abstractNumId w:val="104"/>
  </w:num>
  <w:num w:numId="71">
    <w:abstractNumId w:val="24"/>
  </w:num>
  <w:num w:numId="72">
    <w:abstractNumId w:val="35"/>
  </w:num>
  <w:num w:numId="73">
    <w:abstractNumId w:val="9"/>
  </w:num>
  <w:num w:numId="74">
    <w:abstractNumId w:val="95"/>
  </w:num>
  <w:num w:numId="75">
    <w:abstractNumId w:val="67"/>
  </w:num>
  <w:num w:numId="76">
    <w:abstractNumId w:val="30"/>
  </w:num>
  <w:num w:numId="77">
    <w:abstractNumId w:val="47"/>
  </w:num>
  <w:num w:numId="78">
    <w:abstractNumId w:val="94"/>
  </w:num>
  <w:num w:numId="79">
    <w:abstractNumId w:val="63"/>
  </w:num>
  <w:num w:numId="80">
    <w:abstractNumId w:val="21"/>
  </w:num>
  <w:num w:numId="81">
    <w:abstractNumId w:val="7"/>
  </w:num>
  <w:num w:numId="82">
    <w:abstractNumId w:val="58"/>
  </w:num>
  <w:num w:numId="83">
    <w:abstractNumId w:val="61"/>
  </w:num>
  <w:num w:numId="84">
    <w:abstractNumId w:val="10"/>
  </w:num>
  <w:num w:numId="85">
    <w:abstractNumId w:val="3"/>
  </w:num>
  <w:num w:numId="86">
    <w:abstractNumId w:val="22"/>
  </w:num>
  <w:num w:numId="87">
    <w:abstractNumId w:val="4"/>
  </w:num>
  <w:num w:numId="88">
    <w:abstractNumId w:val="64"/>
  </w:num>
  <w:num w:numId="89">
    <w:abstractNumId w:val="41"/>
  </w:num>
  <w:num w:numId="90">
    <w:abstractNumId w:val="55"/>
  </w:num>
  <w:num w:numId="91">
    <w:abstractNumId w:val="8"/>
  </w:num>
  <w:num w:numId="92">
    <w:abstractNumId w:val="92"/>
  </w:num>
  <w:num w:numId="93">
    <w:abstractNumId w:val="44"/>
  </w:num>
  <w:num w:numId="94">
    <w:abstractNumId w:val="76"/>
  </w:num>
  <w:num w:numId="95">
    <w:abstractNumId w:val="65"/>
  </w:num>
  <w:num w:numId="96">
    <w:abstractNumId w:val="70"/>
  </w:num>
  <w:num w:numId="97">
    <w:abstractNumId w:val="75"/>
  </w:num>
  <w:num w:numId="9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69"/>
  </w:num>
  <w:num w:numId="101">
    <w:abstractNumId w:val="79"/>
  </w:num>
  <w:num w:numId="102">
    <w:abstractNumId w:val="71"/>
  </w:num>
  <w:num w:numId="103">
    <w:abstractNumId w:val="62"/>
  </w:num>
  <w:num w:numId="104">
    <w:abstractNumId w:val="32"/>
  </w:num>
  <w:num w:numId="105">
    <w:abstractNumId w:val="5"/>
  </w:num>
  <w:num w:numId="106">
    <w:abstractNumId w:val="49"/>
  </w:num>
  <w:num w:numId="107">
    <w:abstractNumId w:val="45"/>
  </w:num>
  <w:num w:numId="108">
    <w:abstractNumId w:val="90"/>
  </w:num>
  <w:num w:numId="109">
    <w:abstractNumId w:val="50"/>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ctiveWritingStyle w:appName="MSWord" w:lang="en-GB" w:vendorID="64" w:dllVersion="0" w:nlCheck="1" w:checkStyle="0"/>
  <w:activeWritingStyle w:appName="MSWord" w:lang="fr-BE" w:vendorID="64" w:dllVersion="0" w:nlCheck="1" w:checkStyle="0"/>
  <w:activeWritingStyle w:appName="MSWord" w:lang="en-US" w:vendorID="64" w:dllVersion="0" w:nlCheck="1" w:checkStyle="0"/>
  <w:activeWritingStyle w:appName="MSWord" w:lang="en-IE" w:vendorID="64" w:dllVersion="0" w:nlCheck="1" w:checkStyle="0"/>
  <w:activeWritingStyle w:appName="MSWord" w:lang="it-IT" w:vendorID="64" w:dllVersion="0" w:nlCheck="1" w:checkStyle="0"/>
  <w:revisionView w:markup="0"/>
  <w:documentProtection w:edit="trackedChanges" w:enforcement="0"/>
  <w:defaultTabStop w:val="708"/>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uncil" w:val="true"/>
    <w:docVar w:name="CoverPageOnWordDoc" w:val="true"/>
    <w:docVar w:name="DocStatus" w:val="Green"/>
    <w:docVar w:name="DocuWriteMetaData" w:val="&lt;metadataset docuwriteversion=&quot;4.6.2&quot; technicalblockguid=&quot;4838773583444999315&quot;&gt;_x000d__x000a_  &lt;metadata key=&quot;md_DocumentLanguages&quot;&gt;_x000d__x000a_    &lt;basicdatatypelist&gt;_x000d__x000a_      &lt;language key=&quot;EN&quot; text=&quot;EN&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DocumentLanguagesAutomatic&quot;&gt;_x000d__x000a_    &lt;text&gt;&lt;/text&gt;_x000d__x000a_  &lt;/metadata&gt;_x000d__x000a_  &lt;metadata key=&quot;md_UniqueHeading&quot;&gt;_x000d__x000a_    &lt;basicdatatype&gt;_x000d__x000a_      &lt;heading key=&quot;uh_66&quot; text=&quot;NOTE&quot; /&gt;_x000d__x000a_    &lt;/basicdatatype&gt;_x000d__x000a_  &lt;/metadata&gt;_x000d__x000a_  &lt;metadata key=&quot;md_HeadingText&quot;&gt;_x000d__x000a_    &lt;headingtext text=&quot;NOTE&quot;&gt;_x000d__x000a_      &lt;formattedtext&gt;_x000d__x000a_        &lt;xaml text=&quot;NOTE&quot;&gt;&amp;lt;FlowDocument xmlns=&quot;http://schemas.microsoft.com/winfx/2006/xaml/presentation&quot;&amp;gt;&amp;lt;Paragraph&amp;gt;NOTE&amp;lt;/Paragraph&amp;gt;&amp;lt;/FlowDocument&amp;gt;&lt;/xaml&gt;_x000d__x000a_      &lt;/formattedtext&gt;_x000d__x000a_    &lt;/headingtext&gt;_x000d__x000a_  &lt;/metadata&gt;_x000d__x000a_  &lt;metadata key=&quot;md_DocumentGroup&quot;&gt;_x000d__x000a_    &lt;basicdatatype&gt;_x000d__x000a_      &lt;document_group key=&quot;dg_12&quot; text=&quot;Cover Page&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Council of the European Union&quot; institution=&quot;instfr_institution&quot; acronym=&quot;instfr_acronym&quot; /&gt;_x000d__x000a_    &lt;/basicdatatype&gt;_x000d__x000a_  &lt;/metadata&gt;_x000d__x000a_  &lt;metadata key=&quot;md_DraftNote&quot; /&gt;_x000d__x000a_  &lt;metadata key=&quot;md_DocumentLocation&quot;&gt;_x000d__x000a_    &lt;basicdatatype&gt;_x000d__x000a_      &lt;location key=&quot;loc_01&quot; text=&quot;Brussels&quot; /&gt;_x000d__x000a_    &lt;/basicdatatype&gt;_x000d__x000a_  &lt;/metadata&gt;_x000d__x000a_  &lt;metadata key=&quot;md_DocumentDate&quot;&gt;_x000d__x000a_    &lt;text&gt;2022-04-28&lt;/text&gt;_x000d__x000a_  &lt;/metadata&gt;_x000d__x000a_  &lt;metadata key=&quot;md_Prefix&quot;&gt;_x000d__x000a_    &lt;text&gt;&lt;/text&gt;_x000d__x000a_  &lt;/metadata&gt;_x000d__x000a_  &lt;metadata key=&quot;md_DocumentNumber&quot;&gt;_x000d__x000a_    &lt;text&gt;8091&lt;/text&gt;_x000d__x000a_  &lt;/metadata&gt;_x000d__x000a_  &lt;metadata key=&quot;md_YearDocumentNumber&quot;&gt;_x000d__x000a_    &lt;text&gt;2022&lt;/text&gt;_x000d__x000a_  &lt;/metadata&gt;_x000d__x000a_  &lt;metadata key=&quot;md_Suffixes&quot;&gt;_x000d__x000a_    &lt;text&gt;ADD 1&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1&quot; text=&quot;PUBLIC&quot; /&gt;_x000d__x000a_    &lt;/basicdatatype&gt;_x000d__x000a_  &lt;/metadata&gt;_x000d__x000a_  &lt;metadata key=&quot;md_SubjectCodes&quot;&gt;_x000d__x000a_    &lt;textlist&gt;_x000d__x000a_      &lt;text&gt;ECOFIN 326&lt;/text&gt;_x000d__x000a_      &lt;text&gt;CADREFIN 50&lt;/text&gt;_x000d__x000a_      &lt;text&gt;UEM 61&lt;/text&gt;_x000d__x000a_      &lt;text&gt;FIN 424&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gt;_x000d__x000a_      &lt;text&gt;2022/0112 (NLE)&lt;/text&gt;_x000d__x000a_    &lt;/textlist&gt;_x000d__x000a_  &lt;/metadata&gt;_x000d__x000a_  &lt;metadata key=&quot;md_AdditionalReferences&quot;&gt;_x000d__x000a_    &lt;textlist /&gt;_x000d__x000a_  &lt;/metadata&gt;_x000d__x000a_  &lt;metadata key=&quot;md_LEXNumber&quot;&gt;_x000d__x000a_    &lt;text&gt;&lt;/text&gt;_x000d__x000a_  &lt;/metadata&gt;_x000d__x000a_  &lt;metadata key=&quot;md_SousEmbargo&quot;&gt;_x000d__x000a_    &lt;text&gt;&lt;/text&gt;_x000d__x000a_  &lt;/metadata&gt;_x000d__x000a_  &lt;metadata key=&quot;md_DraftVersion&quot;&gt;_x000d__x000a_    &lt;text&gt;&lt;/text&gt;_x000d__x000a_  &lt;/metadata&gt;_x000d__x000a_  &lt;metadata key=&quot;md_Originator&quot;&gt;_x000d__x000a_    &lt;basicdatatype&gt;_x000d__x000a_      &lt;originator key=&quot;or_09&quot; text=&quot;General Secretariat of the Council&quot; /&gt;_x000d__x000a_    &lt;/basicdatatype&gt;_x000d__x000a_  &lt;/metadata&gt;_x000d__x000a_  &lt;metadata key=&quot;md_Recipient&quot;&gt;_x000d__x000a_    &lt;basicdatatype&gt;_x000d__x000a_      &lt;recipient key=&quot;re_07&quot; text=&quot;Delegations&quot; /&gt;_x000d__x000a_    &lt;/basicdatatype&gt;_x000d__x000a_  &lt;/metadata&gt;_x000d__x000a_  &lt;metadata key=&quot;md_DateOfReceipt&quot;&gt;_x000d__x000a_    &lt;text&gt;&lt;/text&gt;_x000d__x000a_  &lt;/metadata&gt;_x000d__x000a_  &lt;metadata key=&quot;md_FreeDate&quot;&gt;_x000d__x000a_    &lt;textlist /&gt;_x000d__x000a_  &lt;/metadata&gt;_x000d__x000a_  &lt;metadata key=&quot;md_PrecedingDocuments&quot;&gt;_x000d__x000a_    &lt;textlist /&gt;_x000d__x000a_  &lt;/metadata&gt;_x000d__x000a_  &lt;metadata key=&quot;md_CommissionDocuments&quot;&gt;_x000d__x000a_    &lt;textlist /&gt;_x000d__x000a_  &lt;/metadata&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DateFormatOr&quot;&gt;_x000d__x000a_    &lt;text&gt;&lt;/text&gt;_x000d__x000a_  &lt;/metadata&gt;_x000d__x000a_  &lt;metadata key=&quot;md_MeetingInformation&quot; /&gt;_x000d__x000a_  &lt;metadata key=&quot;md_Item&quot; /&gt;_x000d__x000a_  &lt;metadata key=&quot;md_SubjectPrefix&quot;&gt;_x000d__x000a_    &lt;text&gt;&lt;/text&gt;_x000d__x000a_  &lt;/metadata&gt;_x000d__x000a_  &lt;metadata key=&quot;md_Subject&quot;&gt;_x000d__x000a_    &lt;xaml text=&quot;ANNEX to the Council Implementing Decision on the approval of the assessment of the recovery and resilience plan for Bulgaria&quot;&gt;&amp;lt;FlowDocument FontFamily=&quot;Segoe UI&quot; FontSize=&quot;12&quot; LineHeight=&quot;6&quot; PageWidth=&quot;329&quot; PagePadding=&quot;2,2,2,2&quot; AllowDrop=&quot;False&quot; xmlns=&quot;http://schemas.microsoft.com/winfx/2006/xaml/presentation&quot; xmlns:x=&quot;http://schemas.microsoft.com/winfx/2006/xaml&quot;&amp;gt;&amp;lt;Paragraph&amp;gt;ANNEX to the&amp;lt;Run xml:lang=&quot;fr-be&quot; xml:space=&quot;preserve&quot;&amp;gt; &amp;lt;/Run&amp;gt;Council Implementing Decision on the approval of the assessment of the recovery and resilience plan for &amp;lt;Run xml:lang=&quot;fr-be&quot;&amp;gt;Bulgaria&amp;lt;/Run&amp;gt;&amp;lt;/Paragraph&amp;gt;&amp;lt;/FlowDocument&amp;gt;&lt;/xaml&gt;_x000d__x000a_  &lt;/metadata&gt;_x000d__x000a_  &lt;metadata key=&quot;md_SubjectFootnote&quot; /&gt;_x000d__x000a_  &lt;metadata key=&quot;md_DG&quot;&gt;_x000d__x000a_    &lt;text&gt;ECOFIN 1A&lt;/text&gt;_x000d__x000a_  &lt;/metadata&gt;_x000d__x000a_  &lt;metadata key=&quot;md_Initials&quot;&gt;_x000d__x000a_    &lt;text&gt;JPS/sr&lt;/text&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22&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lt;/text&gt;_x000d__x000a_  &lt;/metadata&gt;_x000d__x000a_  &lt;metadata key=&quot;md_Rectif_Source2_Suffixes&quot;&gt;_x000d__x000a_    &lt;text&gt;&lt;/text&gt;_x000d__x000a_  &lt;/metadata&gt;_x000d__x000a_  &lt;metadata key=&quot;md_CoverPageDocWithCouncilFooter&quot;&gt;_x000d__x000a_    &lt;text&gt;true&lt;/text&gt;_x000d__x000a_  &lt;/metadata&gt;_x000d__x000a_  &lt;metadata key=&quot;md_SourceDocLanguage&quot;&gt;_x000d__x000a_    &lt;text&gt;EN&lt;/text&gt;_x000d__x000a_  &lt;/metadata&gt;_x000d__x000a_  &lt;metadata key=&quot;md_SourceDocType&quot;&gt;_x000d__x000a_    &lt;text&gt;&lt;/text&gt;_x000d__x000a_  &lt;/metadata&gt;_x000d__x000a_  &lt;metadata key=&quot;md_SourceDocTitle&quot;&gt;_x000d__x000a_    &lt;text&gt;&lt;/text&gt;_x000d__x000a_  &lt;/metadata&gt;_x000d__x000a_  &lt;metadata key=&quot;md_SourceDocIsCECDoc&quot;&gt;_x000d__x000a_    &lt;text&gt;false&lt;/text&gt;_x000d__x000a_  &lt;/metadata&gt;_x000d__x000a_  &lt;metadata key=&quot;md_NB1&quot; /&gt;_x000d__x000a_  &lt;metadata key=&quot;md_NB2&quot; /&gt;_x000d__x000a_  &lt;metadata key=&quot;md_NB3&quot; /&gt;_x000d__x000a_  &lt;metadata key=&quot;md_NB4&quot; /&gt;_x000d__x000a_  &lt;metadata key=&quot;md_CustomNB&quot; /&gt;_x000d__x000a_  &lt;metadata key=&quot;md_Meetings&quot; /&gt;_x000d__x000a_  &lt;metadata key=&quot;md_VisualRepresentation&quot;&gt;_x000d__x000a_    &lt;basicdatatype&gt;_x000d__x000a_      &lt;visualrepresentation key=&quot;visrep_02&quot; text=&quot;New visual identity&quot; /&gt;_x000d__x000a_    &lt;/basicdatatype&gt;_x000d__x000a_  &lt;/metadata&gt;_x000d__x000a_  &lt;metadata key=&quot;md_LetterData&quot; /&gt;_x000d__x000a_  &lt;metadata key=&quot;md_InstFrSubWordmark&quot;&gt;_x000d__x000a_    &lt;xaml text=&quot;&quot;&gt;&amp;lt;FlowDocument FontFamily=&quot;Segoe UI&quot; FontSize=&quot;12&quot; PagePadding=&quot;2,2,2,2&quot; AllowDrop=&quot;False&quot; xmlns=&quot;http://schemas.microsoft.com/winfx/2006/xaml/presentation&quot; /&amp;gt;&lt;/xaml&gt;_x000d__x000a_  &lt;/metadata&gt;_x000d__x000a_  &lt;metadata key=&quot;md_WorkflowLinkStatus&quot;&gt;_x000d__x000a_    &lt;text&gt;&lt;/text&gt;_x000d__x000a_  &lt;/metadata&gt;_x000d__x000a_  &lt;metadata key=&quot;md_eAgendaLinkStatus&quot; /&gt;_x000d__x000a_  &lt;metadata key=&quot;md_Caveat&quot;&gt;_x000d__x000a_    &lt;text&gt;&lt;/text&gt;_x000d__x000a_  &lt;/metadata&gt;_x000d__x000a_  &lt;metadata key=&quot;md_TechnicalKey&quot; /&gt;_x000d__x000a_&lt;/metadataset&gt;"/>
    <w:docVar w:name="DocuWriteMetaDataSource1" w:val="&lt;metadataset docuwriteversion=&quot;4.6.2&quot; technicalblockguid=&quot;5061182081655140892&quot;&gt;_x000d__x000a_  &lt;metadata key=&quot;md_DocumentLanguages&quot;&gt;_x000d__x000a_    &lt;basicdatatypelist&gt;_x000d__x000a_      &lt;language key=&quot;EN&quot; text=&quot;EN&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DocumentLanguagesAutomatic&quot;&gt;_x000d__x000a_    &lt;text&gt;&lt;/text&gt;_x000d__x000a_  &lt;/metadata&gt;_x000d__x000a_  &lt;metadata key=&quot;md_UniqueHeading&quot;&gt;_x000d__x000a_    &lt;basicdatatype&gt;_x000d__x000a_      &lt;heading key=&quot;uh_64&quot; text=&quot;COVER NOTE&quot; /&gt;_x000d__x000a_    &lt;/basicdatatype&gt;_x000d__x000a_  &lt;/metadata&gt;_x000d__x000a_  &lt;metadata key=&quot;md_HeadingText&quot;&gt;_x000d__x000a_    &lt;headingtext text=&quot;COVER NOTE&quot;&gt;_x000d__x000a_      &lt;formattedtext&gt;_x000d__x000a_        &lt;xaml text=&quot;COVER NOTE&quot;&gt;&amp;lt;FlowDocument xmlns=&quot;http://schemas.microsoft.com/winfx/2006/xaml/presentation&quot;&amp;gt;&amp;lt;Paragraph&amp;gt;COVER NOTE&amp;lt;/Paragraph&amp;gt;&amp;lt;/FlowDocument&amp;gt;&lt;/xaml&gt;_x000d__x000a_      &lt;/formattedtext&gt;_x000d__x000a_    &lt;/headingtext&gt;_x000d__x000a_  &lt;/metadata&gt;_x000d__x000a_  &lt;metadata key=&quot;md_DocumentGroup&quot;&gt;_x000d__x000a_    &lt;basicdatatype&gt;_x000d__x000a_      &lt;document_group key=&quot;dg_12&quot; text=&quot;Cover Page&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Council of the European Union&quot; institution=&quot;instfr_institution&quot; acronym=&quot;instfr_acronym&quot; /&gt;_x000d__x000a_    &lt;/basicdatatype&gt;_x000d__x000a_  &lt;/metadata&gt;_x000d__x000a_  &lt;metadata key=&quot;md_DraftNote&quot; /&gt;_x000d__x000a_  &lt;metadata key=&quot;md_DocumentLocation&quot;&gt;_x000d__x000a_    &lt;basicdatatype&gt;_x000d__x000a_      &lt;location key=&quot;loc_01&quot; text=&quot;Brussels&quot; /&gt;_x000d__x000a_    &lt;/basicdatatype&gt;_x000d__x000a_  &lt;/metadata&gt;_x000d__x000a_  &lt;metadata key=&quot;md_DocumentDate&quot;&gt;_x000d__x000a_    &lt;text&gt;2022-04-27&lt;/text&gt;_x000d__x000a_  &lt;/metadata&gt;_x000d__x000a_  &lt;metadata key=&quot;md_Prefix&quot;&gt;_x000d__x000a_    &lt;text&gt;&lt;/text&gt;_x000d__x000a_  &lt;/metadata&gt;_x000d__x000a_  &lt;metadata key=&quot;md_DocumentNumber&quot;&gt;_x000d__x000a_    &lt;text&gt;8071&lt;/text&gt;_x000d__x000a_  &lt;/metadata&gt;_x000d__x000a_  &lt;metadata key=&quot;md_YearDocumentNumber&quot;&gt;_x000d__x000a_    &lt;text&gt;2022&lt;/text&gt;_x000d__x000a_  &lt;/metadata&gt;_x000d__x000a_  &lt;metadata key=&quot;md_Suffixes&quot;&gt;_x000d__x000a_    &lt;text&gt;ADD 1 REV 1&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1&quot; text=&quot;PUBLIC&quot; /&gt;_x000d__x000a_    &lt;/basicdatatype&gt;_x000d__x000a_  &lt;/metadata&gt;_x000d__x000a_  &lt;metadata key=&quot;md_SubjectCodes&quot;&gt;_x000d__x000a_    &lt;textlist&gt;_x000d__x000a_      &lt;text&gt;ECOFIN 324&lt;/text&gt;_x000d__x000a_      &lt;text&gt;CADREFIN 49&lt;/text&gt;_x000d__x000a_      &lt;text&gt;UEM 58&lt;/text&gt;_x000d__x000a_      &lt;text&gt;FIN 423&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typeofhead_06&quot; text=&quot;Other&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gt;_x000d__x000a_      &lt;text&gt;2022/0112 (NLE)&lt;/text&gt;_x000d__x000a_    &lt;/textlist&gt;_x000d__x000a_  &lt;/metadata&gt;_x000d__x000a_  &lt;metadata key=&quot;md_AdditionalReferences&quot; /&gt;_x000d__x000a_  &lt;metadata key=&quot;md_LEXNumber&quot; /&gt;_x000d__x000a_  &lt;metadata key=&quot;md_SousEmbargo&quot;&gt;_x000d__x000a_    &lt;text&gt;&lt;/text&gt;_x000d__x000a_  &lt;/metadata&gt;_x000d__x000a_  &lt;metadata key=&quot;md_DraftVersion&quot;&gt;_x000d__x000a_    &lt;text&gt;&lt;/text&gt;_x000d__x000a_  &lt;/metadata&gt;_x000d__x000a_  &lt;metadata key=&quot;md_Originator&quot;&gt;_x000d__x000a_    &lt;basicdatatype&gt;_x000d__x000a_      &lt;xaml text=&quot;&quot;&gt;&amp;lt;FlowDocument PagePadding=&quot;5,0,5,0&quot; AllowDrop=&quot;True&quot; NumberSubstitution.CultureSource=&quot;User&quot; xmlns=&quot;http://schemas.microsoft.com/winfx/2006/xaml/presentation&quot;&amp;gt;&amp;lt;Paragraph /&amp;gt;&amp;lt;/FlowDocument&amp;gt;&lt;/xaml&gt;_x000d__x000a_    &lt;/basicdatatype&gt;_x000d__x000a_  &lt;/metadata&gt;_x000d__x000a_  &lt;metadata key=&quot;md_Recipient&quot;&gt;_x000d__x000a_    &lt;basicdatatype&gt;_x000d__x000a_      &lt;xaml text=&quot;&quot;&gt;&amp;lt;FlowDocument PagePadding=&quot;5,0,5,0&quot; AllowDrop=&quot;True&quot; NumberSubstitution.CultureSource=&quot;User&quot; xmlns=&quot;http://schemas.microsoft.com/winfx/2006/xaml/presentation&quot;&amp;gt;&amp;lt;Paragraph /&amp;gt;&amp;lt;/FlowDocument&amp;gt;&lt;/xaml&gt;_x000d__x000a_    &lt;/basicdatatype&gt;_x000d__x000a_  &lt;/metadata&gt;_x000d__x000a_  &lt;metadata key=&quot;md_DateOfReceipt&quot;&gt;_x000d__x000a_    &lt;text&gt;&lt;/text&gt;_x000d__x000a_  &lt;/metadata&gt;_x000d__x000a_  &lt;metadata key=&quot;md_FreeDate&quot;&gt;_x000d__x000a_    &lt;textlist /&gt;_x000d__x000a_  &lt;/metadata&gt;_x000d__x000a_  &lt;metadata key=&quot;md_PrecedingDocuments&quot;&gt;_x000d__x000a_    &lt;textlist /&gt;_x000d__x000a_  &lt;/metadata&gt;_x000d__x000a_  &lt;metadata key=&quot;md_CommissionDocuments&quot;&gt;_x000d__x000a_    &lt;textlist&gt;_x000d__x000a_      &lt;text&gt;COM(2022) 172 final&lt;/text&gt;_x000d__x000a_    &lt;/textlist&gt;_x000d__x000a_  &lt;/metadata&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DateFormatOr&quot;&gt;_x000d__x000a_    &lt;text&gt;&lt;/text&gt;_x000d__x000a_  &lt;/metadata&gt;_x000d__x000a_  &lt;metadata key=&quot;md_MeetingInformation&quot; /&gt;_x000d__x000a_  &lt;metadata key=&quot;md_Item&quot; /&gt;_x000d__x000a_  &lt;metadata key=&quot;md_SubjectPrefix&quot;&gt;_x000d__x000a_    &lt;text&gt;&lt;/text&gt;_x000d__x000a_  &lt;/metadata&gt;_x000d__x000a_  &lt;metadata key=&quot;md_Subject&quot;&gt;_x000d__x000a_    &lt;xaml text=&quot;ANNEX to the Proposal for a Council Implementing Decision on the approval of the assessment of the recovery and resilience plan for Bulgaria&quot;&gt;&amp;lt;FlowDocument FontFamily=&quot;Segoe UI&quot; FontSize=&quot;12&quot; LineHeight=&quot;6&quot; PageWidth=&quot;329&quot; PagePadding=&quot;2,2,2,2&quot; AllowDrop=&quot;False&quot; xmlns=&quot;http://schemas.microsoft.com/winfx/2006/xaml/presentation&quot; xmlns:x=&quot;http://schemas.microsoft.com/winfx/2006/xaml&quot;&amp;gt;&amp;lt;Paragraph&amp;gt;ANNEX to the&amp;lt;Run xml:lang=&quot;fr-be&quot; xml:space=&quot;preserve&quot;&amp;gt; Proposal for a &amp;lt;/Run&amp;gt;Council Implementing Decision on the approval of the assessment of the recovery and resilience plan for &amp;lt;Run xml:lang=&quot;fr-be&quot;&amp;gt;Bulgaria&amp;lt;/Run&amp;gt;&amp;lt;/Paragraph&amp;gt;&amp;lt;/FlowDocument&amp;gt;&lt;/xaml&gt;_x000d__x000a_  &lt;/metadata&gt;_x000d__x000a_  &lt;metadata key=&quot;md_SubjectFootnote&quot; /&gt;_x000d__x000a_  &lt;metadata key=&quot;md_DG&quot;&gt;_x000d__x000a_    &lt;text&gt;ECOFIN 1A&lt;/text&gt;_x000d__x000a_  &lt;/metadata&gt;_x000d__x000a_  &lt;metadata key=&quot;md_Initials&quot;&gt;_x000d__x000a_    &lt;text&gt;JPS/sr&lt;/text&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22&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EN&lt;/text&gt;_x000d__x000a_  &lt;/metadata&gt;_x000d__x000a_  &lt;metadata key=&quot;md_SourceDocType&quot;&gt;_x000d__x000a_    &lt;text&gt;&lt;/text&gt;_x000d__x000a_  &lt;/metadata&gt;_x000d__x000a_  &lt;metadata key=&quot;md_SourceDocTitle&quot;&gt;_x000d__x000a_    &lt;text&gt;&lt;/text&gt;_x000d__x000a_  &lt;/metadata&gt;_x000d__x000a_  &lt;metadata key=&quot;md_SourceDocIsCECDoc&quot;&gt;_x000d__x000a_    &lt;text&gt;true&lt;/text&gt;_x000d__x000a_  &lt;/metadata&gt;_x000d__x000a_  &lt;metadata key=&quot;md_NB1&quot; /&gt;_x000d__x000a_  &lt;metadata key=&quot;md_NB2&quot; /&gt;_x000d__x000a_  &lt;metadata key=&quot;md_NB3&quot; /&gt;_x000d__x000a_  &lt;metadata key=&quot;md_NB4&quot; /&gt;_x000d__x000a_  &lt;metadata key=&quot;md_CustomNB&quot; /&gt;_x000d__x000a_  &lt;metadata key=&quot;md_Meetings&quot; /&gt;_x000d__x000a_  &lt;metadata key=&quot;md_VisualRepresentation&quot;&gt;_x000d__x000a_    &lt;basicdatatype&gt;_x000d__x000a_      &lt;visualrepresentation key=&quot;visrep_02&quot; text=&quot;New visual identity&quot; /&gt;_x000d__x000a_    &lt;/basicdatatype&gt;_x000d__x000a_  &lt;/metadata&gt;_x000d__x000a_  &lt;metadata key=&quot;md_LetterData&quot; /&gt;_x000d__x000a_  &lt;metadata key=&quot;md_InstFrSubWordmark&quot;&gt;_x000d__x000a_    &lt;xaml text=&quot;&quot;&gt;&amp;lt;FlowDocument FontFamily=&quot;Arial Unicode MS&quot; FontSize=&quot;12&quot; AllowDrop=&quot;False&quot; xmlns=&quot;http://schemas.microsoft.com/winfx/2006/xaml/presentation&quot; /&amp;gt;&lt;/xaml&gt;_x000d__x000a_  &lt;/metadata&gt;_x000d__x000a_  &lt;metadata key=&quot;md_WorkflowLinkStatus&quot;&gt;_x000d__x000a_    &lt;text&gt;&lt;/text&gt;_x000d__x000a_  &lt;/metadata&gt;_x000d__x000a_  &lt;metadata key=&quot;md_eAgendaLinkStatus&quot; /&gt;_x000d__x000a_  &lt;metadata key=&quot;md_Caveat&quot;&gt;_x000d__x000a_    &lt;text&gt;&lt;/text&gt;_x000d__x000a_  &lt;/metadata&gt;_x000d__x000a_  &lt;metadata key=&quot;md_TechnicalKey&quot; /&gt;_x000d__x000a_&lt;/metadataset&gt;"/>
    <w:docVar w:name="LW_ACCOMPAGNANT.CP" w:val="към"/>
    <w:docVar w:name="LW_ANNEX_NBR_FIRST" w:val="1"/>
    <w:docVar w:name="LW_ANNEX_NBR_LAST" w:val="1"/>
    <w:docVar w:name="LW_ANNEX_UNIQUE" w:val="1"/>
    <w:docVar w:name="LW_CORRIGENDUM" w:val="&lt;UNUSED&gt;"/>
    <w:docVar w:name="LW_COVERPAGE_EXISTS" w:val="True"/>
    <w:docVar w:name="LW_COVERPAGE_GUID" w:val="5E317891-3605-4E9A-8758-9A667B3413F4"/>
    <w:docVar w:name="LW_COVERPAGE_TYPE" w:val="1"/>
    <w:docVar w:name="LW_CROSSREFERENCE" w:val="&lt;UNUSED&gt;"/>
    <w:docVar w:name="LW_DocType" w:val="NORMAL"/>
    <w:docVar w:name="LW_EMISSION" w:val="21.11.2023"/>
    <w:docVar w:name="LW_EMISSION_ISODATE" w:val="2023-11-21"/>
    <w:docVar w:name="LW_EMISSION_LOCATION" w:val="BRX"/>
    <w:docVar w:name="LW_EMISSION_PREFIX" w:val="\u1041?\u1088?\u1102?\u1082?\u1089?\u1077?\u1083?, "/>
    <w:docVar w:name="LW_EMISSION_SUFFIX" w:val=" \u1075?."/>
    <w:docVar w:name="LW_ID_DOCTYPE_NONLW" w:val="CP-036"/>
    <w:docVar w:name="LW_LANGUE" w:val="BG"/>
    <w:docVar w:name="LW_LEVEL_OF_SENSITIVITY" w:val="Standard treatment"/>
    <w:docVar w:name="LW_NOM.INST" w:val="\u1045?\u1042?\u1056?\u1054?\u1055?\u1045?\u1049?\u1057?\u1050?\u1040? \u1050?\u1054?\u1052?\u1048?\u1057?\u1048?\u1071?"/>
    <w:docVar w:name="LW_NOM.INST_JOINTDOC" w:val="&lt;EMPTY&gt;"/>
    <w:docVar w:name="LW_OBJETACTEPRINCIPAL.CP" w:val="за изменение на Решение за изпълнение (ЕС) (ST 8091/22 INIT; ST 8091/22 ADD 1) от 4 май 2022 г. за одобряване на оценката на плана за възстановяване и устойчивост на България"/>
    <w:docVar w:name="LW_PART_NBR" w:val="1"/>
    <w:docVar w:name="LW_PART_NBR_TOTAL" w:val="1"/>
    <w:docVar w:name="LW_REF.INST.NEW" w:val="COM"/>
    <w:docVar w:name="LW_REF.INST.NEW_ADOPTED" w:val="final"/>
    <w:docVar w:name="LW_REF.INST.NEW_TEXT" w:val="(2023) 74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ПРИЛОЖЕНИЕ_x000b_"/>
    <w:docVar w:name="LW_TYPEACTEPRINCIPAL.CP" w:val="Предложение за РЕШЕНИЕ ЗА ИЗПЪЛНЕНИЕ НА СЪВЕТА"/>
    <w:docVar w:name="LwApiVersions" w:val="LW4CoDe 1.23.2.0; LW 8.0, Build 20211117"/>
  </w:docVars>
  <w:rsids>
    <w:rsidRoot w:val="00EB5DD9"/>
    <w:rsid w:val="00000378"/>
    <w:rsid w:val="00000CF1"/>
    <w:rsid w:val="000012B6"/>
    <w:rsid w:val="000044F5"/>
    <w:rsid w:val="0000462E"/>
    <w:rsid w:val="00004B81"/>
    <w:rsid w:val="0000630D"/>
    <w:rsid w:val="00006383"/>
    <w:rsid w:val="000078BD"/>
    <w:rsid w:val="00007F7A"/>
    <w:rsid w:val="00010DD1"/>
    <w:rsid w:val="00013031"/>
    <w:rsid w:val="00013805"/>
    <w:rsid w:val="00014974"/>
    <w:rsid w:val="00014E71"/>
    <w:rsid w:val="00020150"/>
    <w:rsid w:val="00020FF2"/>
    <w:rsid w:val="00021FAE"/>
    <w:rsid w:val="000221CA"/>
    <w:rsid w:val="00023D84"/>
    <w:rsid w:val="00024863"/>
    <w:rsid w:val="00024AE8"/>
    <w:rsid w:val="00024C5C"/>
    <w:rsid w:val="000253F5"/>
    <w:rsid w:val="000256CB"/>
    <w:rsid w:val="000259EC"/>
    <w:rsid w:val="0002699D"/>
    <w:rsid w:val="0002796E"/>
    <w:rsid w:val="000304C3"/>
    <w:rsid w:val="00031B7D"/>
    <w:rsid w:val="00032535"/>
    <w:rsid w:val="00032FAC"/>
    <w:rsid w:val="00033FF0"/>
    <w:rsid w:val="00034127"/>
    <w:rsid w:val="00034436"/>
    <w:rsid w:val="00034654"/>
    <w:rsid w:val="00034873"/>
    <w:rsid w:val="00034CAD"/>
    <w:rsid w:val="000359AF"/>
    <w:rsid w:val="00037517"/>
    <w:rsid w:val="00037B93"/>
    <w:rsid w:val="000400E4"/>
    <w:rsid w:val="0004045F"/>
    <w:rsid w:val="0004156A"/>
    <w:rsid w:val="00042E61"/>
    <w:rsid w:val="00043025"/>
    <w:rsid w:val="00043771"/>
    <w:rsid w:val="0004386A"/>
    <w:rsid w:val="00044997"/>
    <w:rsid w:val="00045EC0"/>
    <w:rsid w:val="0004786B"/>
    <w:rsid w:val="00051026"/>
    <w:rsid w:val="00052127"/>
    <w:rsid w:val="00054287"/>
    <w:rsid w:val="00054777"/>
    <w:rsid w:val="00055A82"/>
    <w:rsid w:val="00055D41"/>
    <w:rsid w:val="0005622B"/>
    <w:rsid w:val="0005678C"/>
    <w:rsid w:val="00057111"/>
    <w:rsid w:val="000609D3"/>
    <w:rsid w:val="00060AF0"/>
    <w:rsid w:val="00060DFF"/>
    <w:rsid w:val="0006128B"/>
    <w:rsid w:val="000621E0"/>
    <w:rsid w:val="00062C8A"/>
    <w:rsid w:val="00062EC5"/>
    <w:rsid w:val="00063CF6"/>
    <w:rsid w:val="00064D76"/>
    <w:rsid w:val="000650B5"/>
    <w:rsid w:val="00066106"/>
    <w:rsid w:val="00066694"/>
    <w:rsid w:val="00066E00"/>
    <w:rsid w:val="00066E2F"/>
    <w:rsid w:val="00067023"/>
    <w:rsid w:val="000672D4"/>
    <w:rsid w:val="00067337"/>
    <w:rsid w:val="00067F22"/>
    <w:rsid w:val="0007027A"/>
    <w:rsid w:val="000702BD"/>
    <w:rsid w:val="000709A3"/>
    <w:rsid w:val="000712D0"/>
    <w:rsid w:val="00071A80"/>
    <w:rsid w:val="00071BD7"/>
    <w:rsid w:val="00071BFE"/>
    <w:rsid w:val="0007215B"/>
    <w:rsid w:val="000728CF"/>
    <w:rsid w:val="00073788"/>
    <w:rsid w:val="00073ACE"/>
    <w:rsid w:val="0007421C"/>
    <w:rsid w:val="00074DA8"/>
    <w:rsid w:val="000750E7"/>
    <w:rsid w:val="0007519F"/>
    <w:rsid w:val="00075736"/>
    <w:rsid w:val="000772A0"/>
    <w:rsid w:val="000772CB"/>
    <w:rsid w:val="000775C1"/>
    <w:rsid w:val="000776E9"/>
    <w:rsid w:val="00077BA0"/>
    <w:rsid w:val="00080F84"/>
    <w:rsid w:val="000810C9"/>
    <w:rsid w:val="0008141D"/>
    <w:rsid w:val="000832BA"/>
    <w:rsid w:val="00083793"/>
    <w:rsid w:val="00084492"/>
    <w:rsid w:val="0008576D"/>
    <w:rsid w:val="00087065"/>
    <w:rsid w:val="00087767"/>
    <w:rsid w:val="0009007F"/>
    <w:rsid w:val="00091E3A"/>
    <w:rsid w:val="00092AA4"/>
    <w:rsid w:val="000930D1"/>
    <w:rsid w:val="00093EE3"/>
    <w:rsid w:val="00094347"/>
    <w:rsid w:val="000944F9"/>
    <w:rsid w:val="00094DE4"/>
    <w:rsid w:val="0009514D"/>
    <w:rsid w:val="0009587C"/>
    <w:rsid w:val="00095F6C"/>
    <w:rsid w:val="000A0403"/>
    <w:rsid w:val="000A192D"/>
    <w:rsid w:val="000A1E22"/>
    <w:rsid w:val="000A264C"/>
    <w:rsid w:val="000A38A4"/>
    <w:rsid w:val="000A3F48"/>
    <w:rsid w:val="000A4520"/>
    <w:rsid w:val="000A4541"/>
    <w:rsid w:val="000A5313"/>
    <w:rsid w:val="000A55D9"/>
    <w:rsid w:val="000A63F6"/>
    <w:rsid w:val="000A68E6"/>
    <w:rsid w:val="000A6D93"/>
    <w:rsid w:val="000A75C5"/>
    <w:rsid w:val="000A7BAA"/>
    <w:rsid w:val="000A7F29"/>
    <w:rsid w:val="000B069B"/>
    <w:rsid w:val="000B14BD"/>
    <w:rsid w:val="000B16F8"/>
    <w:rsid w:val="000B1822"/>
    <w:rsid w:val="000B20BD"/>
    <w:rsid w:val="000B294C"/>
    <w:rsid w:val="000B39F2"/>
    <w:rsid w:val="000B3A30"/>
    <w:rsid w:val="000B4E35"/>
    <w:rsid w:val="000B4F81"/>
    <w:rsid w:val="000B5DBC"/>
    <w:rsid w:val="000B6915"/>
    <w:rsid w:val="000C0378"/>
    <w:rsid w:val="000C123C"/>
    <w:rsid w:val="000C2543"/>
    <w:rsid w:val="000C2894"/>
    <w:rsid w:val="000C3BED"/>
    <w:rsid w:val="000C3F85"/>
    <w:rsid w:val="000C41B3"/>
    <w:rsid w:val="000C58CD"/>
    <w:rsid w:val="000C6443"/>
    <w:rsid w:val="000C7912"/>
    <w:rsid w:val="000D0808"/>
    <w:rsid w:val="000D0A60"/>
    <w:rsid w:val="000D1538"/>
    <w:rsid w:val="000D15CF"/>
    <w:rsid w:val="000D2A4F"/>
    <w:rsid w:val="000D3F41"/>
    <w:rsid w:val="000D4630"/>
    <w:rsid w:val="000D4FF9"/>
    <w:rsid w:val="000D53A7"/>
    <w:rsid w:val="000D56B6"/>
    <w:rsid w:val="000D68CA"/>
    <w:rsid w:val="000D69B5"/>
    <w:rsid w:val="000D6BCD"/>
    <w:rsid w:val="000D78BC"/>
    <w:rsid w:val="000D7D9F"/>
    <w:rsid w:val="000E0649"/>
    <w:rsid w:val="000E325C"/>
    <w:rsid w:val="000E3462"/>
    <w:rsid w:val="000E3B15"/>
    <w:rsid w:val="000E3CD8"/>
    <w:rsid w:val="000E4BCF"/>
    <w:rsid w:val="000E517E"/>
    <w:rsid w:val="000E5464"/>
    <w:rsid w:val="000E55F8"/>
    <w:rsid w:val="000E6C04"/>
    <w:rsid w:val="000F213F"/>
    <w:rsid w:val="000F2731"/>
    <w:rsid w:val="000F32F8"/>
    <w:rsid w:val="000F3D84"/>
    <w:rsid w:val="000F616A"/>
    <w:rsid w:val="000F6FE9"/>
    <w:rsid w:val="00100CD2"/>
    <w:rsid w:val="00100F99"/>
    <w:rsid w:val="00101324"/>
    <w:rsid w:val="00101433"/>
    <w:rsid w:val="00102472"/>
    <w:rsid w:val="00102BA1"/>
    <w:rsid w:val="00102E65"/>
    <w:rsid w:val="00102F7E"/>
    <w:rsid w:val="001031B8"/>
    <w:rsid w:val="00103244"/>
    <w:rsid w:val="0010393C"/>
    <w:rsid w:val="00103C55"/>
    <w:rsid w:val="001051EF"/>
    <w:rsid w:val="00105857"/>
    <w:rsid w:val="00106076"/>
    <w:rsid w:val="001062A1"/>
    <w:rsid w:val="00107531"/>
    <w:rsid w:val="0010790E"/>
    <w:rsid w:val="00107A3B"/>
    <w:rsid w:val="00107EF1"/>
    <w:rsid w:val="001102D1"/>
    <w:rsid w:val="0011048E"/>
    <w:rsid w:val="00110527"/>
    <w:rsid w:val="00110832"/>
    <w:rsid w:val="00111272"/>
    <w:rsid w:val="00112BE4"/>
    <w:rsid w:val="00113A75"/>
    <w:rsid w:val="00113FC2"/>
    <w:rsid w:val="00115D4A"/>
    <w:rsid w:val="00115EB4"/>
    <w:rsid w:val="0011725C"/>
    <w:rsid w:val="00117360"/>
    <w:rsid w:val="001217CA"/>
    <w:rsid w:val="00122A84"/>
    <w:rsid w:val="00123051"/>
    <w:rsid w:val="001243DB"/>
    <w:rsid w:val="00124403"/>
    <w:rsid w:val="00124D7D"/>
    <w:rsid w:val="00125545"/>
    <w:rsid w:val="001257BB"/>
    <w:rsid w:val="001261EC"/>
    <w:rsid w:val="001265AE"/>
    <w:rsid w:val="001265B9"/>
    <w:rsid w:val="001268A6"/>
    <w:rsid w:val="00130039"/>
    <w:rsid w:val="00130047"/>
    <w:rsid w:val="00130B1B"/>
    <w:rsid w:val="00130E04"/>
    <w:rsid w:val="00130EA5"/>
    <w:rsid w:val="001311EB"/>
    <w:rsid w:val="00132944"/>
    <w:rsid w:val="00132D1D"/>
    <w:rsid w:val="00133391"/>
    <w:rsid w:val="00134794"/>
    <w:rsid w:val="001351C2"/>
    <w:rsid w:val="0013599B"/>
    <w:rsid w:val="00135E5A"/>
    <w:rsid w:val="0013681F"/>
    <w:rsid w:val="00136AC2"/>
    <w:rsid w:val="00137962"/>
    <w:rsid w:val="0014350F"/>
    <w:rsid w:val="00143E6C"/>
    <w:rsid w:val="001441DC"/>
    <w:rsid w:val="00144452"/>
    <w:rsid w:val="00144AF9"/>
    <w:rsid w:val="00145B49"/>
    <w:rsid w:val="00145D72"/>
    <w:rsid w:val="001465C3"/>
    <w:rsid w:val="00146A66"/>
    <w:rsid w:val="001471F7"/>
    <w:rsid w:val="001474FE"/>
    <w:rsid w:val="00147980"/>
    <w:rsid w:val="00147D93"/>
    <w:rsid w:val="00150517"/>
    <w:rsid w:val="00150C5B"/>
    <w:rsid w:val="00150F60"/>
    <w:rsid w:val="001511A7"/>
    <w:rsid w:val="00151566"/>
    <w:rsid w:val="00152560"/>
    <w:rsid w:val="001552A4"/>
    <w:rsid w:val="00155E2F"/>
    <w:rsid w:val="00156B99"/>
    <w:rsid w:val="00157276"/>
    <w:rsid w:val="00157277"/>
    <w:rsid w:val="001624D9"/>
    <w:rsid w:val="00162AEE"/>
    <w:rsid w:val="00163225"/>
    <w:rsid w:val="00163B8F"/>
    <w:rsid w:val="00163C72"/>
    <w:rsid w:val="001650FA"/>
    <w:rsid w:val="001660BB"/>
    <w:rsid w:val="00167984"/>
    <w:rsid w:val="00167D82"/>
    <w:rsid w:val="00171269"/>
    <w:rsid w:val="0017134E"/>
    <w:rsid w:val="00171620"/>
    <w:rsid w:val="0017228F"/>
    <w:rsid w:val="001736B4"/>
    <w:rsid w:val="00174001"/>
    <w:rsid w:val="001757B3"/>
    <w:rsid w:val="0017663C"/>
    <w:rsid w:val="00176A9E"/>
    <w:rsid w:val="00177A73"/>
    <w:rsid w:val="001804DD"/>
    <w:rsid w:val="00182667"/>
    <w:rsid w:val="001827E0"/>
    <w:rsid w:val="00182F2A"/>
    <w:rsid w:val="00183158"/>
    <w:rsid w:val="001845FF"/>
    <w:rsid w:val="00185A29"/>
    <w:rsid w:val="00185D61"/>
    <w:rsid w:val="00186343"/>
    <w:rsid w:val="00187288"/>
    <w:rsid w:val="00187D48"/>
    <w:rsid w:val="001915A7"/>
    <w:rsid w:val="0019185A"/>
    <w:rsid w:val="00191CE8"/>
    <w:rsid w:val="00192C2E"/>
    <w:rsid w:val="00193B63"/>
    <w:rsid w:val="00193F94"/>
    <w:rsid w:val="00194BC0"/>
    <w:rsid w:val="00195478"/>
    <w:rsid w:val="0019578F"/>
    <w:rsid w:val="00195A1D"/>
    <w:rsid w:val="00195D8D"/>
    <w:rsid w:val="0019754F"/>
    <w:rsid w:val="001A1606"/>
    <w:rsid w:val="001A18D2"/>
    <w:rsid w:val="001A1925"/>
    <w:rsid w:val="001A198D"/>
    <w:rsid w:val="001A20FD"/>
    <w:rsid w:val="001A318F"/>
    <w:rsid w:val="001A3A6C"/>
    <w:rsid w:val="001A578B"/>
    <w:rsid w:val="001A606C"/>
    <w:rsid w:val="001A7523"/>
    <w:rsid w:val="001A780C"/>
    <w:rsid w:val="001B12A6"/>
    <w:rsid w:val="001B1941"/>
    <w:rsid w:val="001B1BA9"/>
    <w:rsid w:val="001B1DE6"/>
    <w:rsid w:val="001B1FA1"/>
    <w:rsid w:val="001B2E50"/>
    <w:rsid w:val="001B2EDE"/>
    <w:rsid w:val="001B2F8E"/>
    <w:rsid w:val="001B5908"/>
    <w:rsid w:val="001B60FD"/>
    <w:rsid w:val="001B747E"/>
    <w:rsid w:val="001BFAA0"/>
    <w:rsid w:val="001C00FB"/>
    <w:rsid w:val="001C0EA3"/>
    <w:rsid w:val="001C1B63"/>
    <w:rsid w:val="001C1F68"/>
    <w:rsid w:val="001C28E4"/>
    <w:rsid w:val="001C2D54"/>
    <w:rsid w:val="001C2DD7"/>
    <w:rsid w:val="001C414C"/>
    <w:rsid w:val="001C525B"/>
    <w:rsid w:val="001C6798"/>
    <w:rsid w:val="001C707B"/>
    <w:rsid w:val="001C7200"/>
    <w:rsid w:val="001D0962"/>
    <w:rsid w:val="001D0D25"/>
    <w:rsid w:val="001D1BA1"/>
    <w:rsid w:val="001D1EFC"/>
    <w:rsid w:val="001D2624"/>
    <w:rsid w:val="001D3B37"/>
    <w:rsid w:val="001D3BCE"/>
    <w:rsid w:val="001D549A"/>
    <w:rsid w:val="001E003B"/>
    <w:rsid w:val="001E181F"/>
    <w:rsid w:val="001E19E5"/>
    <w:rsid w:val="001E2ED8"/>
    <w:rsid w:val="001E2F1F"/>
    <w:rsid w:val="001E2F65"/>
    <w:rsid w:val="001E3413"/>
    <w:rsid w:val="001E3D14"/>
    <w:rsid w:val="001E3D1F"/>
    <w:rsid w:val="001E3FE6"/>
    <w:rsid w:val="001E431B"/>
    <w:rsid w:val="001E5BB1"/>
    <w:rsid w:val="001E6073"/>
    <w:rsid w:val="001E6925"/>
    <w:rsid w:val="001E6ABC"/>
    <w:rsid w:val="001F0270"/>
    <w:rsid w:val="001F0575"/>
    <w:rsid w:val="001F0CAF"/>
    <w:rsid w:val="001F20EB"/>
    <w:rsid w:val="001F23E4"/>
    <w:rsid w:val="001F2C01"/>
    <w:rsid w:val="001F2CAF"/>
    <w:rsid w:val="001F2F27"/>
    <w:rsid w:val="001F3916"/>
    <w:rsid w:val="001F4459"/>
    <w:rsid w:val="001F4AB4"/>
    <w:rsid w:val="001F4BC2"/>
    <w:rsid w:val="001F5E1F"/>
    <w:rsid w:val="001F5EA8"/>
    <w:rsid w:val="001F7BBE"/>
    <w:rsid w:val="001F7E6B"/>
    <w:rsid w:val="002000F5"/>
    <w:rsid w:val="00200A9A"/>
    <w:rsid w:val="00200FAE"/>
    <w:rsid w:val="0020147D"/>
    <w:rsid w:val="00203396"/>
    <w:rsid w:val="00204140"/>
    <w:rsid w:val="00204901"/>
    <w:rsid w:val="002049EC"/>
    <w:rsid w:val="002057F2"/>
    <w:rsid w:val="00205F31"/>
    <w:rsid w:val="002102ED"/>
    <w:rsid w:val="00212241"/>
    <w:rsid w:val="00212532"/>
    <w:rsid w:val="00212B95"/>
    <w:rsid w:val="00212E29"/>
    <w:rsid w:val="00212E50"/>
    <w:rsid w:val="00214D9B"/>
    <w:rsid w:val="00215A68"/>
    <w:rsid w:val="00215BDA"/>
    <w:rsid w:val="00216FE6"/>
    <w:rsid w:val="00217290"/>
    <w:rsid w:val="002203B0"/>
    <w:rsid w:val="00221842"/>
    <w:rsid w:val="002223A2"/>
    <w:rsid w:val="00222412"/>
    <w:rsid w:val="002226DD"/>
    <w:rsid w:val="00222BE7"/>
    <w:rsid w:val="00223887"/>
    <w:rsid w:val="00224026"/>
    <w:rsid w:val="002241E3"/>
    <w:rsid w:val="002245AE"/>
    <w:rsid w:val="00224B85"/>
    <w:rsid w:val="00224F5D"/>
    <w:rsid w:val="00225351"/>
    <w:rsid w:val="002253DF"/>
    <w:rsid w:val="00225E62"/>
    <w:rsid w:val="00230FE4"/>
    <w:rsid w:val="0023109A"/>
    <w:rsid w:val="00231822"/>
    <w:rsid w:val="002332B8"/>
    <w:rsid w:val="00233C06"/>
    <w:rsid w:val="002344B1"/>
    <w:rsid w:val="0023478D"/>
    <w:rsid w:val="002368BC"/>
    <w:rsid w:val="00236F98"/>
    <w:rsid w:val="00240F1F"/>
    <w:rsid w:val="00242145"/>
    <w:rsid w:val="002434F0"/>
    <w:rsid w:val="00243BC2"/>
    <w:rsid w:val="0024433E"/>
    <w:rsid w:val="00245681"/>
    <w:rsid w:val="00246E6D"/>
    <w:rsid w:val="002476F6"/>
    <w:rsid w:val="00247917"/>
    <w:rsid w:val="00247F99"/>
    <w:rsid w:val="0025039C"/>
    <w:rsid w:val="00250795"/>
    <w:rsid w:val="00250987"/>
    <w:rsid w:val="00251192"/>
    <w:rsid w:val="0025133B"/>
    <w:rsid w:val="00251A36"/>
    <w:rsid w:val="00252412"/>
    <w:rsid w:val="00253766"/>
    <w:rsid w:val="00253DAF"/>
    <w:rsid w:val="00254B2C"/>
    <w:rsid w:val="00255C17"/>
    <w:rsid w:val="00256239"/>
    <w:rsid w:val="00256924"/>
    <w:rsid w:val="00256A2B"/>
    <w:rsid w:val="00257182"/>
    <w:rsid w:val="00260318"/>
    <w:rsid w:val="00260CF1"/>
    <w:rsid w:val="002614B5"/>
    <w:rsid w:val="002616DC"/>
    <w:rsid w:val="002620C4"/>
    <w:rsid w:val="002622C2"/>
    <w:rsid w:val="00262C15"/>
    <w:rsid w:val="00264406"/>
    <w:rsid w:val="00265C2E"/>
    <w:rsid w:val="002666E7"/>
    <w:rsid w:val="002672E4"/>
    <w:rsid w:val="00267A94"/>
    <w:rsid w:val="002701E8"/>
    <w:rsid w:val="00270E8F"/>
    <w:rsid w:val="00271212"/>
    <w:rsid w:val="00271536"/>
    <w:rsid w:val="00271E5D"/>
    <w:rsid w:val="00273F00"/>
    <w:rsid w:val="00274203"/>
    <w:rsid w:val="0027431D"/>
    <w:rsid w:val="00275770"/>
    <w:rsid w:val="00275B79"/>
    <w:rsid w:val="00275F81"/>
    <w:rsid w:val="002767FA"/>
    <w:rsid w:val="00276B13"/>
    <w:rsid w:val="00276E5F"/>
    <w:rsid w:val="00276FBC"/>
    <w:rsid w:val="00277235"/>
    <w:rsid w:val="00280290"/>
    <w:rsid w:val="00280E76"/>
    <w:rsid w:val="00281C24"/>
    <w:rsid w:val="00284D24"/>
    <w:rsid w:val="002850E5"/>
    <w:rsid w:val="002850FB"/>
    <w:rsid w:val="00285C22"/>
    <w:rsid w:val="002864FA"/>
    <w:rsid w:val="00286E7E"/>
    <w:rsid w:val="00287A0A"/>
    <w:rsid w:val="00287FF6"/>
    <w:rsid w:val="00291140"/>
    <w:rsid w:val="0029179C"/>
    <w:rsid w:val="00292216"/>
    <w:rsid w:val="0029278F"/>
    <w:rsid w:val="00292810"/>
    <w:rsid w:val="00292E15"/>
    <w:rsid w:val="00293E04"/>
    <w:rsid w:val="00294DB1"/>
    <w:rsid w:val="00295826"/>
    <w:rsid w:val="002958AB"/>
    <w:rsid w:val="00296167"/>
    <w:rsid w:val="002969D4"/>
    <w:rsid w:val="00296E53"/>
    <w:rsid w:val="00297FBF"/>
    <w:rsid w:val="002A0C5D"/>
    <w:rsid w:val="002A13D5"/>
    <w:rsid w:val="002A1641"/>
    <w:rsid w:val="002A19D6"/>
    <w:rsid w:val="002A232E"/>
    <w:rsid w:val="002A2920"/>
    <w:rsid w:val="002A38D2"/>
    <w:rsid w:val="002A39AE"/>
    <w:rsid w:val="002A414A"/>
    <w:rsid w:val="002A4441"/>
    <w:rsid w:val="002A477E"/>
    <w:rsid w:val="002A5371"/>
    <w:rsid w:val="002A5D12"/>
    <w:rsid w:val="002A5EC0"/>
    <w:rsid w:val="002A6513"/>
    <w:rsid w:val="002A665D"/>
    <w:rsid w:val="002A6F1C"/>
    <w:rsid w:val="002A6FA0"/>
    <w:rsid w:val="002A7DDE"/>
    <w:rsid w:val="002B18DF"/>
    <w:rsid w:val="002B1AD7"/>
    <w:rsid w:val="002B20D2"/>
    <w:rsid w:val="002B2AF1"/>
    <w:rsid w:val="002B3721"/>
    <w:rsid w:val="002B3FE1"/>
    <w:rsid w:val="002B482A"/>
    <w:rsid w:val="002B577F"/>
    <w:rsid w:val="002B64EF"/>
    <w:rsid w:val="002B6D04"/>
    <w:rsid w:val="002B6F13"/>
    <w:rsid w:val="002B7436"/>
    <w:rsid w:val="002B751E"/>
    <w:rsid w:val="002B760E"/>
    <w:rsid w:val="002C00A7"/>
    <w:rsid w:val="002C094E"/>
    <w:rsid w:val="002C2872"/>
    <w:rsid w:val="002C3C74"/>
    <w:rsid w:val="002C4706"/>
    <w:rsid w:val="002C622B"/>
    <w:rsid w:val="002C6260"/>
    <w:rsid w:val="002C656B"/>
    <w:rsid w:val="002C70EB"/>
    <w:rsid w:val="002C78B8"/>
    <w:rsid w:val="002C7AD6"/>
    <w:rsid w:val="002C7B34"/>
    <w:rsid w:val="002D06AD"/>
    <w:rsid w:val="002D0EB5"/>
    <w:rsid w:val="002D1401"/>
    <w:rsid w:val="002D15B2"/>
    <w:rsid w:val="002D15BD"/>
    <w:rsid w:val="002D1C97"/>
    <w:rsid w:val="002D20DC"/>
    <w:rsid w:val="002D25EF"/>
    <w:rsid w:val="002D3F61"/>
    <w:rsid w:val="002D4A5A"/>
    <w:rsid w:val="002D4E69"/>
    <w:rsid w:val="002D5ECD"/>
    <w:rsid w:val="002D6326"/>
    <w:rsid w:val="002E0187"/>
    <w:rsid w:val="002E07B0"/>
    <w:rsid w:val="002E0AD7"/>
    <w:rsid w:val="002E120A"/>
    <w:rsid w:val="002E1892"/>
    <w:rsid w:val="002E189B"/>
    <w:rsid w:val="002E1F31"/>
    <w:rsid w:val="002E2402"/>
    <w:rsid w:val="002E3D2D"/>
    <w:rsid w:val="002E4464"/>
    <w:rsid w:val="002E486A"/>
    <w:rsid w:val="002E50DF"/>
    <w:rsid w:val="002E528E"/>
    <w:rsid w:val="002E55E2"/>
    <w:rsid w:val="002E6878"/>
    <w:rsid w:val="002E71B8"/>
    <w:rsid w:val="002E73ED"/>
    <w:rsid w:val="002E7632"/>
    <w:rsid w:val="002F0979"/>
    <w:rsid w:val="002F0A48"/>
    <w:rsid w:val="002F17AA"/>
    <w:rsid w:val="002F1AC4"/>
    <w:rsid w:val="002F1C05"/>
    <w:rsid w:val="002F1CBF"/>
    <w:rsid w:val="002F262F"/>
    <w:rsid w:val="002F32C2"/>
    <w:rsid w:val="002F3701"/>
    <w:rsid w:val="002F521F"/>
    <w:rsid w:val="002F5B2E"/>
    <w:rsid w:val="002F655F"/>
    <w:rsid w:val="002F6887"/>
    <w:rsid w:val="002F6936"/>
    <w:rsid w:val="002F7456"/>
    <w:rsid w:val="002F7D80"/>
    <w:rsid w:val="00300188"/>
    <w:rsid w:val="00300CB3"/>
    <w:rsid w:val="00300D1D"/>
    <w:rsid w:val="00301CCA"/>
    <w:rsid w:val="00303846"/>
    <w:rsid w:val="00305F8C"/>
    <w:rsid w:val="003062A5"/>
    <w:rsid w:val="003069CE"/>
    <w:rsid w:val="00306A03"/>
    <w:rsid w:val="003079D0"/>
    <w:rsid w:val="00307A85"/>
    <w:rsid w:val="00310A6E"/>
    <w:rsid w:val="00310BB3"/>
    <w:rsid w:val="003137AB"/>
    <w:rsid w:val="00313A8D"/>
    <w:rsid w:val="00315B7F"/>
    <w:rsid w:val="00315F47"/>
    <w:rsid w:val="00316084"/>
    <w:rsid w:val="00316DC1"/>
    <w:rsid w:val="00317422"/>
    <w:rsid w:val="003202A6"/>
    <w:rsid w:val="0032066F"/>
    <w:rsid w:val="00320778"/>
    <w:rsid w:val="003210CD"/>
    <w:rsid w:val="0032181E"/>
    <w:rsid w:val="00321E56"/>
    <w:rsid w:val="00322163"/>
    <w:rsid w:val="00324CD1"/>
    <w:rsid w:val="003272B6"/>
    <w:rsid w:val="00327564"/>
    <w:rsid w:val="00327634"/>
    <w:rsid w:val="003301FE"/>
    <w:rsid w:val="003302AF"/>
    <w:rsid w:val="003309BC"/>
    <w:rsid w:val="00330E01"/>
    <w:rsid w:val="0033120F"/>
    <w:rsid w:val="003318AA"/>
    <w:rsid w:val="00331CF3"/>
    <w:rsid w:val="00332501"/>
    <w:rsid w:val="00332B70"/>
    <w:rsid w:val="003339C2"/>
    <w:rsid w:val="00333F73"/>
    <w:rsid w:val="0033400A"/>
    <w:rsid w:val="00334913"/>
    <w:rsid w:val="0033525C"/>
    <w:rsid w:val="0033571A"/>
    <w:rsid w:val="00335A73"/>
    <w:rsid w:val="00336178"/>
    <w:rsid w:val="0033721C"/>
    <w:rsid w:val="00337679"/>
    <w:rsid w:val="003377E6"/>
    <w:rsid w:val="00340000"/>
    <w:rsid w:val="00340326"/>
    <w:rsid w:val="00341363"/>
    <w:rsid w:val="003413A8"/>
    <w:rsid w:val="0034246C"/>
    <w:rsid w:val="00342A38"/>
    <w:rsid w:val="00342A82"/>
    <w:rsid w:val="0034355B"/>
    <w:rsid w:val="003439DB"/>
    <w:rsid w:val="00343C5E"/>
    <w:rsid w:val="003450B2"/>
    <w:rsid w:val="0034665B"/>
    <w:rsid w:val="0034695D"/>
    <w:rsid w:val="00346D4F"/>
    <w:rsid w:val="00347AE9"/>
    <w:rsid w:val="0035024F"/>
    <w:rsid w:val="00350401"/>
    <w:rsid w:val="00350594"/>
    <w:rsid w:val="003506B6"/>
    <w:rsid w:val="00350D0F"/>
    <w:rsid w:val="003519FA"/>
    <w:rsid w:val="00351FEB"/>
    <w:rsid w:val="00352386"/>
    <w:rsid w:val="003526CF"/>
    <w:rsid w:val="00355CDB"/>
    <w:rsid w:val="003566B2"/>
    <w:rsid w:val="0035671E"/>
    <w:rsid w:val="003605C8"/>
    <w:rsid w:val="0036068A"/>
    <w:rsid w:val="00363033"/>
    <w:rsid w:val="00364461"/>
    <w:rsid w:val="00364545"/>
    <w:rsid w:val="003645C3"/>
    <w:rsid w:val="00364C60"/>
    <w:rsid w:val="00365F62"/>
    <w:rsid w:val="00366085"/>
    <w:rsid w:val="00366A14"/>
    <w:rsid w:val="00367FAE"/>
    <w:rsid w:val="00367FAF"/>
    <w:rsid w:val="003708BA"/>
    <w:rsid w:val="00370C57"/>
    <w:rsid w:val="00370CDF"/>
    <w:rsid w:val="0037161A"/>
    <w:rsid w:val="00372058"/>
    <w:rsid w:val="00372199"/>
    <w:rsid w:val="00372914"/>
    <w:rsid w:val="00373389"/>
    <w:rsid w:val="00373606"/>
    <w:rsid w:val="00373DB4"/>
    <w:rsid w:val="00373FD8"/>
    <w:rsid w:val="003746F6"/>
    <w:rsid w:val="00374E07"/>
    <w:rsid w:val="003750F7"/>
    <w:rsid w:val="00376DBD"/>
    <w:rsid w:val="00376EB1"/>
    <w:rsid w:val="0037743F"/>
    <w:rsid w:val="0038087D"/>
    <w:rsid w:val="00380FB7"/>
    <w:rsid w:val="0038155B"/>
    <w:rsid w:val="00381820"/>
    <w:rsid w:val="00381A51"/>
    <w:rsid w:val="00382048"/>
    <w:rsid w:val="00382A9B"/>
    <w:rsid w:val="00382F54"/>
    <w:rsid w:val="00383548"/>
    <w:rsid w:val="00383602"/>
    <w:rsid w:val="0038384E"/>
    <w:rsid w:val="0038399A"/>
    <w:rsid w:val="00383A4C"/>
    <w:rsid w:val="00384230"/>
    <w:rsid w:val="0038553E"/>
    <w:rsid w:val="00386C4E"/>
    <w:rsid w:val="00386D85"/>
    <w:rsid w:val="00387257"/>
    <w:rsid w:val="00387FBE"/>
    <w:rsid w:val="003901F0"/>
    <w:rsid w:val="00390741"/>
    <w:rsid w:val="0039081F"/>
    <w:rsid w:val="00390955"/>
    <w:rsid w:val="00391759"/>
    <w:rsid w:val="003920AB"/>
    <w:rsid w:val="00392366"/>
    <w:rsid w:val="00393EFA"/>
    <w:rsid w:val="003955B2"/>
    <w:rsid w:val="003957A1"/>
    <w:rsid w:val="00395F2B"/>
    <w:rsid w:val="0039757F"/>
    <w:rsid w:val="003A158A"/>
    <w:rsid w:val="003A2091"/>
    <w:rsid w:val="003A2320"/>
    <w:rsid w:val="003A2EFD"/>
    <w:rsid w:val="003A3148"/>
    <w:rsid w:val="003A4B60"/>
    <w:rsid w:val="003A58BB"/>
    <w:rsid w:val="003A5A86"/>
    <w:rsid w:val="003A6369"/>
    <w:rsid w:val="003A697A"/>
    <w:rsid w:val="003A7045"/>
    <w:rsid w:val="003A7582"/>
    <w:rsid w:val="003A79A3"/>
    <w:rsid w:val="003B02A1"/>
    <w:rsid w:val="003B0B9A"/>
    <w:rsid w:val="003B15D9"/>
    <w:rsid w:val="003B185C"/>
    <w:rsid w:val="003B1E00"/>
    <w:rsid w:val="003B1F21"/>
    <w:rsid w:val="003B23B7"/>
    <w:rsid w:val="003B3452"/>
    <w:rsid w:val="003B37FF"/>
    <w:rsid w:val="003B405D"/>
    <w:rsid w:val="003B4137"/>
    <w:rsid w:val="003B4258"/>
    <w:rsid w:val="003B665C"/>
    <w:rsid w:val="003B67F9"/>
    <w:rsid w:val="003B7142"/>
    <w:rsid w:val="003B792C"/>
    <w:rsid w:val="003B7D47"/>
    <w:rsid w:val="003B7F4C"/>
    <w:rsid w:val="003C0138"/>
    <w:rsid w:val="003C0B03"/>
    <w:rsid w:val="003C104E"/>
    <w:rsid w:val="003C1238"/>
    <w:rsid w:val="003C128F"/>
    <w:rsid w:val="003C239B"/>
    <w:rsid w:val="003C417F"/>
    <w:rsid w:val="003C4C29"/>
    <w:rsid w:val="003C4D40"/>
    <w:rsid w:val="003C5812"/>
    <w:rsid w:val="003C7EA7"/>
    <w:rsid w:val="003D0B1E"/>
    <w:rsid w:val="003D1134"/>
    <w:rsid w:val="003D1ABF"/>
    <w:rsid w:val="003D210B"/>
    <w:rsid w:val="003D216C"/>
    <w:rsid w:val="003D339C"/>
    <w:rsid w:val="003D36DA"/>
    <w:rsid w:val="003D3872"/>
    <w:rsid w:val="003D4981"/>
    <w:rsid w:val="003D5A2E"/>
    <w:rsid w:val="003D6210"/>
    <w:rsid w:val="003D63E4"/>
    <w:rsid w:val="003D6FD3"/>
    <w:rsid w:val="003D7E25"/>
    <w:rsid w:val="003E0F0C"/>
    <w:rsid w:val="003E1114"/>
    <w:rsid w:val="003E13CB"/>
    <w:rsid w:val="003E2D15"/>
    <w:rsid w:val="003E3302"/>
    <w:rsid w:val="003E358C"/>
    <w:rsid w:val="003E386D"/>
    <w:rsid w:val="003E41F3"/>
    <w:rsid w:val="003E478C"/>
    <w:rsid w:val="003E4AC0"/>
    <w:rsid w:val="003E5723"/>
    <w:rsid w:val="003E7770"/>
    <w:rsid w:val="003E7BB7"/>
    <w:rsid w:val="003F2934"/>
    <w:rsid w:val="003F482D"/>
    <w:rsid w:val="003F6513"/>
    <w:rsid w:val="003F6958"/>
    <w:rsid w:val="003F7EDF"/>
    <w:rsid w:val="004001B1"/>
    <w:rsid w:val="00400684"/>
    <w:rsid w:val="004013C3"/>
    <w:rsid w:val="00401D06"/>
    <w:rsid w:val="00402BE2"/>
    <w:rsid w:val="004037E5"/>
    <w:rsid w:val="00403906"/>
    <w:rsid w:val="004041EE"/>
    <w:rsid w:val="004049DA"/>
    <w:rsid w:val="00404FE0"/>
    <w:rsid w:val="0040607E"/>
    <w:rsid w:val="0040627A"/>
    <w:rsid w:val="004062C8"/>
    <w:rsid w:val="00406ACC"/>
    <w:rsid w:val="004073DF"/>
    <w:rsid w:val="004100B5"/>
    <w:rsid w:val="00410658"/>
    <w:rsid w:val="00410B5F"/>
    <w:rsid w:val="00410EE9"/>
    <w:rsid w:val="00412D6B"/>
    <w:rsid w:val="004136A2"/>
    <w:rsid w:val="00413A68"/>
    <w:rsid w:val="00413EDE"/>
    <w:rsid w:val="00414294"/>
    <w:rsid w:val="004148C8"/>
    <w:rsid w:val="00414D19"/>
    <w:rsid w:val="0041567A"/>
    <w:rsid w:val="00415D14"/>
    <w:rsid w:val="004172D3"/>
    <w:rsid w:val="00417588"/>
    <w:rsid w:val="004206D2"/>
    <w:rsid w:val="004212BD"/>
    <w:rsid w:val="00422BBF"/>
    <w:rsid w:val="00422EE2"/>
    <w:rsid w:val="00423DDE"/>
    <w:rsid w:val="004251CE"/>
    <w:rsid w:val="00425FD4"/>
    <w:rsid w:val="004270EC"/>
    <w:rsid w:val="00430662"/>
    <w:rsid w:val="00431510"/>
    <w:rsid w:val="004320C1"/>
    <w:rsid w:val="00433B94"/>
    <w:rsid w:val="0043478E"/>
    <w:rsid w:val="004349AC"/>
    <w:rsid w:val="00435645"/>
    <w:rsid w:val="00435BC7"/>
    <w:rsid w:val="004400B5"/>
    <w:rsid w:val="00440609"/>
    <w:rsid w:val="00440CAC"/>
    <w:rsid w:val="00441968"/>
    <w:rsid w:val="004420E4"/>
    <w:rsid w:val="00442AB8"/>
    <w:rsid w:val="0044303A"/>
    <w:rsid w:val="004443B3"/>
    <w:rsid w:val="00445A0F"/>
    <w:rsid w:val="004462EC"/>
    <w:rsid w:val="00446317"/>
    <w:rsid w:val="00446675"/>
    <w:rsid w:val="00446786"/>
    <w:rsid w:val="00447B9C"/>
    <w:rsid w:val="00450609"/>
    <w:rsid w:val="004508B5"/>
    <w:rsid w:val="00451548"/>
    <w:rsid w:val="00451B3D"/>
    <w:rsid w:val="00452399"/>
    <w:rsid w:val="00452650"/>
    <w:rsid w:val="00452CD5"/>
    <w:rsid w:val="00453045"/>
    <w:rsid w:val="00453131"/>
    <w:rsid w:val="00454548"/>
    <w:rsid w:val="00454D39"/>
    <w:rsid w:val="00455869"/>
    <w:rsid w:val="00456482"/>
    <w:rsid w:val="00457A6A"/>
    <w:rsid w:val="00460A8F"/>
    <w:rsid w:val="00460DBD"/>
    <w:rsid w:val="00460F1D"/>
    <w:rsid w:val="00462DB3"/>
    <w:rsid w:val="004647ED"/>
    <w:rsid w:val="00464D68"/>
    <w:rsid w:val="00466435"/>
    <w:rsid w:val="00466B9D"/>
    <w:rsid w:val="00470116"/>
    <w:rsid w:val="00470FBA"/>
    <w:rsid w:val="00471D8E"/>
    <w:rsid w:val="00471ECD"/>
    <w:rsid w:val="004720A0"/>
    <w:rsid w:val="0047232C"/>
    <w:rsid w:val="00473AB6"/>
    <w:rsid w:val="00473EF6"/>
    <w:rsid w:val="0047425D"/>
    <w:rsid w:val="00474A38"/>
    <w:rsid w:val="00475113"/>
    <w:rsid w:val="00476924"/>
    <w:rsid w:val="00476D27"/>
    <w:rsid w:val="0047748E"/>
    <w:rsid w:val="004777D3"/>
    <w:rsid w:val="00477A27"/>
    <w:rsid w:val="00480F87"/>
    <w:rsid w:val="00481193"/>
    <w:rsid w:val="00482BC0"/>
    <w:rsid w:val="0048331B"/>
    <w:rsid w:val="00483598"/>
    <w:rsid w:val="00483812"/>
    <w:rsid w:val="00483917"/>
    <w:rsid w:val="004847CC"/>
    <w:rsid w:val="00485377"/>
    <w:rsid w:val="0048590F"/>
    <w:rsid w:val="00485BC8"/>
    <w:rsid w:val="004865CB"/>
    <w:rsid w:val="00487129"/>
    <w:rsid w:val="0048746B"/>
    <w:rsid w:val="004876A4"/>
    <w:rsid w:val="00487A6B"/>
    <w:rsid w:val="00491076"/>
    <w:rsid w:val="00491395"/>
    <w:rsid w:val="00491E7E"/>
    <w:rsid w:val="004921D6"/>
    <w:rsid w:val="00494610"/>
    <w:rsid w:val="00495152"/>
    <w:rsid w:val="00495E01"/>
    <w:rsid w:val="0049639E"/>
    <w:rsid w:val="00496924"/>
    <w:rsid w:val="004971B8"/>
    <w:rsid w:val="0049755E"/>
    <w:rsid w:val="00497DB1"/>
    <w:rsid w:val="004A044F"/>
    <w:rsid w:val="004A18A9"/>
    <w:rsid w:val="004A1D17"/>
    <w:rsid w:val="004A25FC"/>
    <w:rsid w:val="004A328D"/>
    <w:rsid w:val="004A3F09"/>
    <w:rsid w:val="004A406C"/>
    <w:rsid w:val="004A4CD0"/>
    <w:rsid w:val="004A5343"/>
    <w:rsid w:val="004A5420"/>
    <w:rsid w:val="004A573D"/>
    <w:rsid w:val="004A5C41"/>
    <w:rsid w:val="004A6771"/>
    <w:rsid w:val="004A68C9"/>
    <w:rsid w:val="004B2FA5"/>
    <w:rsid w:val="004B55A8"/>
    <w:rsid w:val="004B5AFF"/>
    <w:rsid w:val="004B5C8D"/>
    <w:rsid w:val="004B6584"/>
    <w:rsid w:val="004B67DA"/>
    <w:rsid w:val="004B6884"/>
    <w:rsid w:val="004B795E"/>
    <w:rsid w:val="004C071B"/>
    <w:rsid w:val="004C0C71"/>
    <w:rsid w:val="004C1305"/>
    <w:rsid w:val="004C17A6"/>
    <w:rsid w:val="004C1BC6"/>
    <w:rsid w:val="004C20B5"/>
    <w:rsid w:val="004C2346"/>
    <w:rsid w:val="004C2519"/>
    <w:rsid w:val="004C2E41"/>
    <w:rsid w:val="004C3172"/>
    <w:rsid w:val="004C31D9"/>
    <w:rsid w:val="004C35E3"/>
    <w:rsid w:val="004C3A0D"/>
    <w:rsid w:val="004C4DD4"/>
    <w:rsid w:val="004C5E9D"/>
    <w:rsid w:val="004C7639"/>
    <w:rsid w:val="004C7C97"/>
    <w:rsid w:val="004D0A0B"/>
    <w:rsid w:val="004D0EEC"/>
    <w:rsid w:val="004D1175"/>
    <w:rsid w:val="004D11E1"/>
    <w:rsid w:val="004D23EF"/>
    <w:rsid w:val="004D3261"/>
    <w:rsid w:val="004D41D4"/>
    <w:rsid w:val="004D4DE9"/>
    <w:rsid w:val="004D4E2B"/>
    <w:rsid w:val="004D6E79"/>
    <w:rsid w:val="004D6F26"/>
    <w:rsid w:val="004D759D"/>
    <w:rsid w:val="004E05FF"/>
    <w:rsid w:val="004E10C2"/>
    <w:rsid w:val="004E121E"/>
    <w:rsid w:val="004E1258"/>
    <w:rsid w:val="004E24CB"/>
    <w:rsid w:val="004E2CAF"/>
    <w:rsid w:val="004E381D"/>
    <w:rsid w:val="004E3C83"/>
    <w:rsid w:val="004E51E4"/>
    <w:rsid w:val="004F0832"/>
    <w:rsid w:val="004F3786"/>
    <w:rsid w:val="004F415F"/>
    <w:rsid w:val="004F54CA"/>
    <w:rsid w:val="004F6FF5"/>
    <w:rsid w:val="004F7FC1"/>
    <w:rsid w:val="00500782"/>
    <w:rsid w:val="0050166E"/>
    <w:rsid w:val="005022F8"/>
    <w:rsid w:val="005055AF"/>
    <w:rsid w:val="0050563C"/>
    <w:rsid w:val="00506CA0"/>
    <w:rsid w:val="00506D0E"/>
    <w:rsid w:val="00506FF2"/>
    <w:rsid w:val="00507C4C"/>
    <w:rsid w:val="00507E89"/>
    <w:rsid w:val="005106F2"/>
    <w:rsid w:val="00510F32"/>
    <w:rsid w:val="005110B6"/>
    <w:rsid w:val="00511332"/>
    <w:rsid w:val="0051299C"/>
    <w:rsid w:val="00512F4C"/>
    <w:rsid w:val="00512F9B"/>
    <w:rsid w:val="0051384F"/>
    <w:rsid w:val="00513884"/>
    <w:rsid w:val="005142FA"/>
    <w:rsid w:val="0051445B"/>
    <w:rsid w:val="005153F5"/>
    <w:rsid w:val="0051561D"/>
    <w:rsid w:val="00515869"/>
    <w:rsid w:val="0051662D"/>
    <w:rsid w:val="0051780B"/>
    <w:rsid w:val="00520168"/>
    <w:rsid w:val="00520359"/>
    <w:rsid w:val="005205D4"/>
    <w:rsid w:val="00520849"/>
    <w:rsid w:val="00520A3E"/>
    <w:rsid w:val="00520BE6"/>
    <w:rsid w:val="00521521"/>
    <w:rsid w:val="0052175C"/>
    <w:rsid w:val="005223F0"/>
    <w:rsid w:val="0052353D"/>
    <w:rsid w:val="005241FC"/>
    <w:rsid w:val="00525211"/>
    <w:rsid w:val="0052525E"/>
    <w:rsid w:val="005274F1"/>
    <w:rsid w:val="0053198E"/>
    <w:rsid w:val="0053202A"/>
    <w:rsid w:val="00533E43"/>
    <w:rsid w:val="00535164"/>
    <w:rsid w:val="0053651D"/>
    <w:rsid w:val="0053733D"/>
    <w:rsid w:val="005374C1"/>
    <w:rsid w:val="00537AC7"/>
    <w:rsid w:val="00540796"/>
    <w:rsid w:val="00541B2E"/>
    <w:rsid w:val="0054218B"/>
    <w:rsid w:val="00542E5F"/>
    <w:rsid w:val="005439DB"/>
    <w:rsid w:val="0054452F"/>
    <w:rsid w:val="005446E1"/>
    <w:rsid w:val="00546DF9"/>
    <w:rsid w:val="005470D4"/>
    <w:rsid w:val="005477E4"/>
    <w:rsid w:val="005512B6"/>
    <w:rsid w:val="00552577"/>
    <w:rsid w:val="0055281A"/>
    <w:rsid w:val="005528B0"/>
    <w:rsid w:val="0055484E"/>
    <w:rsid w:val="00555C7B"/>
    <w:rsid w:val="00556553"/>
    <w:rsid w:val="00556AFA"/>
    <w:rsid w:val="0055718D"/>
    <w:rsid w:val="005576DE"/>
    <w:rsid w:val="00560DBC"/>
    <w:rsid w:val="00560FCD"/>
    <w:rsid w:val="00561197"/>
    <w:rsid w:val="00561269"/>
    <w:rsid w:val="00562540"/>
    <w:rsid w:val="0056296C"/>
    <w:rsid w:val="00562D16"/>
    <w:rsid w:val="00563203"/>
    <w:rsid w:val="005634F8"/>
    <w:rsid w:val="00563ADB"/>
    <w:rsid w:val="0056423E"/>
    <w:rsid w:val="005648FB"/>
    <w:rsid w:val="00565826"/>
    <w:rsid w:val="0056586F"/>
    <w:rsid w:val="00565B65"/>
    <w:rsid w:val="00566C6F"/>
    <w:rsid w:val="00570567"/>
    <w:rsid w:val="00570991"/>
    <w:rsid w:val="00570F9B"/>
    <w:rsid w:val="0057137A"/>
    <w:rsid w:val="005734A3"/>
    <w:rsid w:val="00573E09"/>
    <w:rsid w:val="00574146"/>
    <w:rsid w:val="00576E40"/>
    <w:rsid w:val="00577527"/>
    <w:rsid w:val="005776D7"/>
    <w:rsid w:val="00577F10"/>
    <w:rsid w:val="0058014C"/>
    <w:rsid w:val="005801F7"/>
    <w:rsid w:val="00580392"/>
    <w:rsid w:val="00580897"/>
    <w:rsid w:val="00580C55"/>
    <w:rsid w:val="00581440"/>
    <w:rsid w:val="00581B48"/>
    <w:rsid w:val="00581D0F"/>
    <w:rsid w:val="0058265A"/>
    <w:rsid w:val="00582DEA"/>
    <w:rsid w:val="00583FDC"/>
    <w:rsid w:val="0058483A"/>
    <w:rsid w:val="005853E9"/>
    <w:rsid w:val="00585822"/>
    <w:rsid w:val="00586BD1"/>
    <w:rsid w:val="00586F77"/>
    <w:rsid w:val="00587392"/>
    <w:rsid w:val="00587556"/>
    <w:rsid w:val="00590AC3"/>
    <w:rsid w:val="00590CDA"/>
    <w:rsid w:val="005914C5"/>
    <w:rsid w:val="00593F2D"/>
    <w:rsid w:val="005948DC"/>
    <w:rsid w:val="00597636"/>
    <w:rsid w:val="005A0343"/>
    <w:rsid w:val="005A043C"/>
    <w:rsid w:val="005A12E7"/>
    <w:rsid w:val="005A1650"/>
    <w:rsid w:val="005A18F6"/>
    <w:rsid w:val="005A1B9B"/>
    <w:rsid w:val="005A3A7E"/>
    <w:rsid w:val="005A4665"/>
    <w:rsid w:val="005A5719"/>
    <w:rsid w:val="005A5DE6"/>
    <w:rsid w:val="005A6491"/>
    <w:rsid w:val="005A690B"/>
    <w:rsid w:val="005A6A16"/>
    <w:rsid w:val="005A79D7"/>
    <w:rsid w:val="005B02FC"/>
    <w:rsid w:val="005B0EAF"/>
    <w:rsid w:val="005B0F40"/>
    <w:rsid w:val="005B0FE6"/>
    <w:rsid w:val="005B1485"/>
    <w:rsid w:val="005B1D8E"/>
    <w:rsid w:val="005B3029"/>
    <w:rsid w:val="005B36CF"/>
    <w:rsid w:val="005B3935"/>
    <w:rsid w:val="005B3CB3"/>
    <w:rsid w:val="005B489D"/>
    <w:rsid w:val="005B49C3"/>
    <w:rsid w:val="005B535E"/>
    <w:rsid w:val="005B71FC"/>
    <w:rsid w:val="005B7F5A"/>
    <w:rsid w:val="005C0516"/>
    <w:rsid w:val="005C0531"/>
    <w:rsid w:val="005C0565"/>
    <w:rsid w:val="005C2649"/>
    <w:rsid w:val="005C26CF"/>
    <w:rsid w:val="005C5357"/>
    <w:rsid w:val="005C66CA"/>
    <w:rsid w:val="005C7456"/>
    <w:rsid w:val="005D147D"/>
    <w:rsid w:val="005D1BB8"/>
    <w:rsid w:val="005D21F6"/>
    <w:rsid w:val="005D2F44"/>
    <w:rsid w:val="005D3787"/>
    <w:rsid w:val="005D4855"/>
    <w:rsid w:val="005D4C61"/>
    <w:rsid w:val="005D5B03"/>
    <w:rsid w:val="005D6F40"/>
    <w:rsid w:val="005E0191"/>
    <w:rsid w:val="005E07ED"/>
    <w:rsid w:val="005E0E3B"/>
    <w:rsid w:val="005E18B1"/>
    <w:rsid w:val="005E1AD7"/>
    <w:rsid w:val="005E3427"/>
    <w:rsid w:val="005E3A96"/>
    <w:rsid w:val="005E3B70"/>
    <w:rsid w:val="005E3F5B"/>
    <w:rsid w:val="005E5883"/>
    <w:rsid w:val="005E6F45"/>
    <w:rsid w:val="005E7057"/>
    <w:rsid w:val="005E7F82"/>
    <w:rsid w:val="005F0244"/>
    <w:rsid w:val="005F1010"/>
    <w:rsid w:val="005F12EE"/>
    <w:rsid w:val="005F1434"/>
    <w:rsid w:val="005F2E46"/>
    <w:rsid w:val="005F39FA"/>
    <w:rsid w:val="005F3DCF"/>
    <w:rsid w:val="005F4A8B"/>
    <w:rsid w:val="005F5124"/>
    <w:rsid w:val="005F520F"/>
    <w:rsid w:val="005F55E4"/>
    <w:rsid w:val="005F5776"/>
    <w:rsid w:val="005F66F0"/>
    <w:rsid w:val="005F678F"/>
    <w:rsid w:val="005F68B1"/>
    <w:rsid w:val="005F6DAD"/>
    <w:rsid w:val="006005D8"/>
    <w:rsid w:val="006008D2"/>
    <w:rsid w:val="00600A97"/>
    <w:rsid w:val="00601008"/>
    <w:rsid w:val="00601620"/>
    <w:rsid w:val="006016B9"/>
    <w:rsid w:val="006029AD"/>
    <w:rsid w:val="00602A44"/>
    <w:rsid w:val="00602AEB"/>
    <w:rsid w:val="006055C0"/>
    <w:rsid w:val="006103E4"/>
    <w:rsid w:val="006103FA"/>
    <w:rsid w:val="006113D2"/>
    <w:rsid w:val="00611E7E"/>
    <w:rsid w:val="00612E2F"/>
    <w:rsid w:val="00613053"/>
    <w:rsid w:val="00613C75"/>
    <w:rsid w:val="00614D26"/>
    <w:rsid w:val="00614DCE"/>
    <w:rsid w:val="0061555A"/>
    <w:rsid w:val="00615AE9"/>
    <w:rsid w:val="00615CF6"/>
    <w:rsid w:val="00615D48"/>
    <w:rsid w:val="00616A13"/>
    <w:rsid w:val="00617005"/>
    <w:rsid w:val="006201FA"/>
    <w:rsid w:val="00620CAD"/>
    <w:rsid w:val="00620EB8"/>
    <w:rsid w:val="006212B3"/>
    <w:rsid w:val="00622861"/>
    <w:rsid w:val="00622E61"/>
    <w:rsid w:val="006232C5"/>
    <w:rsid w:val="006236A4"/>
    <w:rsid w:val="00623DDA"/>
    <w:rsid w:val="00624829"/>
    <w:rsid w:val="00624B78"/>
    <w:rsid w:val="0062513B"/>
    <w:rsid w:val="0062519B"/>
    <w:rsid w:val="006252C8"/>
    <w:rsid w:val="00625639"/>
    <w:rsid w:val="00625713"/>
    <w:rsid w:val="00625AAD"/>
    <w:rsid w:val="00626B56"/>
    <w:rsid w:val="00630761"/>
    <w:rsid w:val="00630EBC"/>
    <w:rsid w:val="006310BC"/>
    <w:rsid w:val="006316EC"/>
    <w:rsid w:val="006320C9"/>
    <w:rsid w:val="0063308D"/>
    <w:rsid w:val="006341A4"/>
    <w:rsid w:val="00634573"/>
    <w:rsid w:val="00634C59"/>
    <w:rsid w:val="00634D3F"/>
    <w:rsid w:val="00635C9C"/>
    <w:rsid w:val="006361EB"/>
    <w:rsid w:val="0063630C"/>
    <w:rsid w:val="0063642E"/>
    <w:rsid w:val="00636E29"/>
    <w:rsid w:val="00640A0D"/>
    <w:rsid w:val="0064167B"/>
    <w:rsid w:val="006416A3"/>
    <w:rsid w:val="00641B59"/>
    <w:rsid w:val="00643D3F"/>
    <w:rsid w:val="00645119"/>
    <w:rsid w:val="0064582C"/>
    <w:rsid w:val="006458C3"/>
    <w:rsid w:val="00645E30"/>
    <w:rsid w:val="00646192"/>
    <w:rsid w:val="006475CB"/>
    <w:rsid w:val="00647FF4"/>
    <w:rsid w:val="006504A1"/>
    <w:rsid w:val="006508FA"/>
    <w:rsid w:val="00650C02"/>
    <w:rsid w:val="006533DD"/>
    <w:rsid w:val="00653894"/>
    <w:rsid w:val="00653DEA"/>
    <w:rsid w:val="006542AA"/>
    <w:rsid w:val="006547AB"/>
    <w:rsid w:val="006549EF"/>
    <w:rsid w:val="00656712"/>
    <w:rsid w:val="00657929"/>
    <w:rsid w:val="00657C8E"/>
    <w:rsid w:val="00660257"/>
    <w:rsid w:val="00660502"/>
    <w:rsid w:val="0066076B"/>
    <w:rsid w:val="00660FAB"/>
    <w:rsid w:val="006613A2"/>
    <w:rsid w:val="00662073"/>
    <w:rsid w:val="00662756"/>
    <w:rsid w:val="00664FC0"/>
    <w:rsid w:val="006654C4"/>
    <w:rsid w:val="0066695B"/>
    <w:rsid w:val="00666BCC"/>
    <w:rsid w:val="006674A1"/>
    <w:rsid w:val="006702F8"/>
    <w:rsid w:val="00670C0D"/>
    <w:rsid w:val="00670C84"/>
    <w:rsid w:val="00671176"/>
    <w:rsid w:val="0067150E"/>
    <w:rsid w:val="0067159D"/>
    <w:rsid w:val="00671747"/>
    <w:rsid w:val="00671899"/>
    <w:rsid w:val="0067212A"/>
    <w:rsid w:val="00672337"/>
    <w:rsid w:val="00673478"/>
    <w:rsid w:val="00675586"/>
    <w:rsid w:val="006761B0"/>
    <w:rsid w:val="006764CF"/>
    <w:rsid w:val="00676D39"/>
    <w:rsid w:val="006771F6"/>
    <w:rsid w:val="00677291"/>
    <w:rsid w:val="00677F02"/>
    <w:rsid w:val="006804A9"/>
    <w:rsid w:val="00680590"/>
    <w:rsid w:val="00681888"/>
    <w:rsid w:val="00681A65"/>
    <w:rsid w:val="00682092"/>
    <w:rsid w:val="0068212C"/>
    <w:rsid w:val="00683ED9"/>
    <w:rsid w:val="00684363"/>
    <w:rsid w:val="006848E7"/>
    <w:rsid w:val="00685393"/>
    <w:rsid w:val="006858AA"/>
    <w:rsid w:val="00685F7F"/>
    <w:rsid w:val="00686351"/>
    <w:rsid w:val="00690C4B"/>
    <w:rsid w:val="00692EC0"/>
    <w:rsid w:val="0069327B"/>
    <w:rsid w:val="00693327"/>
    <w:rsid w:val="00693855"/>
    <w:rsid w:val="00695C73"/>
    <w:rsid w:val="0069682D"/>
    <w:rsid w:val="00696D23"/>
    <w:rsid w:val="0069795B"/>
    <w:rsid w:val="006A065B"/>
    <w:rsid w:val="006A08F0"/>
    <w:rsid w:val="006A11AC"/>
    <w:rsid w:val="006A1245"/>
    <w:rsid w:val="006A134B"/>
    <w:rsid w:val="006A1C53"/>
    <w:rsid w:val="006A23E9"/>
    <w:rsid w:val="006A3315"/>
    <w:rsid w:val="006A4EF2"/>
    <w:rsid w:val="006A4F43"/>
    <w:rsid w:val="006A54BE"/>
    <w:rsid w:val="006A5830"/>
    <w:rsid w:val="006A5D8A"/>
    <w:rsid w:val="006A5F93"/>
    <w:rsid w:val="006A626E"/>
    <w:rsid w:val="006A7CD4"/>
    <w:rsid w:val="006B0685"/>
    <w:rsid w:val="006B1FD4"/>
    <w:rsid w:val="006B25F0"/>
    <w:rsid w:val="006B2985"/>
    <w:rsid w:val="006B2AB2"/>
    <w:rsid w:val="006B310C"/>
    <w:rsid w:val="006B384D"/>
    <w:rsid w:val="006B4967"/>
    <w:rsid w:val="006B5493"/>
    <w:rsid w:val="006B7D23"/>
    <w:rsid w:val="006B7F59"/>
    <w:rsid w:val="006C059C"/>
    <w:rsid w:val="006C0E53"/>
    <w:rsid w:val="006C1176"/>
    <w:rsid w:val="006C2102"/>
    <w:rsid w:val="006C2CB1"/>
    <w:rsid w:val="006C3345"/>
    <w:rsid w:val="006C36BD"/>
    <w:rsid w:val="006C392D"/>
    <w:rsid w:val="006C480C"/>
    <w:rsid w:val="006C51E9"/>
    <w:rsid w:val="006C57FE"/>
    <w:rsid w:val="006C5BB2"/>
    <w:rsid w:val="006C5F6F"/>
    <w:rsid w:val="006C6219"/>
    <w:rsid w:val="006C7FC3"/>
    <w:rsid w:val="006D08D4"/>
    <w:rsid w:val="006D0ABE"/>
    <w:rsid w:val="006D10F1"/>
    <w:rsid w:val="006D1EE0"/>
    <w:rsid w:val="006D33A6"/>
    <w:rsid w:val="006D37A1"/>
    <w:rsid w:val="006D44BA"/>
    <w:rsid w:val="006D4F64"/>
    <w:rsid w:val="006D6229"/>
    <w:rsid w:val="006D6793"/>
    <w:rsid w:val="006D6C9B"/>
    <w:rsid w:val="006E0000"/>
    <w:rsid w:val="006E0037"/>
    <w:rsid w:val="006E03F2"/>
    <w:rsid w:val="006E0777"/>
    <w:rsid w:val="006E1228"/>
    <w:rsid w:val="006E16A2"/>
    <w:rsid w:val="006E2010"/>
    <w:rsid w:val="006E2822"/>
    <w:rsid w:val="006E2AFE"/>
    <w:rsid w:val="006E333D"/>
    <w:rsid w:val="006E52C0"/>
    <w:rsid w:val="006E5C60"/>
    <w:rsid w:val="006E685B"/>
    <w:rsid w:val="006F050C"/>
    <w:rsid w:val="006F0B21"/>
    <w:rsid w:val="006F0D79"/>
    <w:rsid w:val="006F0E63"/>
    <w:rsid w:val="006F0EED"/>
    <w:rsid w:val="006F27D0"/>
    <w:rsid w:val="006F2F98"/>
    <w:rsid w:val="006F31E4"/>
    <w:rsid w:val="006F33BF"/>
    <w:rsid w:val="006F37A1"/>
    <w:rsid w:val="006F39F8"/>
    <w:rsid w:val="006F3C3D"/>
    <w:rsid w:val="006F6122"/>
    <w:rsid w:val="006F62DD"/>
    <w:rsid w:val="006F667E"/>
    <w:rsid w:val="006F757B"/>
    <w:rsid w:val="006F7597"/>
    <w:rsid w:val="006F75E7"/>
    <w:rsid w:val="006F786E"/>
    <w:rsid w:val="007014FE"/>
    <w:rsid w:val="00702F6E"/>
    <w:rsid w:val="007054CF"/>
    <w:rsid w:val="00705B3B"/>
    <w:rsid w:val="007063C8"/>
    <w:rsid w:val="007064CB"/>
    <w:rsid w:val="00706BF6"/>
    <w:rsid w:val="00706EF7"/>
    <w:rsid w:val="00706FB6"/>
    <w:rsid w:val="0070714C"/>
    <w:rsid w:val="00707AE8"/>
    <w:rsid w:val="00707B87"/>
    <w:rsid w:val="00707D89"/>
    <w:rsid w:val="00707FB3"/>
    <w:rsid w:val="00710FB5"/>
    <w:rsid w:val="00711B68"/>
    <w:rsid w:val="00712636"/>
    <w:rsid w:val="00713198"/>
    <w:rsid w:val="007160FB"/>
    <w:rsid w:val="007168C8"/>
    <w:rsid w:val="00717439"/>
    <w:rsid w:val="00717CBF"/>
    <w:rsid w:val="0072076C"/>
    <w:rsid w:val="00720885"/>
    <w:rsid w:val="00720B4D"/>
    <w:rsid w:val="00721758"/>
    <w:rsid w:val="00721E40"/>
    <w:rsid w:val="00722437"/>
    <w:rsid w:val="007237B7"/>
    <w:rsid w:val="00723D43"/>
    <w:rsid w:val="0072415A"/>
    <w:rsid w:val="00725123"/>
    <w:rsid w:val="0072608F"/>
    <w:rsid w:val="00726C9E"/>
    <w:rsid w:val="00730C21"/>
    <w:rsid w:val="00730E61"/>
    <w:rsid w:val="007320F7"/>
    <w:rsid w:val="0073436B"/>
    <w:rsid w:val="0073609B"/>
    <w:rsid w:val="007360CC"/>
    <w:rsid w:val="0073624F"/>
    <w:rsid w:val="00736704"/>
    <w:rsid w:val="007376BA"/>
    <w:rsid w:val="007422B6"/>
    <w:rsid w:val="007426BF"/>
    <w:rsid w:val="00742C66"/>
    <w:rsid w:val="00742D31"/>
    <w:rsid w:val="00742DB6"/>
    <w:rsid w:val="00742F17"/>
    <w:rsid w:val="007436A5"/>
    <w:rsid w:val="007441CA"/>
    <w:rsid w:val="00745BE0"/>
    <w:rsid w:val="00746FC2"/>
    <w:rsid w:val="007476FA"/>
    <w:rsid w:val="00747746"/>
    <w:rsid w:val="0075037E"/>
    <w:rsid w:val="00750A36"/>
    <w:rsid w:val="00751C7F"/>
    <w:rsid w:val="00752C1B"/>
    <w:rsid w:val="00752F9A"/>
    <w:rsid w:val="007535DD"/>
    <w:rsid w:val="00754901"/>
    <w:rsid w:val="00755872"/>
    <w:rsid w:val="00755A13"/>
    <w:rsid w:val="007566EF"/>
    <w:rsid w:val="00756AEF"/>
    <w:rsid w:val="00756B9C"/>
    <w:rsid w:val="00757955"/>
    <w:rsid w:val="00760902"/>
    <w:rsid w:val="00760F64"/>
    <w:rsid w:val="0076312E"/>
    <w:rsid w:val="0076315F"/>
    <w:rsid w:val="00763C27"/>
    <w:rsid w:val="00763C7F"/>
    <w:rsid w:val="00764C22"/>
    <w:rsid w:val="00764F7D"/>
    <w:rsid w:val="00764FBA"/>
    <w:rsid w:val="00765189"/>
    <w:rsid w:val="007658DB"/>
    <w:rsid w:val="00765C1C"/>
    <w:rsid w:val="00765D51"/>
    <w:rsid w:val="00765E82"/>
    <w:rsid w:val="00766A26"/>
    <w:rsid w:val="00766AD0"/>
    <w:rsid w:val="0076742D"/>
    <w:rsid w:val="007675FA"/>
    <w:rsid w:val="007709EB"/>
    <w:rsid w:val="00770CF8"/>
    <w:rsid w:val="00771E1F"/>
    <w:rsid w:val="00772515"/>
    <w:rsid w:val="00772A3B"/>
    <w:rsid w:val="00773380"/>
    <w:rsid w:val="00773BF3"/>
    <w:rsid w:val="0077462C"/>
    <w:rsid w:val="007749AE"/>
    <w:rsid w:val="0078043C"/>
    <w:rsid w:val="007805B9"/>
    <w:rsid w:val="00781523"/>
    <w:rsid w:val="00781DCD"/>
    <w:rsid w:val="007823A0"/>
    <w:rsid w:val="007827FA"/>
    <w:rsid w:val="00783B44"/>
    <w:rsid w:val="0078411D"/>
    <w:rsid w:val="00785D37"/>
    <w:rsid w:val="007866CD"/>
    <w:rsid w:val="007907EA"/>
    <w:rsid w:val="007908DD"/>
    <w:rsid w:val="00790C3D"/>
    <w:rsid w:val="00790CBA"/>
    <w:rsid w:val="00790CC8"/>
    <w:rsid w:val="00791C63"/>
    <w:rsid w:val="0079420D"/>
    <w:rsid w:val="00794339"/>
    <w:rsid w:val="00795170"/>
    <w:rsid w:val="007956A2"/>
    <w:rsid w:val="00795C1A"/>
    <w:rsid w:val="00795FB6"/>
    <w:rsid w:val="007966B1"/>
    <w:rsid w:val="00796C82"/>
    <w:rsid w:val="007A00C2"/>
    <w:rsid w:val="007A0DDB"/>
    <w:rsid w:val="007A1593"/>
    <w:rsid w:val="007A20FD"/>
    <w:rsid w:val="007A23CF"/>
    <w:rsid w:val="007A3BCA"/>
    <w:rsid w:val="007A3C45"/>
    <w:rsid w:val="007A4495"/>
    <w:rsid w:val="007A49A2"/>
    <w:rsid w:val="007A4F7C"/>
    <w:rsid w:val="007A508B"/>
    <w:rsid w:val="007A57BA"/>
    <w:rsid w:val="007A62DC"/>
    <w:rsid w:val="007A65D0"/>
    <w:rsid w:val="007A6882"/>
    <w:rsid w:val="007B1C37"/>
    <w:rsid w:val="007B1EDC"/>
    <w:rsid w:val="007B2495"/>
    <w:rsid w:val="007B292A"/>
    <w:rsid w:val="007B3FED"/>
    <w:rsid w:val="007B5A8A"/>
    <w:rsid w:val="007B7AC0"/>
    <w:rsid w:val="007B7B1A"/>
    <w:rsid w:val="007C0136"/>
    <w:rsid w:val="007C22BB"/>
    <w:rsid w:val="007C354C"/>
    <w:rsid w:val="007C39B2"/>
    <w:rsid w:val="007C3D94"/>
    <w:rsid w:val="007C4342"/>
    <w:rsid w:val="007C451B"/>
    <w:rsid w:val="007C5259"/>
    <w:rsid w:val="007C643B"/>
    <w:rsid w:val="007C6CE4"/>
    <w:rsid w:val="007C7D62"/>
    <w:rsid w:val="007D074F"/>
    <w:rsid w:val="007D0B78"/>
    <w:rsid w:val="007D0E6E"/>
    <w:rsid w:val="007D1007"/>
    <w:rsid w:val="007D15F6"/>
    <w:rsid w:val="007D197A"/>
    <w:rsid w:val="007D2F8E"/>
    <w:rsid w:val="007D338F"/>
    <w:rsid w:val="007D3854"/>
    <w:rsid w:val="007D3CEC"/>
    <w:rsid w:val="007D3D71"/>
    <w:rsid w:val="007D48E8"/>
    <w:rsid w:val="007D4E28"/>
    <w:rsid w:val="007D5D8E"/>
    <w:rsid w:val="007D677C"/>
    <w:rsid w:val="007D69AB"/>
    <w:rsid w:val="007D7786"/>
    <w:rsid w:val="007E033D"/>
    <w:rsid w:val="007E0BAF"/>
    <w:rsid w:val="007E0F66"/>
    <w:rsid w:val="007E1850"/>
    <w:rsid w:val="007E1ABC"/>
    <w:rsid w:val="007E2368"/>
    <w:rsid w:val="007E2611"/>
    <w:rsid w:val="007E27D8"/>
    <w:rsid w:val="007E2986"/>
    <w:rsid w:val="007E2DD6"/>
    <w:rsid w:val="007E381A"/>
    <w:rsid w:val="007E4C0A"/>
    <w:rsid w:val="007E585F"/>
    <w:rsid w:val="007E6EF5"/>
    <w:rsid w:val="007E753A"/>
    <w:rsid w:val="007F048B"/>
    <w:rsid w:val="007F0B18"/>
    <w:rsid w:val="007F1C52"/>
    <w:rsid w:val="007F2B35"/>
    <w:rsid w:val="007F3720"/>
    <w:rsid w:val="007F3A50"/>
    <w:rsid w:val="007F3DFC"/>
    <w:rsid w:val="007F3E41"/>
    <w:rsid w:val="007F535E"/>
    <w:rsid w:val="007F5404"/>
    <w:rsid w:val="007F5E6D"/>
    <w:rsid w:val="007F768C"/>
    <w:rsid w:val="0080097A"/>
    <w:rsid w:val="00800B3D"/>
    <w:rsid w:val="00802190"/>
    <w:rsid w:val="0080339A"/>
    <w:rsid w:val="00803B18"/>
    <w:rsid w:val="00804286"/>
    <w:rsid w:val="0080448B"/>
    <w:rsid w:val="00805E64"/>
    <w:rsid w:val="008062A5"/>
    <w:rsid w:val="00806816"/>
    <w:rsid w:val="00807876"/>
    <w:rsid w:val="008109CC"/>
    <w:rsid w:val="00810E0B"/>
    <w:rsid w:val="00810FCB"/>
    <w:rsid w:val="00812C94"/>
    <w:rsid w:val="00812CDC"/>
    <w:rsid w:val="00813334"/>
    <w:rsid w:val="008138E7"/>
    <w:rsid w:val="00813C44"/>
    <w:rsid w:val="00813ED6"/>
    <w:rsid w:val="00815446"/>
    <w:rsid w:val="00815876"/>
    <w:rsid w:val="00815941"/>
    <w:rsid w:val="00815972"/>
    <w:rsid w:val="00815A57"/>
    <w:rsid w:val="008170FD"/>
    <w:rsid w:val="00820D1A"/>
    <w:rsid w:val="00821188"/>
    <w:rsid w:val="0082216A"/>
    <w:rsid w:val="008221D8"/>
    <w:rsid w:val="00822A20"/>
    <w:rsid w:val="00822CE3"/>
    <w:rsid w:val="008239F3"/>
    <w:rsid w:val="00823A5B"/>
    <w:rsid w:val="00824BBF"/>
    <w:rsid w:val="00830311"/>
    <w:rsid w:val="0083169A"/>
    <w:rsid w:val="008317DD"/>
    <w:rsid w:val="008319A8"/>
    <w:rsid w:val="00831A2D"/>
    <w:rsid w:val="00831ED6"/>
    <w:rsid w:val="008323FD"/>
    <w:rsid w:val="00832870"/>
    <w:rsid w:val="00832F6E"/>
    <w:rsid w:val="0083352C"/>
    <w:rsid w:val="00833A21"/>
    <w:rsid w:val="00833A3A"/>
    <w:rsid w:val="0083447E"/>
    <w:rsid w:val="00835356"/>
    <w:rsid w:val="00835452"/>
    <w:rsid w:val="0083670E"/>
    <w:rsid w:val="00837BAF"/>
    <w:rsid w:val="00837CE0"/>
    <w:rsid w:val="008402A8"/>
    <w:rsid w:val="00840F54"/>
    <w:rsid w:val="0084136A"/>
    <w:rsid w:val="008415F5"/>
    <w:rsid w:val="00843708"/>
    <w:rsid w:val="0084495B"/>
    <w:rsid w:val="00845382"/>
    <w:rsid w:val="008454AC"/>
    <w:rsid w:val="00846920"/>
    <w:rsid w:val="008469BF"/>
    <w:rsid w:val="00846C88"/>
    <w:rsid w:val="008476C5"/>
    <w:rsid w:val="008476DF"/>
    <w:rsid w:val="00847A0D"/>
    <w:rsid w:val="008502FF"/>
    <w:rsid w:val="00851E78"/>
    <w:rsid w:val="008520DB"/>
    <w:rsid w:val="00852DE1"/>
    <w:rsid w:val="00853738"/>
    <w:rsid w:val="0085378D"/>
    <w:rsid w:val="00853AEF"/>
    <w:rsid w:val="00853D25"/>
    <w:rsid w:val="00854CE2"/>
    <w:rsid w:val="00855B3D"/>
    <w:rsid w:val="00855FFB"/>
    <w:rsid w:val="00856669"/>
    <w:rsid w:val="00857FED"/>
    <w:rsid w:val="00860213"/>
    <w:rsid w:val="00861595"/>
    <w:rsid w:val="008616E8"/>
    <w:rsid w:val="0086204D"/>
    <w:rsid w:val="00862533"/>
    <w:rsid w:val="008630BF"/>
    <w:rsid w:val="00863B7F"/>
    <w:rsid w:val="008640AA"/>
    <w:rsid w:val="008648E4"/>
    <w:rsid w:val="00865269"/>
    <w:rsid w:val="008656F7"/>
    <w:rsid w:val="0086624F"/>
    <w:rsid w:val="00870173"/>
    <w:rsid w:val="008704C1"/>
    <w:rsid w:val="00870547"/>
    <w:rsid w:val="008738AE"/>
    <w:rsid w:val="00874A37"/>
    <w:rsid w:val="008759CE"/>
    <w:rsid w:val="00875A02"/>
    <w:rsid w:val="00876B80"/>
    <w:rsid w:val="00876C22"/>
    <w:rsid w:val="00876D04"/>
    <w:rsid w:val="00877E2E"/>
    <w:rsid w:val="00880F36"/>
    <w:rsid w:val="008815E4"/>
    <w:rsid w:val="0088213C"/>
    <w:rsid w:val="0088245E"/>
    <w:rsid w:val="00882A01"/>
    <w:rsid w:val="008847A4"/>
    <w:rsid w:val="00884C8C"/>
    <w:rsid w:val="00885B55"/>
    <w:rsid w:val="008912F4"/>
    <w:rsid w:val="0089202C"/>
    <w:rsid w:val="00892662"/>
    <w:rsid w:val="00894374"/>
    <w:rsid w:val="0089475D"/>
    <w:rsid w:val="00895175"/>
    <w:rsid w:val="00896968"/>
    <w:rsid w:val="008A024A"/>
    <w:rsid w:val="008A0F8A"/>
    <w:rsid w:val="008A2256"/>
    <w:rsid w:val="008A2641"/>
    <w:rsid w:val="008A2D78"/>
    <w:rsid w:val="008A428D"/>
    <w:rsid w:val="008A4BBC"/>
    <w:rsid w:val="008A61BF"/>
    <w:rsid w:val="008A6B42"/>
    <w:rsid w:val="008A7D0D"/>
    <w:rsid w:val="008B0941"/>
    <w:rsid w:val="008B0CEF"/>
    <w:rsid w:val="008B0DB4"/>
    <w:rsid w:val="008B0F39"/>
    <w:rsid w:val="008B198E"/>
    <w:rsid w:val="008B1BF7"/>
    <w:rsid w:val="008B3B2F"/>
    <w:rsid w:val="008B4A22"/>
    <w:rsid w:val="008B51E4"/>
    <w:rsid w:val="008B648F"/>
    <w:rsid w:val="008B6DC8"/>
    <w:rsid w:val="008B711E"/>
    <w:rsid w:val="008B7DF1"/>
    <w:rsid w:val="008B7FBC"/>
    <w:rsid w:val="008C00C0"/>
    <w:rsid w:val="008C0AAB"/>
    <w:rsid w:val="008C0AEF"/>
    <w:rsid w:val="008C12EE"/>
    <w:rsid w:val="008C17B8"/>
    <w:rsid w:val="008C1CFF"/>
    <w:rsid w:val="008C1EF6"/>
    <w:rsid w:val="008C3B82"/>
    <w:rsid w:val="008C3E2E"/>
    <w:rsid w:val="008C44FB"/>
    <w:rsid w:val="008C4D6C"/>
    <w:rsid w:val="008C5D7C"/>
    <w:rsid w:val="008C640A"/>
    <w:rsid w:val="008C73FC"/>
    <w:rsid w:val="008C7718"/>
    <w:rsid w:val="008C7BAD"/>
    <w:rsid w:val="008C7BE9"/>
    <w:rsid w:val="008C7D64"/>
    <w:rsid w:val="008D0B59"/>
    <w:rsid w:val="008D0CC6"/>
    <w:rsid w:val="008D168B"/>
    <w:rsid w:val="008D27E9"/>
    <w:rsid w:val="008D345D"/>
    <w:rsid w:val="008D3E5D"/>
    <w:rsid w:val="008D3F1C"/>
    <w:rsid w:val="008D455B"/>
    <w:rsid w:val="008D4930"/>
    <w:rsid w:val="008D5D57"/>
    <w:rsid w:val="008D5E0C"/>
    <w:rsid w:val="008D602E"/>
    <w:rsid w:val="008D63F2"/>
    <w:rsid w:val="008D6A2E"/>
    <w:rsid w:val="008D7F49"/>
    <w:rsid w:val="008E0B8F"/>
    <w:rsid w:val="008E15F2"/>
    <w:rsid w:val="008E16C0"/>
    <w:rsid w:val="008E1C45"/>
    <w:rsid w:val="008E25A5"/>
    <w:rsid w:val="008E333E"/>
    <w:rsid w:val="008E7EF2"/>
    <w:rsid w:val="008F11C9"/>
    <w:rsid w:val="008F1748"/>
    <w:rsid w:val="008F1E9B"/>
    <w:rsid w:val="008F1F69"/>
    <w:rsid w:val="008F3558"/>
    <w:rsid w:val="008F4712"/>
    <w:rsid w:val="008F47F2"/>
    <w:rsid w:val="008F4DB6"/>
    <w:rsid w:val="008F529A"/>
    <w:rsid w:val="008F5C31"/>
    <w:rsid w:val="008F65FF"/>
    <w:rsid w:val="008F6928"/>
    <w:rsid w:val="008F6D02"/>
    <w:rsid w:val="008F7AC1"/>
    <w:rsid w:val="008F7F35"/>
    <w:rsid w:val="009018A0"/>
    <w:rsid w:val="0090332D"/>
    <w:rsid w:val="009042B2"/>
    <w:rsid w:val="00904433"/>
    <w:rsid w:val="009048F4"/>
    <w:rsid w:val="009058DA"/>
    <w:rsid w:val="00905F2B"/>
    <w:rsid w:val="00906BFC"/>
    <w:rsid w:val="00906EC4"/>
    <w:rsid w:val="0090712D"/>
    <w:rsid w:val="0090717E"/>
    <w:rsid w:val="0090778E"/>
    <w:rsid w:val="00907A7A"/>
    <w:rsid w:val="00912245"/>
    <w:rsid w:val="00912FBB"/>
    <w:rsid w:val="00914BD2"/>
    <w:rsid w:val="00914F2E"/>
    <w:rsid w:val="009169C7"/>
    <w:rsid w:val="00916F57"/>
    <w:rsid w:val="00917A77"/>
    <w:rsid w:val="00920064"/>
    <w:rsid w:val="009208FC"/>
    <w:rsid w:val="00920976"/>
    <w:rsid w:val="00923332"/>
    <w:rsid w:val="00923FB2"/>
    <w:rsid w:val="00924009"/>
    <w:rsid w:val="009252E9"/>
    <w:rsid w:val="009257D0"/>
    <w:rsid w:val="00927245"/>
    <w:rsid w:val="00930CE7"/>
    <w:rsid w:val="00934D5B"/>
    <w:rsid w:val="00936826"/>
    <w:rsid w:val="009368FF"/>
    <w:rsid w:val="00936A08"/>
    <w:rsid w:val="00937F11"/>
    <w:rsid w:val="00940315"/>
    <w:rsid w:val="009409DD"/>
    <w:rsid w:val="009423DA"/>
    <w:rsid w:val="00942472"/>
    <w:rsid w:val="009426CF"/>
    <w:rsid w:val="00943092"/>
    <w:rsid w:val="0094432E"/>
    <w:rsid w:val="009444D0"/>
    <w:rsid w:val="009458C5"/>
    <w:rsid w:val="009470F5"/>
    <w:rsid w:val="00947C37"/>
    <w:rsid w:val="00950F74"/>
    <w:rsid w:val="00951BAE"/>
    <w:rsid w:val="0095217C"/>
    <w:rsid w:val="00952808"/>
    <w:rsid w:val="00954902"/>
    <w:rsid w:val="00955AC2"/>
    <w:rsid w:val="00955C09"/>
    <w:rsid w:val="00956418"/>
    <w:rsid w:val="00957376"/>
    <w:rsid w:val="0095BCDE"/>
    <w:rsid w:val="00960375"/>
    <w:rsid w:val="009628B4"/>
    <w:rsid w:val="009632F3"/>
    <w:rsid w:val="0096340A"/>
    <w:rsid w:val="009638A3"/>
    <w:rsid w:val="00964A0B"/>
    <w:rsid w:val="00964CF9"/>
    <w:rsid w:val="00964DDC"/>
    <w:rsid w:val="0096534C"/>
    <w:rsid w:val="0096626B"/>
    <w:rsid w:val="00966FFA"/>
    <w:rsid w:val="009673D5"/>
    <w:rsid w:val="009674F2"/>
    <w:rsid w:val="00967A33"/>
    <w:rsid w:val="00970809"/>
    <w:rsid w:val="00971D51"/>
    <w:rsid w:val="00971EAE"/>
    <w:rsid w:val="00973BC0"/>
    <w:rsid w:val="00974DF0"/>
    <w:rsid w:val="009753E8"/>
    <w:rsid w:val="00976E96"/>
    <w:rsid w:val="00976F56"/>
    <w:rsid w:val="0098084D"/>
    <w:rsid w:val="00980BD7"/>
    <w:rsid w:val="00980F34"/>
    <w:rsid w:val="0098116A"/>
    <w:rsid w:val="00981C64"/>
    <w:rsid w:val="00983894"/>
    <w:rsid w:val="00984A96"/>
    <w:rsid w:val="009850EE"/>
    <w:rsid w:val="00985648"/>
    <w:rsid w:val="00987704"/>
    <w:rsid w:val="009879C3"/>
    <w:rsid w:val="009902CB"/>
    <w:rsid w:val="00990F2C"/>
    <w:rsid w:val="00991908"/>
    <w:rsid w:val="00991C22"/>
    <w:rsid w:val="00992016"/>
    <w:rsid w:val="00992E12"/>
    <w:rsid w:val="00994572"/>
    <w:rsid w:val="009955A9"/>
    <w:rsid w:val="009A0A43"/>
    <w:rsid w:val="009A1224"/>
    <w:rsid w:val="009A23EA"/>
    <w:rsid w:val="009A283D"/>
    <w:rsid w:val="009A2B7B"/>
    <w:rsid w:val="009A2B8D"/>
    <w:rsid w:val="009A32B1"/>
    <w:rsid w:val="009A4228"/>
    <w:rsid w:val="009A4881"/>
    <w:rsid w:val="009A5157"/>
    <w:rsid w:val="009A6F66"/>
    <w:rsid w:val="009A78D0"/>
    <w:rsid w:val="009B0E5F"/>
    <w:rsid w:val="009B1013"/>
    <w:rsid w:val="009B186E"/>
    <w:rsid w:val="009B19EA"/>
    <w:rsid w:val="009B2C97"/>
    <w:rsid w:val="009B3EA3"/>
    <w:rsid w:val="009B5910"/>
    <w:rsid w:val="009B6068"/>
    <w:rsid w:val="009B6084"/>
    <w:rsid w:val="009B6F37"/>
    <w:rsid w:val="009B7DD5"/>
    <w:rsid w:val="009C095F"/>
    <w:rsid w:val="009C102D"/>
    <w:rsid w:val="009C13F0"/>
    <w:rsid w:val="009C1964"/>
    <w:rsid w:val="009C1B97"/>
    <w:rsid w:val="009C33C9"/>
    <w:rsid w:val="009C39CD"/>
    <w:rsid w:val="009C3A0D"/>
    <w:rsid w:val="009C4023"/>
    <w:rsid w:val="009C58E7"/>
    <w:rsid w:val="009C6944"/>
    <w:rsid w:val="009C7B90"/>
    <w:rsid w:val="009D0822"/>
    <w:rsid w:val="009D1088"/>
    <w:rsid w:val="009D119F"/>
    <w:rsid w:val="009D1C38"/>
    <w:rsid w:val="009D2958"/>
    <w:rsid w:val="009D40BC"/>
    <w:rsid w:val="009D6F75"/>
    <w:rsid w:val="009D70B1"/>
    <w:rsid w:val="009D7A96"/>
    <w:rsid w:val="009E01F9"/>
    <w:rsid w:val="009E0A4B"/>
    <w:rsid w:val="009E0D09"/>
    <w:rsid w:val="009E21D0"/>
    <w:rsid w:val="009E244F"/>
    <w:rsid w:val="009E270F"/>
    <w:rsid w:val="009E3708"/>
    <w:rsid w:val="009E3FBD"/>
    <w:rsid w:val="009E46EC"/>
    <w:rsid w:val="009E4AA9"/>
    <w:rsid w:val="009E60DA"/>
    <w:rsid w:val="009E6BC6"/>
    <w:rsid w:val="009E72E4"/>
    <w:rsid w:val="009E73BC"/>
    <w:rsid w:val="009E7448"/>
    <w:rsid w:val="009F00DD"/>
    <w:rsid w:val="009F0E24"/>
    <w:rsid w:val="009F0FFD"/>
    <w:rsid w:val="009F1A9D"/>
    <w:rsid w:val="009F2FEF"/>
    <w:rsid w:val="009F3019"/>
    <w:rsid w:val="009F32F3"/>
    <w:rsid w:val="009F3F0F"/>
    <w:rsid w:val="009F4668"/>
    <w:rsid w:val="009F523F"/>
    <w:rsid w:val="009F658A"/>
    <w:rsid w:val="009F6CB2"/>
    <w:rsid w:val="009F7018"/>
    <w:rsid w:val="009F706B"/>
    <w:rsid w:val="00A00978"/>
    <w:rsid w:val="00A01335"/>
    <w:rsid w:val="00A01AE5"/>
    <w:rsid w:val="00A01E14"/>
    <w:rsid w:val="00A02068"/>
    <w:rsid w:val="00A03EB0"/>
    <w:rsid w:val="00A03EE7"/>
    <w:rsid w:val="00A051EE"/>
    <w:rsid w:val="00A05205"/>
    <w:rsid w:val="00A05575"/>
    <w:rsid w:val="00A06635"/>
    <w:rsid w:val="00A07AAD"/>
    <w:rsid w:val="00A10680"/>
    <w:rsid w:val="00A1079C"/>
    <w:rsid w:val="00A10AD9"/>
    <w:rsid w:val="00A10BD1"/>
    <w:rsid w:val="00A10C13"/>
    <w:rsid w:val="00A11B9B"/>
    <w:rsid w:val="00A121EE"/>
    <w:rsid w:val="00A1353D"/>
    <w:rsid w:val="00A13BD0"/>
    <w:rsid w:val="00A13C55"/>
    <w:rsid w:val="00A15BA6"/>
    <w:rsid w:val="00A16076"/>
    <w:rsid w:val="00A16713"/>
    <w:rsid w:val="00A17CA8"/>
    <w:rsid w:val="00A20468"/>
    <w:rsid w:val="00A22A8E"/>
    <w:rsid w:val="00A22F5A"/>
    <w:rsid w:val="00A23688"/>
    <w:rsid w:val="00A25383"/>
    <w:rsid w:val="00A257F5"/>
    <w:rsid w:val="00A262E9"/>
    <w:rsid w:val="00A26897"/>
    <w:rsid w:val="00A26C31"/>
    <w:rsid w:val="00A276E8"/>
    <w:rsid w:val="00A3029D"/>
    <w:rsid w:val="00A3057B"/>
    <w:rsid w:val="00A30C3A"/>
    <w:rsid w:val="00A3163A"/>
    <w:rsid w:val="00A32481"/>
    <w:rsid w:val="00A32E60"/>
    <w:rsid w:val="00A3325E"/>
    <w:rsid w:val="00A34A25"/>
    <w:rsid w:val="00A35002"/>
    <w:rsid w:val="00A35149"/>
    <w:rsid w:val="00A3674E"/>
    <w:rsid w:val="00A3795A"/>
    <w:rsid w:val="00A37CF4"/>
    <w:rsid w:val="00A37DCC"/>
    <w:rsid w:val="00A37FB3"/>
    <w:rsid w:val="00A41052"/>
    <w:rsid w:val="00A41235"/>
    <w:rsid w:val="00A421F3"/>
    <w:rsid w:val="00A4257D"/>
    <w:rsid w:val="00A42A26"/>
    <w:rsid w:val="00A42B0C"/>
    <w:rsid w:val="00A4336E"/>
    <w:rsid w:val="00A44010"/>
    <w:rsid w:val="00A441B2"/>
    <w:rsid w:val="00A45B22"/>
    <w:rsid w:val="00A4716F"/>
    <w:rsid w:val="00A473D2"/>
    <w:rsid w:val="00A50FF6"/>
    <w:rsid w:val="00A51FED"/>
    <w:rsid w:val="00A529C5"/>
    <w:rsid w:val="00A5331F"/>
    <w:rsid w:val="00A53C3D"/>
    <w:rsid w:val="00A551EA"/>
    <w:rsid w:val="00A555BD"/>
    <w:rsid w:val="00A5705A"/>
    <w:rsid w:val="00A5757B"/>
    <w:rsid w:val="00A57597"/>
    <w:rsid w:val="00A5D2F0"/>
    <w:rsid w:val="00A60738"/>
    <w:rsid w:val="00A6360E"/>
    <w:rsid w:val="00A63C18"/>
    <w:rsid w:val="00A643BA"/>
    <w:rsid w:val="00A6555B"/>
    <w:rsid w:val="00A6578A"/>
    <w:rsid w:val="00A65FAA"/>
    <w:rsid w:val="00A66AD2"/>
    <w:rsid w:val="00A67B72"/>
    <w:rsid w:val="00A67CD9"/>
    <w:rsid w:val="00A71BCC"/>
    <w:rsid w:val="00A71DD8"/>
    <w:rsid w:val="00A71EC4"/>
    <w:rsid w:val="00A7251F"/>
    <w:rsid w:val="00A72FD1"/>
    <w:rsid w:val="00A73487"/>
    <w:rsid w:val="00A7425E"/>
    <w:rsid w:val="00A74886"/>
    <w:rsid w:val="00A74ADE"/>
    <w:rsid w:val="00A752A4"/>
    <w:rsid w:val="00A75A52"/>
    <w:rsid w:val="00A763E9"/>
    <w:rsid w:val="00A76F8F"/>
    <w:rsid w:val="00A77134"/>
    <w:rsid w:val="00A77509"/>
    <w:rsid w:val="00A77F77"/>
    <w:rsid w:val="00A8033A"/>
    <w:rsid w:val="00A8033B"/>
    <w:rsid w:val="00A808FE"/>
    <w:rsid w:val="00A80942"/>
    <w:rsid w:val="00A80AF7"/>
    <w:rsid w:val="00A819FD"/>
    <w:rsid w:val="00A82C9E"/>
    <w:rsid w:val="00A84471"/>
    <w:rsid w:val="00A85FCF"/>
    <w:rsid w:val="00A8699F"/>
    <w:rsid w:val="00A872EA"/>
    <w:rsid w:val="00A900CB"/>
    <w:rsid w:val="00A90430"/>
    <w:rsid w:val="00A90EE3"/>
    <w:rsid w:val="00A91C6D"/>
    <w:rsid w:val="00A91EA3"/>
    <w:rsid w:val="00A92A61"/>
    <w:rsid w:val="00A94A78"/>
    <w:rsid w:val="00A94E79"/>
    <w:rsid w:val="00A95663"/>
    <w:rsid w:val="00A96569"/>
    <w:rsid w:val="00AA0060"/>
    <w:rsid w:val="00AA1541"/>
    <w:rsid w:val="00AA1C5B"/>
    <w:rsid w:val="00AA2994"/>
    <w:rsid w:val="00AA32E8"/>
    <w:rsid w:val="00AA61A5"/>
    <w:rsid w:val="00AA6A79"/>
    <w:rsid w:val="00AA7878"/>
    <w:rsid w:val="00AB120A"/>
    <w:rsid w:val="00AB17D5"/>
    <w:rsid w:val="00AB1BF5"/>
    <w:rsid w:val="00AB2430"/>
    <w:rsid w:val="00AB2CAE"/>
    <w:rsid w:val="00AB2CE4"/>
    <w:rsid w:val="00AB4CC7"/>
    <w:rsid w:val="00AB4D4A"/>
    <w:rsid w:val="00AB5BE8"/>
    <w:rsid w:val="00AB6502"/>
    <w:rsid w:val="00AB6CD1"/>
    <w:rsid w:val="00AB7578"/>
    <w:rsid w:val="00AC048D"/>
    <w:rsid w:val="00AC1470"/>
    <w:rsid w:val="00AC1500"/>
    <w:rsid w:val="00AC1586"/>
    <w:rsid w:val="00AC296C"/>
    <w:rsid w:val="00AC2AEB"/>
    <w:rsid w:val="00AC3815"/>
    <w:rsid w:val="00AC46A1"/>
    <w:rsid w:val="00AC4A20"/>
    <w:rsid w:val="00AC4C57"/>
    <w:rsid w:val="00AC53D8"/>
    <w:rsid w:val="00AC5BBD"/>
    <w:rsid w:val="00AC6895"/>
    <w:rsid w:val="00AC717D"/>
    <w:rsid w:val="00AC7BF2"/>
    <w:rsid w:val="00AD0524"/>
    <w:rsid w:val="00AD1213"/>
    <w:rsid w:val="00AD277F"/>
    <w:rsid w:val="00AD29F3"/>
    <w:rsid w:val="00AD2BF3"/>
    <w:rsid w:val="00AD3103"/>
    <w:rsid w:val="00AD326B"/>
    <w:rsid w:val="00AD3DBE"/>
    <w:rsid w:val="00AD4328"/>
    <w:rsid w:val="00AD46A1"/>
    <w:rsid w:val="00AD49ED"/>
    <w:rsid w:val="00AD548D"/>
    <w:rsid w:val="00AD5D75"/>
    <w:rsid w:val="00AD6287"/>
    <w:rsid w:val="00AD64B7"/>
    <w:rsid w:val="00AD65D5"/>
    <w:rsid w:val="00AD7F4E"/>
    <w:rsid w:val="00AD7F9D"/>
    <w:rsid w:val="00AE1C75"/>
    <w:rsid w:val="00AE3340"/>
    <w:rsid w:val="00AE36E6"/>
    <w:rsid w:val="00AE39F3"/>
    <w:rsid w:val="00AE3AA8"/>
    <w:rsid w:val="00AE3B62"/>
    <w:rsid w:val="00AE4E64"/>
    <w:rsid w:val="00AE6370"/>
    <w:rsid w:val="00AE794C"/>
    <w:rsid w:val="00AF14A5"/>
    <w:rsid w:val="00AF21B4"/>
    <w:rsid w:val="00AF21D9"/>
    <w:rsid w:val="00AF2E54"/>
    <w:rsid w:val="00AF434D"/>
    <w:rsid w:val="00AF50CF"/>
    <w:rsid w:val="00AF642D"/>
    <w:rsid w:val="00B00C8D"/>
    <w:rsid w:val="00B0181F"/>
    <w:rsid w:val="00B01A21"/>
    <w:rsid w:val="00B02825"/>
    <w:rsid w:val="00B02C84"/>
    <w:rsid w:val="00B033A6"/>
    <w:rsid w:val="00B0367B"/>
    <w:rsid w:val="00B03AFB"/>
    <w:rsid w:val="00B058E7"/>
    <w:rsid w:val="00B0607C"/>
    <w:rsid w:val="00B073DD"/>
    <w:rsid w:val="00B07535"/>
    <w:rsid w:val="00B101E9"/>
    <w:rsid w:val="00B10E6C"/>
    <w:rsid w:val="00B118D1"/>
    <w:rsid w:val="00B11F94"/>
    <w:rsid w:val="00B12786"/>
    <w:rsid w:val="00B12A8C"/>
    <w:rsid w:val="00B132C7"/>
    <w:rsid w:val="00B146DE"/>
    <w:rsid w:val="00B14B43"/>
    <w:rsid w:val="00B14DEB"/>
    <w:rsid w:val="00B16B11"/>
    <w:rsid w:val="00B17672"/>
    <w:rsid w:val="00B17CE1"/>
    <w:rsid w:val="00B20615"/>
    <w:rsid w:val="00B2067F"/>
    <w:rsid w:val="00B20869"/>
    <w:rsid w:val="00B21B12"/>
    <w:rsid w:val="00B21DEE"/>
    <w:rsid w:val="00B2241F"/>
    <w:rsid w:val="00B2264F"/>
    <w:rsid w:val="00B24052"/>
    <w:rsid w:val="00B2597E"/>
    <w:rsid w:val="00B26360"/>
    <w:rsid w:val="00B27396"/>
    <w:rsid w:val="00B27E74"/>
    <w:rsid w:val="00B30364"/>
    <w:rsid w:val="00B306E5"/>
    <w:rsid w:val="00B30920"/>
    <w:rsid w:val="00B335C1"/>
    <w:rsid w:val="00B34264"/>
    <w:rsid w:val="00B34F19"/>
    <w:rsid w:val="00B36EFB"/>
    <w:rsid w:val="00B36F3E"/>
    <w:rsid w:val="00B36FC3"/>
    <w:rsid w:val="00B3766F"/>
    <w:rsid w:val="00B376D4"/>
    <w:rsid w:val="00B37AEE"/>
    <w:rsid w:val="00B40321"/>
    <w:rsid w:val="00B40503"/>
    <w:rsid w:val="00B40FC8"/>
    <w:rsid w:val="00B42758"/>
    <w:rsid w:val="00B42CCD"/>
    <w:rsid w:val="00B44DE0"/>
    <w:rsid w:val="00B45021"/>
    <w:rsid w:val="00B451C4"/>
    <w:rsid w:val="00B45B79"/>
    <w:rsid w:val="00B45CA0"/>
    <w:rsid w:val="00B47547"/>
    <w:rsid w:val="00B47F39"/>
    <w:rsid w:val="00B509C6"/>
    <w:rsid w:val="00B50FC6"/>
    <w:rsid w:val="00B51CC5"/>
    <w:rsid w:val="00B51D5C"/>
    <w:rsid w:val="00B5244B"/>
    <w:rsid w:val="00B5247D"/>
    <w:rsid w:val="00B5337F"/>
    <w:rsid w:val="00B544BE"/>
    <w:rsid w:val="00B5460E"/>
    <w:rsid w:val="00B55E35"/>
    <w:rsid w:val="00B5606D"/>
    <w:rsid w:val="00B56E53"/>
    <w:rsid w:val="00B60180"/>
    <w:rsid w:val="00B60223"/>
    <w:rsid w:val="00B60432"/>
    <w:rsid w:val="00B60676"/>
    <w:rsid w:val="00B60D7E"/>
    <w:rsid w:val="00B6132E"/>
    <w:rsid w:val="00B62058"/>
    <w:rsid w:val="00B622F2"/>
    <w:rsid w:val="00B62359"/>
    <w:rsid w:val="00B62998"/>
    <w:rsid w:val="00B642FA"/>
    <w:rsid w:val="00B65941"/>
    <w:rsid w:val="00B65E05"/>
    <w:rsid w:val="00B70D46"/>
    <w:rsid w:val="00B71BAB"/>
    <w:rsid w:val="00B71E43"/>
    <w:rsid w:val="00B73E59"/>
    <w:rsid w:val="00B75019"/>
    <w:rsid w:val="00B75995"/>
    <w:rsid w:val="00B75CAB"/>
    <w:rsid w:val="00B765F4"/>
    <w:rsid w:val="00B823C0"/>
    <w:rsid w:val="00B8423C"/>
    <w:rsid w:val="00B84D52"/>
    <w:rsid w:val="00B84DE1"/>
    <w:rsid w:val="00B85123"/>
    <w:rsid w:val="00B8544D"/>
    <w:rsid w:val="00B8559B"/>
    <w:rsid w:val="00B85EC8"/>
    <w:rsid w:val="00B87C37"/>
    <w:rsid w:val="00B90D8A"/>
    <w:rsid w:val="00B91D02"/>
    <w:rsid w:val="00B91D74"/>
    <w:rsid w:val="00B9366D"/>
    <w:rsid w:val="00B93BBC"/>
    <w:rsid w:val="00B93C3A"/>
    <w:rsid w:val="00B93F60"/>
    <w:rsid w:val="00B9447F"/>
    <w:rsid w:val="00B94F55"/>
    <w:rsid w:val="00B96493"/>
    <w:rsid w:val="00B9793F"/>
    <w:rsid w:val="00BA0417"/>
    <w:rsid w:val="00BA1AE6"/>
    <w:rsid w:val="00BA1C1D"/>
    <w:rsid w:val="00BA210C"/>
    <w:rsid w:val="00BA35E8"/>
    <w:rsid w:val="00BA3CD4"/>
    <w:rsid w:val="00BA4385"/>
    <w:rsid w:val="00BA545A"/>
    <w:rsid w:val="00BA57E2"/>
    <w:rsid w:val="00BA593A"/>
    <w:rsid w:val="00BA60A2"/>
    <w:rsid w:val="00BA690E"/>
    <w:rsid w:val="00BA6E5E"/>
    <w:rsid w:val="00BA7FBB"/>
    <w:rsid w:val="00BB1FAA"/>
    <w:rsid w:val="00BB2144"/>
    <w:rsid w:val="00BB32D2"/>
    <w:rsid w:val="00BB33F2"/>
    <w:rsid w:val="00BB4692"/>
    <w:rsid w:val="00BB5515"/>
    <w:rsid w:val="00BB5A50"/>
    <w:rsid w:val="00BB6201"/>
    <w:rsid w:val="00BB63F9"/>
    <w:rsid w:val="00BB7288"/>
    <w:rsid w:val="00BB7BE6"/>
    <w:rsid w:val="00BBFEDB"/>
    <w:rsid w:val="00BC40F2"/>
    <w:rsid w:val="00BC446E"/>
    <w:rsid w:val="00BC4851"/>
    <w:rsid w:val="00BC4D85"/>
    <w:rsid w:val="00BC4F50"/>
    <w:rsid w:val="00BC4FDD"/>
    <w:rsid w:val="00BC5641"/>
    <w:rsid w:val="00BC5BF9"/>
    <w:rsid w:val="00BC6632"/>
    <w:rsid w:val="00BC7777"/>
    <w:rsid w:val="00BD2844"/>
    <w:rsid w:val="00BD35A4"/>
    <w:rsid w:val="00BD37AD"/>
    <w:rsid w:val="00BD4C21"/>
    <w:rsid w:val="00BD510D"/>
    <w:rsid w:val="00BD5184"/>
    <w:rsid w:val="00BD55EC"/>
    <w:rsid w:val="00BD5885"/>
    <w:rsid w:val="00BD6114"/>
    <w:rsid w:val="00BD68C0"/>
    <w:rsid w:val="00BD6BAF"/>
    <w:rsid w:val="00BE0A6B"/>
    <w:rsid w:val="00BE1480"/>
    <w:rsid w:val="00BE14C8"/>
    <w:rsid w:val="00BE1E64"/>
    <w:rsid w:val="00BE2E76"/>
    <w:rsid w:val="00BE4A1F"/>
    <w:rsid w:val="00BE4A53"/>
    <w:rsid w:val="00BE65A7"/>
    <w:rsid w:val="00BE7F53"/>
    <w:rsid w:val="00BF18B6"/>
    <w:rsid w:val="00BF1C9E"/>
    <w:rsid w:val="00BF2260"/>
    <w:rsid w:val="00BF248B"/>
    <w:rsid w:val="00BF397C"/>
    <w:rsid w:val="00BF4107"/>
    <w:rsid w:val="00BF440B"/>
    <w:rsid w:val="00BF4AB4"/>
    <w:rsid w:val="00BF566A"/>
    <w:rsid w:val="00BF5719"/>
    <w:rsid w:val="00BF58DC"/>
    <w:rsid w:val="00BF5B12"/>
    <w:rsid w:val="00BF5C1B"/>
    <w:rsid w:val="00BF6646"/>
    <w:rsid w:val="00BF6B2D"/>
    <w:rsid w:val="00BF6BDC"/>
    <w:rsid w:val="00C007C6"/>
    <w:rsid w:val="00C011AC"/>
    <w:rsid w:val="00C0240A"/>
    <w:rsid w:val="00C02DC4"/>
    <w:rsid w:val="00C0323C"/>
    <w:rsid w:val="00C03B3D"/>
    <w:rsid w:val="00C0424D"/>
    <w:rsid w:val="00C0483C"/>
    <w:rsid w:val="00C054FC"/>
    <w:rsid w:val="00C05F65"/>
    <w:rsid w:val="00C06476"/>
    <w:rsid w:val="00C06BB9"/>
    <w:rsid w:val="00C06CD5"/>
    <w:rsid w:val="00C0F20C"/>
    <w:rsid w:val="00C10248"/>
    <w:rsid w:val="00C118A0"/>
    <w:rsid w:val="00C11BAB"/>
    <w:rsid w:val="00C12903"/>
    <w:rsid w:val="00C14618"/>
    <w:rsid w:val="00C14B48"/>
    <w:rsid w:val="00C173F1"/>
    <w:rsid w:val="00C20AFB"/>
    <w:rsid w:val="00C21297"/>
    <w:rsid w:val="00C2179C"/>
    <w:rsid w:val="00C21D17"/>
    <w:rsid w:val="00C228CE"/>
    <w:rsid w:val="00C23174"/>
    <w:rsid w:val="00C2325C"/>
    <w:rsid w:val="00C2347D"/>
    <w:rsid w:val="00C23E55"/>
    <w:rsid w:val="00C24964"/>
    <w:rsid w:val="00C25653"/>
    <w:rsid w:val="00C256DE"/>
    <w:rsid w:val="00C267D8"/>
    <w:rsid w:val="00C26855"/>
    <w:rsid w:val="00C274E6"/>
    <w:rsid w:val="00C27576"/>
    <w:rsid w:val="00C30903"/>
    <w:rsid w:val="00C3152B"/>
    <w:rsid w:val="00C31E88"/>
    <w:rsid w:val="00C32BF8"/>
    <w:rsid w:val="00C34AFE"/>
    <w:rsid w:val="00C35925"/>
    <w:rsid w:val="00C35DDF"/>
    <w:rsid w:val="00C3679A"/>
    <w:rsid w:val="00C376A7"/>
    <w:rsid w:val="00C40480"/>
    <w:rsid w:val="00C405C5"/>
    <w:rsid w:val="00C42371"/>
    <w:rsid w:val="00C42EB2"/>
    <w:rsid w:val="00C43AB1"/>
    <w:rsid w:val="00C4420A"/>
    <w:rsid w:val="00C46473"/>
    <w:rsid w:val="00C5064B"/>
    <w:rsid w:val="00C506D1"/>
    <w:rsid w:val="00C51FE3"/>
    <w:rsid w:val="00C520B6"/>
    <w:rsid w:val="00C524A9"/>
    <w:rsid w:val="00C5285B"/>
    <w:rsid w:val="00C52AE8"/>
    <w:rsid w:val="00C52E43"/>
    <w:rsid w:val="00C547D3"/>
    <w:rsid w:val="00C57305"/>
    <w:rsid w:val="00C57708"/>
    <w:rsid w:val="00C6065B"/>
    <w:rsid w:val="00C60A71"/>
    <w:rsid w:val="00C60D62"/>
    <w:rsid w:val="00C618CE"/>
    <w:rsid w:val="00C61ABC"/>
    <w:rsid w:val="00C62005"/>
    <w:rsid w:val="00C62A63"/>
    <w:rsid w:val="00C62FF2"/>
    <w:rsid w:val="00C63561"/>
    <w:rsid w:val="00C63E22"/>
    <w:rsid w:val="00C6449B"/>
    <w:rsid w:val="00C644BC"/>
    <w:rsid w:val="00C6456D"/>
    <w:rsid w:val="00C66554"/>
    <w:rsid w:val="00C7018C"/>
    <w:rsid w:val="00C723AC"/>
    <w:rsid w:val="00C7277B"/>
    <w:rsid w:val="00C743CC"/>
    <w:rsid w:val="00C7547F"/>
    <w:rsid w:val="00C75C9D"/>
    <w:rsid w:val="00C75EA5"/>
    <w:rsid w:val="00C7753C"/>
    <w:rsid w:val="00C778F9"/>
    <w:rsid w:val="00C8071B"/>
    <w:rsid w:val="00C80966"/>
    <w:rsid w:val="00C80FD3"/>
    <w:rsid w:val="00C8157A"/>
    <w:rsid w:val="00C8362C"/>
    <w:rsid w:val="00C86246"/>
    <w:rsid w:val="00C87156"/>
    <w:rsid w:val="00C904C4"/>
    <w:rsid w:val="00C909DF"/>
    <w:rsid w:val="00C91B71"/>
    <w:rsid w:val="00C91EF7"/>
    <w:rsid w:val="00C927AF"/>
    <w:rsid w:val="00C932CD"/>
    <w:rsid w:val="00C937A7"/>
    <w:rsid w:val="00C944BB"/>
    <w:rsid w:val="00C94649"/>
    <w:rsid w:val="00C950BE"/>
    <w:rsid w:val="00C951ED"/>
    <w:rsid w:val="00C9526F"/>
    <w:rsid w:val="00C955DB"/>
    <w:rsid w:val="00C96F16"/>
    <w:rsid w:val="00C9717C"/>
    <w:rsid w:val="00CA036F"/>
    <w:rsid w:val="00CA127F"/>
    <w:rsid w:val="00CA2EE0"/>
    <w:rsid w:val="00CA50C9"/>
    <w:rsid w:val="00CA5D81"/>
    <w:rsid w:val="00CA665C"/>
    <w:rsid w:val="00CA6C19"/>
    <w:rsid w:val="00CA778C"/>
    <w:rsid w:val="00CB0366"/>
    <w:rsid w:val="00CB04C7"/>
    <w:rsid w:val="00CB0B7C"/>
    <w:rsid w:val="00CB23C5"/>
    <w:rsid w:val="00CB36FD"/>
    <w:rsid w:val="00CB417D"/>
    <w:rsid w:val="00CB706D"/>
    <w:rsid w:val="00CB72E9"/>
    <w:rsid w:val="00CC0F22"/>
    <w:rsid w:val="00CC21B8"/>
    <w:rsid w:val="00CC291F"/>
    <w:rsid w:val="00CC2AFC"/>
    <w:rsid w:val="00CC2BC1"/>
    <w:rsid w:val="00CC2F74"/>
    <w:rsid w:val="00CC4E94"/>
    <w:rsid w:val="00CC50D4"/>
    <w:rsid w:val="00CC5B61"/>
    <w:rsid w:val="00CC60D9"/>
    <w:rsid w:val="00CC742F"/>
    <w:rsid w:val="00CD0122"/>
    <w:rsid w:val="00CD0F39"/>
    <w:rsid w:val="00CD15F2"/>
    <w:rsid w:val="00CD2681"/>
    <w:rsid w:val="00CD2840"/>
    <w:rsid w:val="00CD42D7"/>
    <w:rsid w:val="00CD4D91"/>
    <w:rsid w:val="00CD5100"/>
    <w:rsid w:val="00CD567E"/>
    <w:rsid w:val="00CD5754"/>
    <w:rsid w:val="00CD5815"/>
    <w:rsid w:val="00CD6519"/>
    <w:rsid w:val="00CD707D"/>
    <w:rsid w:val="00CD7144"/>
    <w:rsid w:val="00CE123F"/>
    <w:rsid w:val="00CE1581"/>
    <w:rsid w:val="00CE1651"/>
    <w:rsid w:val="00CE1716"/>
    <w:rsid w:val="00CE1B76"/>
    <w:rsid w:val="00CE3242"/>
    <w:rsid w:val="00CE4021"/>
    <w:rsid w:val="00CE5206"/>
    <w:rsid w:val="00CE52D1"/>
    <w:rsid w:val="00CE608B"/>
    <w:rsid w:val="00CE63F1"/>
    <w:rsid w:val="00CE7C6C"/>
    <w:rsid w:val="00CE7E3D"/>
    <w:rsid w:val="00CF00B3"/>
    <w:rsid w:val="00CF0663"/>
    <w:rsid w:val="00CF0CE2"/>
    <w:rsid w:val="00CF0D3E"/>
    <w:rsid w:val="00CF2A80"/>
    <w:rsid w:val="00CF2D03"/>
    <w:rsid w:val="00CF34C4"/>
    <w:rsid w:val="00CF3BEE"/>
    <w:rsid w:val="00CF49D6"/>
    <w:rsid w:val="00CF4E05"/>
    <w:rsid w:val="00CF5822"/>
    <w:rsid w:val="00CF6C62"/>
    <w:rsid w:val="00D02F1A"/>
    <w:rsid w:val="00D03759"/>
    <w:rsid w:val="00D03CDC"/>
    <w:rsid w:val="00D04A6B"/>
    <w:rsid w:val="00D0537D"/>
    <w:rsid w:val="00D06184"/>
    <w:rsid w:val="00D063DA"/>
    <w:rsid w:val="00D067A9"/>
    <w:rsid w:val="00D06CF8"/>
    <w:rsid w:val="00D0711F"/>
    <w:rsid w:val="00D07F80"/>
    <w:rsid w:val="00D10258"/>
    <w:rsid w:val="00D11DC8"/>
    <w:rsid w:val="00D122E9"/>
    <w:rsid w:val="00D12EDA"/>
    <w:rsid w:val="00D133C2"/>
    <w:rsid w:val="00D1515C"/>
    <w:rsid w:val="00D153BA"/>
    <w:rsid w:val="00D15D6D"/>
    <w:rsid w:val="00D17089"/>
    <w:rsid w:val="00D174A9"/>
    <w:rsid w:val="00D17D96"/>
    <w:rsid w:val="00D17F75"/>
    <w:rsid w:val="00D20360"/>
    <w:rsid w:val="00D206BD"/>
    <w:rsid w:val="00D2180A"/>
    <w:rsid w:val="00D21D80"/>
    <w:rsid w:val="00D22697"/>
    <w:rsid w:val="00D22BDB"/>
    <w:rsid w:val="00D24A75"/>
    <w:rsid w:val="00D25E27"/>
    <w:rsid w:val="00D2602C"/>
    <w:rsid w:val="00D26083"/>
    <w:rsid w:val="00D26260"/>
    <w:rsid w:val="00D26284"/>
    <w:rsid w:val="00D26611"/>
    <w:rsid w:val="00D2693B"/>
    <w:rsid w:val="00D27C0C"/>
    <w:rsid w:val="00D3079D"/>
    <w:rsid w:val="00D312FC"/>
    <w:rsid w:val="00D337BD"/>
    <w:rsid w:val="00D33ACC"/>
    <w:rsid w:val="00D35F12"/>
    <w:rsid w:val="00D377D5"/>
    <w:rsid w:val="00D41604"/>
    <w:rsid w:val="00D41E44"/>
    <w:rsid w:val="00D42675"/>
    <w:rsid w:val="00D432BE"/>
    <w:rsid w:val="00D43CED"/>
    <w:rsid w:val="00D43E7F"/>
    <w:rsid w:val="00D44781"/>
    <w:rsid w:val="00D44CE4"/>
    <w:rsid w:val="00D45C24"/>
    <w:rsid w:val="00D47189"/>
    <w:rsid w:val="00D47791"/>
    <w:rsid w:val="00D4797F"/>
    <w:rsid w:val="00D47AB0"/>
    <w:rsid w:val="00D50106"/>
    <w:rsid w:val="00D510C3"/>
    <w:rsid w:val="00D511A4"/>
    <w:rsid w:val="00D53309"/>
    <w:rsid w:val="00D5389E"/>
    <w:rsid w:val="00D53AE0"/>
    <w:rsid w:val="00D57F90"/>
    <w:rsid w:val="00D60B89"/>
    <w:rsid w:val="00D60DEE"/>
    <w:rsid w:val="00D63719"/>
    <w:rsid w:val="00D6391E"/>
    <w:rsid w:val="00D643DA"/>
    <w:rsid w:val="00D65BE6"/>
    <w:rsid w:val="00D663F6"/>
    <w:rsid w:val="00D66E5E"/>
    <w:rsid w:val="00D7000E"/>
    <w:rsid w:val="00D7034B"/>
    <w:rsid w:val="00D7084B"/>
    <w:rsid w:val="00D70CDA"/>
    <w:rsid w:val="00D70EE4"/>
    <w:rsid w:val="00D729CC"/>
    <w:rsid w:val="00D7353E"/>
    <w:rsid w:val="00D738DB"/>
    <w:rsid w:val="00D73DA3"/>
    <w:rsid w:val="00D74A71"/>
    <w:rsid w:val="00D74BF1"/>
    <w:rsid w:val="00D753F0"/>
    <w:rsid w:val="00D76217"/>
    <w:rsid w:val="00D7647C"/>
    <w:rsid w:val="00D76E9A"/>
    <w:rsid w:val="00D7742A"/>
    <w:rsid w:val="00D7790A"/>
    <w:rsid w:val="00D77FA5"/>
    <w:rsid w:val="00D80250"/>
    <w:rsid w:val="00D80C1A"/>
    <w:rsid w:val="00D81656"/>
    <w:rsid w:val="00D81BF8"/>
    <w:rsid w:val="00D8249B"/>
    <w:rsid w:val="00D82AC7"/>
    <w:rsid w:val="00D83C64"/>
    <w:rsid w:val="00D84212"/>
    <w:rsid w:val="00D84C6B"/>
    <w:rsid w:val="00D85780"/>
    <w:rsid w:val="00D85AEE"/>
    <w:rsid w:val="00D85B3D"/>
    <w:rsid w:val="00D86148"/>
    <w:rsid w:val="00D87A52"/>
    <w:rsid w:val="00D915C8"/>
    <w:rsid w:val="00D91A0A"/>
    <w:rsid w:val="00D91B69"/>
    <w:rsid w:val="00D93A98"/>
    <w:rsid w:val="00D940B9"/>
    <w:rsid w:val="00D94EF2"/>
    <w:rsid w:val="00D959ED"/>
    <w:rsid w:val="00D95BB5"/>
    <w:rsid w:val="00D95C59"/>
    <w:rsid w:val="00D96312"/>
    <w:rsid w:val="00D972A4"/>
    <w:rsid w:val="00D975BD"/>
    <w:rsid w:val="00DA0070"/>
    <w:rsid w:val="00DA20AD"/>
    <w:rsid w:val="00DA25FC"/>
    <w:rsid w:val="00DA2600"/>
    <w:rsid w:val="00DA3236"/>
    <w:rsid w:val="00DA3312"/>
    <w:rsid w:val="00DA37F7"/>
    <w:rsid w:val="00DA5F46"/>
    <w:rsid w:val="00DA604C"/>
    <w:rsid w:val="00DA745C"/>
    <w:rsid w:val="00DA7C00"/>
    <w:rsid w:val="00DA7D63"/>
    <w:rsid w:val="00DB0A7C"/>
    <w:rsid w:val="00DB1177"/>
    <w:rsid w:val="00DB11E2"/>
    <w:rsid w:val="00DB1824"/>
    <w:rsid w:val="00DB2E3F"/>
    <w:rsid w:val="00DB3CEB"/>
    <w:rsid w:val="00DB4274"/>
    <w:rsid w:val="00DB42A5"/>
    <w:rsid w:val="00DB5687"/>
    <w:rsid w:val="00DB5751"/>
    <w:rsid w:val="00DB6892"/>
    <w:rsid w:val="00DB7268"/>
    <w:rsid w:val="00DB7738"/>
    <w:rsid w:val="00DB7872"/>
    <w:rsid w:val="00DB7CD4"/>
    <w:rsid w:val="00DC04DC"/>
    <w:rsid w:val="00DC0822"/>
    <w:rsid w:val="00DC0B21"/>
    <w:rsid w:val="00DC0DA6"/>
    <w:rsid w:val="00DC1825"/>
    <w:rsid w:val="00DC21E6"/>
    <w:rsid w:val="00DC2F36"/>
    <w:rsid w:val="00DC3076"/>
    <w:rsid w:val="00DC3AAC"/>
    <w:rsid w:val="00DC4734"/>
    <w:rsid w:val="00DC47AC"/>
    <w:rsid w:val="00DC4B3B"/>
    <w:rsid w:val="00DC63DE"/>
    <w:rsid w:val="00DC68D6"/>
    <w:rsid w:val="00DC75A6"/>
    <w:rsid w:val="00DC79C2"/>
    <w:rsid w:val="00DD05FE"/>
    <w:rsid w:val="00DD06B4"/>
    <w:rsid w:val="00DD0920"/>
    <w:rsid w:val="00DD0AA0"/>
    <w:rsid w:val="00DD0AAB"/>
    <w:rsid w:val="00DD10D0"/>
    <w:rsid w:val="00DD1736"/>
    <w:rsid w:val="00DD1B5F"/>
    <w:rsid w:val="00DD2DB7"/>
    <w:rsid w:val="00DD3817"/>
    <w:rsid w:val="00DD4193"/>
    <w:rsid w:val="00DD4A0B"/>
    <w:rsid w:val="00DD51F6"/>
    <w:rsid w:val="00DD56A7"/>
    <w:rsid w:val="00DD583A"/>
    <w:rsid w:val="00DD6346"/>
    <w:rsid w:val="00DD67B6"/>
    <w:rsid w:val="00DD7DEC"/>
    <w:rsid w:val="00DE0434"/>
    <w:rsid w:val="00DE10FF"/>
    <w:rsid w:val="00DE179D"/>
    <w:rsid w:val="00DE1984"/>
    <w:rsid w:val="00DE1ADB"/>
    <w:rsid w:val="00DE1EE5"/>
    <w:rsid w:val="00DE4AB0"/>
    <w:rsid w:val="00DE503C"/>
    <w:rsid w:val="00DE50F1"/>
    <w:rsid w:val="00DE50FF"/>
    <w:rsid w:val="00DE5900"/>
    <w:rsid w:val="00DE610A"/>
    <w:rsid w:val="00DE61BC"/>
    <w:rsid w:val="00DE660E"/>
    <w:rsid w:val="00DE73C0"/>
    <w:rsid w:val="00DE77E3"/>
    <w:rsid w:val="00DE7833"/>
    <w:rsid w:val="00DF0A63"/>
    <w:rsid w:val="00DF145D"/>
    <w:rsid w:val="00DF2A96"/>
    <w:rsid w:val="00DF2EBB"/>
    <w:rsid w:val="00DF3FCB"/>
    <w:rsid w:val="00DF4F55"/>
    <w:rsid w:val="00DF5055"/>
    <w:rsid w:val="00DF56F8"/>
    <w:rsid w:val="00DF6039"/>
    <w:rsid w:val="00E00DE6"/>
    <w:rsid w:val="00E00E67"/>
    <w:rsid w:val="00E01C59"/>
    <w:rsid w:val="00E02147"/>
    <w:rsid w:val="00E0295C"/>
    <w:rsid w:val="00E03428"/>
    <w:rsid w:val="00E03C69"/>
    <w:rsid w:val="00E0423D"/>
    <w:rsid w:val="00E042B8"/>
    <w:rsid w:val="00E04743"/>
    <w:rsid w:val="00E05486"/>
    <w:rsid w:val="00E05AB8"/>
    <w:rsid w:val="00E064A4"/>
    <w:rsid w:val="00E06722"/>
    <w:rsid w:val="00E117E6"/>
    <w:rsid w:val="00E11D77"/>
    <w:rsid w:val="00E120D7"/>
    <w:rsid w:val="00E12901"/>
    <w:rsid w:val="00E1297E"/>
    <w:rsid w:val="00E12E91"/>
    <w:rsid w:val="00E12FB3"/>
    <w:rsid w:val="00E13FA8"/>
    <w:rsid w:val="00E1418F"/>
    <w:rsid w:val="00E1490E"/>
    <w:rsid w:val="00E158C5"/>
    <w:rsid w:val="00E15DBA"/>
    <w:rsid w:val="00E17650"/>
    <w:rsid w:val="00E20110"/>
    <w:rsid w:val="00E20120"/>
    <w:rsid w:val="00E2185A"/>
    <w:rsid w:val="00E22C80"/>
    <w:rsid w:val="00E23C69"/>
    <w:rsid w:val="00E24CE9"/>
    <w:rsid w:val="00E25832"/>
    <w:rsid w:val="00E25B20"/>
    <w:rsid w:val="00E266F8"/>
    <w:rsid w:val="00E30032"/>
    <w:rsid w:val="00E30D99"/>
    <w:rsid w:val="00E32110"/>
    <w:rsid w:val="00E32FA0"/>
    <w:rsid w:val="00E340B6"/>
    <w:rsid w:val="00E35E38"/>
    <w:rsid w:val="00E36295"/>
    <w:rsid w:val="00E36E58"/>
    <w:rsid w:val="00E36F4B"/>
    <w:rsid w:val="00E37AF1"/>
    <w:rsid w:val="00E40BC5"/>
    <w:rsid w:val="00E41EA7"/>
    <w:rsid w:val="00E44418"/>
    <w:rsid w:val="00E444CB"/>
    <w:rsid w:val="00E44755"/>
    <w:rsid w:val="00E449C9"/>
    <w:rsid w:val="00E45B44"/>
    <w:rsid w:val="00E45B8F"/>
    <w:rsid w:val="00E45FA5"/>
    <w:rsid w:val="00E46457"/>
    <w:rsid w:val="00E4677B"/>
    <w:rsid w:val="00E46E57"/>
    <w:rsid w:val="00E47C70"/>
    <w:rsid w:val="00E47F27"/>
    <w:rsid w:val="00E528AB"/>
    <w:rsid w:val="00E543C4"/>
    <w:rsid w:val="00E54D73"/>
    <w:rsid w:val="00E55251"/>
    <w:rsid w:val="00E55731"/>
    <w:rsid w:val="00E55BE1"/>
    <w:rsid w:val="00E56498"/>
    <w:rsid w:val="00E5655D"/>
    <w:rsid w:val="00E6049B"/>
    <w:rsid w:val="00E604EF"/>
    <w:rsid w:val="00E6074E"/>
    <w:rsid w:val="00E60A53"/>
    <w:rsid w:val="00E60D3C"/>
    <w:rsid w:val="00E6103B"/>
    <w:rsid w:val="00E61795"/>
    <w:rsid w:val="00E63766"/>
    <w:rsid w:val="00E63CA8"/>
    <w:rsid w:val="00E641C0"/>
    <w:rsid w:val="00E64651"/>
    <w:rsid w:val="00E655A9"/>
    <w:rsid w:val="00E65BA2"/>
    <w:rsid w:val="00E66DC1"/>
    <w:rsid w:val="00E6711E"/>
    <w:rsid w:val="00E70525"/>
    <w:rsid w:val="00E7085E"/>
    <w:rsid w:val="00E724EF"/>
    <w:rsid w:val="00E726FA"/>
    <w:rsid w:val="00E7285C"/>
    <w:rsid w:val="00E73344"/>
    <w:rsid w:val="00E73EBE"/>
    <w:rsid w:val="00E743F4"/>
    <w:rsid w:val="00E75BEA"/>
    <w:rsid w:val="00E77541"/>
    <w:rsid w:val="00E77A93"/>
    <w:rsid w:val="00E801EA"/>
    <w:rsid w:val="00E8036D"/>
    <w:rsid w:val="00E80F12"/>
    <w:rsid w:val="00E81A79"/>
    <w:rsid w:val="00E82600"/>
    <w:rsid w:val="00E82CE1"/>
    <w:rsid w:val="00E83F2D"/>
    <w:rsid w:val="00E86189"/>
    <w:rsid w:val="00E87203"/>
    <w:rsid w:val="00E87ACF"/>
    <w:rsid w:val="00E87B89"/>
    <w:rsid w:val="00E9016F"/>
    <w:rsid w:val="00E908C1"/>
    <w:rsid w:val="00E921F9"/>
    <w:rsid w:val="00E92963"/>
    <w:rsid w:val="00E92AC1"/>
    <w:rsid w:val="00E92AE9"/>
    <w:rsid w:val="00E92DF0"/>
    <w:rsid w:val="00E93139"/>
    <w:rsid w:val="00E93449"/>
    <w:rsid w:val="00E94F54"/>
    <w:rsid w:val="00E9664C"/>
    <w:rsid w:val="00E97E2A"/>
    <w:rsid w:val="00EA11D9"/>
    <w:rsid w:val="00EA11E4"/>
    <w:rsid w:val="00EA28DC"/>
    <w:rsid w:val="00EA38CB"/>
    <w:rsid w:val="00EA38D1"/>
    <w:rsid w:val="00EA3B9D"/>
    <w:rsid w:val="00EA4114"/>
    <w:rsid w:val="00EA47B5"/>
    <w:rsid w:val="00EA53B8"/>
    <w:rsid w:val="00EA6DDB"/>
    <w:rsid w:val="00EA71CA"/>
    <w:rsid w:val="00EB0C2E"/>
    <w:rsid w:val="00EB164F"/>
    <w:rsid w:val="00EB1718"/>
    <w:rsid w:val="00EB1F96"/>
    <w:rsid w:val="00EB2782"/>
    <w:rsid w:val="00EB2B47"/>
    <w:rsid w:val="00EB4386"/>
    <w:rsid w:val="00EB4487"/>
    <w:rsid w:val="00EB45C1"/>
    <w:rsid w:val="00EB4A25"/>
    <w:rsid w:val="00EB4E79"/>
    <w:rsid w:val="00EB5349"/>
    <w:rsid w:val="00EB5DD9"/>
    <w:rsid w:val="00EB6486"/>
    <w:rsid w:val="00EB6E1E"/>
    <w:rsid w:val="00EB73D6"/>
    <w:rsid w:val="00EC0529"/>
    <w:rsid w:val="00EC0D6B"/>
    <w:rsid w:val="00EC10C9"/>
    <w:rsid w:val="00EC1B96"/>
    <w:rsid w:val="00EC1F44"/>
    <w:rsid w:val="00EC2B38"/>
    <w:rsid w:val="00EC32FF"/>
    <w:rsid w:val="00EC371B"/>
    <w:rsid w:val="00EC5160"/>
    <w:rsid w:val="00EC54C4"/>
    <w:rsid w:val="00EC54C9"/>
    <w:rsid w:val="00ED02CF"/>
    <w:rsid w:val="00ED070E"/>
    <w:rsid w:val="00ED0908"/>
    <w:rsid w:val="00ED0D2E"/>
    <w:rsid w:val="00ED16AF"/>
    <w:rsid w:val="00ED1977"/>
    <w:rsid w:val="00ED1EAF"/>
    <w:rsid w:val="00ED27EC"/>
    <w:rsid w:val="00ED2A7E"/>
    <w:rsid w:val="00ED348B"/>
    <w:rsid w:val="00ED35AB"/>
    <w:rsid w:val="00ED35E4"/>
    <w:rsid w:val="00ED418C"/>
    <w:rsid w:val="00ED4F7A"/>
    <w:rsid w:val="00ED51B4"/>
    <w:rsid w:val="00ED520D"/>
    <w:rsid w:val="00ED5C7F"/>
    <w:rsid w:val="00ED75A6"/>
    <w:rsid w:val="00ED78BF"/>
    <w:rsid w:val="00ED7DD5"/>
    <w:rsid w:val="00EE0363"/>
    <w:rsid w:val="00EE0EB0"/>
    <w:rsid w:val="00EE14C5"/>
    <w:rsid w:val="00EE1556"/>
    <w:rsid w:val="00EE328A"/>
    <w:rsid w:val="00EE3640"/>
    <w:rsid w:val="00EE49D1"/>
    <w:rsid w:val="00EE5BA5"/>
    <w:rsid w:val="00EE6A4F"/>
    <w:rsid w:val="00EE72D6"/>
    <w:rsid w:val="00EF05B4"/>
    <w:rsid w:val="00EF0641"/>
    <w:rsid w:val="00EF0C5B"/>
    <w:rsid w:val="00EF0E96"/>
    <w:rsid w:val="00EF0EDF"/>
    <w:rsid w:val="00EF1E1D"/>
    <w:rsid w:val="00EF26FE"/>
    <w:rsid w:val="00EF2A1E"/>
    <w:rsid w:val="00EF36B4"/>
    <w:rsid w:val="00EF3929"/>
    <w:rsid w:val="00EF587A"/>
    <w:rsid w:val="00EF6255"/>
    <w:rsid w:val="00EF67A6"/>
    <w:rsid w:val="00EF6843"/>
    <w:rsid w:val="00EF6D9F"/>
    <w:rsid w:val="00EF6FA6"/>
    <w:rsid w:val="00EF711F"/>
    <w:rsid w:val="00EF79C0"/>
    <w:rsid w:val="00F00876"/>
    <w:rsid w:val="00F01428"/>
    <w:rsid w:val="00F01F39"/>
    <w:rsid w:val="00F02485"/>
    <w:rsid w:val="00F02D35"/>
    <w:rsid w:val="00F04BCF"/>
    <w:rsid w:val="00F0579C"/>
    <w:rsid w:val="00F05A0F"/>
    <w:rsid w:val="00F070F6"/>
    <w:rsid w:val="00F07533"/>
    <w:rsid w:val="00F112BE"/>
    <w:rsid w:val="00F11C47"/>
    <w:rsid w:val="00F12139"/>
    <w:rsid w:val="00F123F5"/>
    <w:rsid w:val="00F13929"/>
    <w:rsid w:val="00F13D3C"/>
    <w:rsid w:val="00F147BC"/>
    <w:rsid w:val="00F15CFF"/>
    <w:rsid w:val="00F1755A"/>
    <w:rsid w:val="00F17F74"/>
    <w:rsid w:val="00F201B7"/>
    <w:rsid w:val="00F20C4D"/>
    <w:rsid w:val="00F213D8"/>
    <w:rsid w:val="00F21D5F"/>
    <w:rsid w:val="00F232B0"/>
    <w:rsid w:val="00F238E8"/>
    <w:rsid w:val="00F23EAE"/>
    <w:rsid w:val="00F249A9"/>
    <w:rsid w:val="00F25373"/>
    <w:rsid w:val="00F25A82"/>
    <w:rsid w:val="00F261B4"/>
    <w:rsid w:val="00F26839"/>
    <w:rsid w:val="00F26F93"/>
    <w:rsid w:val="00F27CD6"/>
    <w:rsid w:val="00F30043"/>
    <w:rsid w:val="00F3012C"/>
    <w:rsid w:val="00F30368"/>
    <w:rsid w:val="00F31CAC"/>
    <w:rsid w:val="00F33038"/>
    <w:rsid w:val="00F33154"/>
    <w:rsid w:val="00F337E6"/>
    <w:rsid w:val="00F347E6"/>
    <w:rsid w:val="00F3483C"/>
    <w:rsid w:val="00F34E5D"/>
    <w:rsid w:val="00F36406"/>
    <w:rsid w:val="00F36EFC"/>
    <w:rsid w:val="00F41254"/>
    <w:rsid w:val="00F41F2F"/>
    <w:rsid w:val="00F42B04"/>
    <w:rsid w:val="00F42BD9"/>
    <w:rsid w:val="00F42D0C"/>
    <w:rsid w:val="00F44654"/>
    <w:rsid w:val="00F468DF"/>
    <w:rsid w:val="00F476A8"/>
    <w:rsid w:val="00F47BB9"/>
    <w:rsid w:val="00F47F49"/>
    <w:rsid w:val="00F5148E"/>
    <w:rsid w:val="00F521C3"/>
    <w:rsid w:val="00F5242F"/>
    <w:rsid w:val="00F52525"/>
    <w:rsid w:val="00F52D86"/>
    <w:rsid w:val="00F55169"/>
    <w:rsid w:val="00F556B5"/>
    <w:rsid w:val="00F556D4"/>
    <w:rsid w:val="00F55755"/>
    <w:rsid w:val="00F55E46"/>
    <w:rsid w:val="00F5626A"/>
    <w:rsid w:val="00F56839"/>
    <w:rsid w:val="00F61620"/>
    <w:rsid w:val="00F62C7D"/>
    <w:rsid w:val="00F65003"/>
    <w:rsid w:val="00F65359"/>
    <w:rsid w:val="00F657E2"/>
    <w:rsid w:val="00F6692D"/>
    <w:rsid w:val="00F66F87"/>
    <w:rsid w:val="00F6757C"/>
    <w:rsid w:val="00F67925"/>
    <w:rsid w:val="00F67F10"/>
    <w:rsid w:val="00F700A2"/>
    <w:rsid w:val="00F71CD0"/>
    <w:rsid w:val="00F726C9"/>
    <w:rsid w:val="00F7276C"/>
    <w:rsid w:val="00F7412A"/>
    <w:rsid w:val="00F80908"/>
    <w:rsid w:val="00F818B0"/>
    <w:rsid w:val="00F81DBC"/>
    <w:rsid w:val="00F83734"/>
    <w:rsid w:val="00F85792"/>
    <w:rsid w:val="00F86422"/>
    <w:rsid w:val="00F86AB3"/>
    <w:rsid w:val="00F878F4"/>
    <w:rsid w:val="00F90398"/>
    <w:rsid w:val="00F90C44"/>
    <w:rsid w:val="00F911BB"/>
    <w:rsid w:val="00F91BF3"/>
    <w:rsid w:val="00F923BB"/>
    <w:rsid w:val="00F928D1"/>
    <w:rsid w:val="00F92FAB"/>
    <w:rsid w:val="00F93A85"/>
    <w:rsid w:val="00F93D09"/>
    <w:rsid w:val="00F94250"/>
    <w:rsid w:val="00F95439"/>
    <w:rsid w:val="00F95855"/>
    <w:rsid w:val="00F96AF5"/>
    <w:rsid w:val="00F97042"/>
    <w:rsid w:val="00F973A6"/>
    <w:rsid w:val="00F9743C"/>
    <w:rsid w:val="00F9744C"/>
    <w:rsid w:val="00F975FE"/>
    <w:rsid w:val="00F97859"/>
    <w:rsid w:val="00FA06E2"/>
    <w:rsid w:val="00FA0B58"/>
    <w:rsid w:val="00FA1048"/>
    <w:rsid w:val="00FA20F6"/>
    <w:rsid w:val="00FA3922"/>
    <w:rsid w:val="00FA3D8B"/>
    <w:rsid w:val="00FA4682"/>
    <w:rsid w:val="00FA4A18"/>
    <w:rsid w:val="00FA52AD"/>
    <w:rsid w:val="00FA6995"/>
    <w:rsid w:val="00FA6B52"/>
    <w:rsid w:val="00FA6CD3"/>
    <w:rsid w:val="00FA7788"/>
    <w:rsid w:val="00FA77E2"/>
    <w:rsid w:val="00FA7B42"/>
    <w:rsid w:val="00FA7F77"/>
    <w:rsid w:val="00FB065F"/>
    <w:rsid w:val="00FB0AB2"/>
    <w:rsid w:val="00FB2466"/>
    <w:rsid w:val="00FB2B07"/>
    <w:rsid w:val="00FB4708"/>
    <w:rsid w:val="00FB5E65"/>
    <w:rsid w:val="00FB6309"/>
    <w:rsid w:val="00FB7E50"/>
    <w:rsid w:val="00FC10CA"/>
    <w:rsid w:val="00FC1606"/>
    <w:rsid w:val="00FC1710"/>
    <w:rsid w:val="00FC19B7"/>
    <w:rsid w:val="00FC305D"/>
    <w:rsid w:val="00FC3437"/>
    <w:rsid w:val="00FC3CDD"/>
    <w:rsid w:val="00FC4490"/>
    <w:rsid w:val="00FC4B56"/>
    <w:rsid w:val="00FC652F"/>
    <w:rsid w:val="00FC7DEB"/>
    <w:rsid w:val="00FD0DD8"/>
    <w:rsid w:val="00FD1470"/>
    <w:rsid w:val="00FD14AC"/>
    <w:rsid w:val="00FD17CE"/>
    <w:rsid w:val="00FD1A58"/>
    <w:rsid w:val="00FD23E8"/>
    <w:rsid w:val="00FD2F3C"/>
    <w:rsid w:val="00FD3C86"/>
    <w:rsid w:val="00FD3F04"/>
    <w:rsid w:val="00FD4934"/>
    <w:rsid w:val="00FD493D"/>
    <w:rsid w:val="00FD62EB"/>
    <w:rsid w:val="00FD709B"/>
    <w:rsid w:val="00FE07C9"/>
    <w:rsid w:val="00FE0D99"/>
    <w:rsid w:val="00FE1623"/>
    <w:rsid w:val="00FE247E"/>
    <w:rsid w:val="00FE270C"/>
    <w:rsid w:val="00FE2B74"/>
    <w:rsid w:val="00FE38C8"/>
    <w:rsid w:val="00FE4261"/>
    <w:rsid w:val="00FE468F"/>
    <w:rsid w:val="00FE6677"/>
    <w:rsid w:val="00FE69EC"/>
    <w:rsid w:val="00FF0284"/>
    <w:rsid w:val="00FF03F1"/>
    <w:rsid w:val="00FF0DDE"/>
    <w:rsid w:val="00FF0F84"/>
    <w:rsid w:val="00FF125F"/>
    <w:rsid w:val="00FF173A"/>
    <w:rsid w:val="00FF34F6"/>
    <w:rsid w:val="00FF4B3C"/>
    <w:rsid w:val="00FF5000"/>
    <w:rsid w:val="00FF5D5D"/>
    <w:rsid w:val="00FF6248"/>
    <w:rsid w:val="00FF7C01"/>
    <w:rsid w:val="00FF7C8D"/>
    <w:rsid w:val="014CE93E"/>
    <w:rsid w:val="01676B11"/>
    <w:rsid w:val="019A2BFB"/>
    <w:rsid w:val="01A74AF5"/>
    <w:rsid w:val="01DA55B8"/>
    <w:rsid w:val="01E071DF"/>
    <w:rsid w:val="01E53C65"/>
    <w:rsid w:val="01EC3E9F"/>
    <w:rsid w:val="01FCC96A"/>
    <w:rsid w:val="02382320"/>
    <w:rsid w:val="025B5B59"/>
    <w:rsid w:val="0292D882"/>
    <w:rsid w:val="02B320B6"/>
    <w:rsid w:val="02B9081F"/>
    <w:rsid w:val="02D86F81"/>
    <w:rsid w:val="02E6AEE7"/>
    <w:rsid w:val="03491602"/>
    <w:rsid w:val="036B6602"/>
    <w:rsid w:val="038366E1"/>
    <w:rsid w:val="03B7522B"/>
    <w:rsid w:val="03BABBB4"/>
    <w:rsid w:val="03D53FCE"/>
    <w:rsid w:val="03D7340A"/>
    <w:rsid w:val="0414297F"/>
    <w:rsid w:val="041EA94D"/>
    <w:rsid w:val="0425D9AB"/>
    <w:rsid w:val="047B20FC"/>
    <w:rsid w:val="0494C04E"/>
    <w:rsid w:val="04C2A05E"/>
    <w:rsid w:val="04E13ABF"/>
    <w:rsid w:val="04E8B8E5"/>
    <w:rsid w:val="04F43B78"/>
    <w:rsid w:val="04FAD28A"/>
    <w:rsid w:val="0522D315"/>
    <w:rsid w:val="0530566D"/>
    <w:rsid w:val="054AACF0"/>
    <w:rsid w:val="06023D00"/>
    <w:rsid w:val="06A2F754"/>
    <w:rsid w:val="06A646A8"/>
    <w:rsid w:val="06AE8925"/>
    <w:rsid w:val="06B28AFC"/>
    <w:rsid w:val="06E38CE0"/>
    <w:rsid w:val="06E491F5"/>
    <w:rsid w:val="06F1A666"/>
    <w:rsid w:val="06F5FFF3"/>
    <w:rsid w:val="0734E73B"/>
    <w:rsid w:val="0767F193"/>
    <w:rsid w:val="077338E0"/>
    <w:rsid w:val="078356B5"/>
    <w:rsid w:val="07BB471E"/>
    <w:rsid w:val="07F5FCC8"/>
    <w:rsid w:val="08242B1E"/>
    <w:rsid w:val="084006F0"/>
    <w:rsid w:val="08472A51"/>
    <w:rsid w:val="084B59CA"/>
    <w:rsid w:val="08561806"/>
    <w:rsid w:val="085730A7"/>
    <w:rsid w:val="08737E70"/>
    <w:rsid w:val="08D5AF13"/>
    <w:rsid w:val="08E72869"/>
    <w:rsid w:val="08F55D9E"/>
    <w:rsid w:val="09279F74"/>
    <w:rsid w:val="093E8E61"/>
    <w:rsid w:val="09512168"/>
    <w:rsid w:val="09653B37"/>
    <w:rsid w:val="09680A40"/>
    <w:rsid w:val="099501D3"/>
    <w:rsid w:val="0997B26E"/>
    <w:rsid w:val="09CADF9C"/>
    <w:rsid w:val="09D25B67"/>
    <w:rsid w:val="09F4ADCC"/>
    <w:rsid w:val="0A06740E"/>
    <w:rsid w:val="0A33B041"/>
    <w:rsid w:val="0A46DA22"/>
    <w:rsid w:val="0A574367"/>
    <w:rsid w:val="0A677639"/>
    <w:rsid w:val="0AD2F6A3"/>
    <w:rsid w:val="0AE1BF85"/>
    <w:rsid w:val="0AE75A56"/>
    <w:rsid w:val="0AF795FD"/>
    <w:rsid w:val="0B0FF023"/>
    <w:rsid w:val="0B10626C"/>
    <w:rsid w:val="0B4F4F49"/>
    <w:rsid w:val="0B836330"/>
    <w:rsid w:val="0BAF9668"/>
    <w:rsid w:val="0BC1A4C2"/>
    <w:rsid w:val="0BCA9EB3"/>
    <w:rsid w:val="0BD2CA69"/>
    <w:rsid w:val="0C4152E1"/>
    <w:rsid w:val="0C509032"/>
    <w:rsid w:val="0C867CD3"/>
    <w:rsid w:val="0CAAA772"/>
    <w:rsid w:val="0CBC9714"/>
    <w:rsid w:val="0CC84593"/>
    <w:rsid w:val="0CE3FA0A"/>
    <w:rsid w:val="0CE871F7"/>
    <w:rsid w:val="0D310DF5"/>
    <w:rsid w:val="0D72FE64"/>
    <w:rsid w:val="0D97E65C"/>
    <w:rsid w:val="0DE0FE07"/>
    <w:rsid w:val="0DF4F0A1"/>
    <w:rsid w:val="0E10B14D"/>
    <w:rsid w:val="0E10E05F"/>
    <w:rsid w:val="0E733649"/>
    <w:rsid w:val="0E98B17C"/>
    <w:rsid w:val="0EB1B29E"/>
    <w:rsid w:val="0EC6EE01"/>
    <w:rsid w:val="0ECB6EEB"/>
    <w:rsid w:val="0ED5F089"/>
    <w:rsid w:val="0EFB536A"/>
    <w:rsid w:val="0F115CEC"/>
    <w:rsid w:val="0F1565FE"/>
    <w:rsid w:val="0F9359AA"/>
    <w:rsid w:val="0FAC81AE"/>
    <w:rsid w:val="104E9848"/>
    <w:rsid w:val="1067EA03"/>
    <w:rsid w:val="10A10DEF"/>
    <w:rsid w:val="10B90BD2"/>
    <w:rsid w:val="10D4E0D7"/>
    <w:rsid w:val="10DDAB40"/>
    <w:rsid w:val="10E57A98"/>
    <w:rsid w:val="112A7C4B"/>
    <w:rsid w:val="1172E407"/>
    <w:rsid w:val="11B19FFD"/>
    <w:rsid w:val="11BA5011"/>
    <w:rsid w:val="11C04E49"/>
    <w:rsid w:val="11D852E2"/>
    <w:rsid w:val="11DBE3B6"/>
    <w:rsid w:val="11DEE985"/>
    <w:rsid w:val="11FE0E6C"/>
    <w:rsid w:val="120B00A1"/>
    <w:rsid w:val="120C163E"/>
    <w:rsid w:val="120EEF3E"/>
    <w:rsid w:val="12579C3A"/>
    <w:rsid w:val="125ADFE0"/>
    <w:rsid w:val="1291918A"/>
    <w:rsid w:val="12BDCFEC"/>
    <w:rsid w:val="12DEA097"/>
    <w:rsid w:val="12F66879"/>
    <w:rsid w:val="13385CBF"/>
    <w:rsid w:val="13D4B8F3"/>
    <w:rsid w:val="13EFDE3C"/>
    <w:rsid w:val="142706ED"/>
    <w:rsid w:val="145E7A19"/>
    <w:rsid w:val="14719C7A"/>
    <w:rsid w:val="149031F4"/>
    <w:rsid w:val="14951F22"/>
    <w:rsid w:val="14D66C95"/>
    <w:rsid w:val="1512655B"/>
    <w:rsid w:val="1518E0E6"/>
    <w:rsid w:val="152DA8F6"/>
    <w:rsid w:val="156C0D8C"/>
    <w:rsid w:val="158BA0FD"/>
    <w:rsid w:val="15A74884"/>
    <w:rsid w:val="160E6781"/>
    <w:rsid w:val="161BC332"/>
    <w:rsid w:val="162DD9D1"/>
    <w:rsid w:val="16466485"/>
    <w:rsid w:val="1677736F"/>
    <w:rsid w:val="16B604F5"/>
    <w:rsid w:val="16FA8466"/>
    <w:rsid w:val="1719377B"/>
    <w:rsid w:val="17675D64"/>
    <w:rsid w:val="17AC5D17"/>
    <w:rsid w:val="17C14DC7"/>
    <w:rsid w:val="17DA513F"/>
    <w:rsid w:val="18060DCE"/>
    <w:rsid w:val="18221173"/>
    <w:rsid w:val="18412CC9"/>
    <w:rsid w:val="18457FE9"/>
    <w:rsid w:val="186701DC"/>
    <w:rsid w:val="18A79804"/>
    <w:rsid w:val="18A95FEB"/>
    <w:rsid w:val="18AAF55A"/>
    <w:rsid w:val="18B14D71"/>
    <w:rsid w:val="18BA0FD3"/>
    <w:rsid w:val="18E1A19C"/>
    <w:rsid w:val="18EEC42A"/>
    <w:rsid w:val="191F8AEE"/>
    <w:rsid w:val="19234B52"/>
    <w:rsid w:val="198AE7B1"/>
    <w:rsid w:val="19F4EB85"/>
    <w:rsid w:val="19F50891"/>
    <w:rsid w:val="19FC7766"/>
    <w:rsid w:val="1A06D68C"/>
    <w:rsid w:val="1A16B55E"/>
    <w:rsid w:val="1A40A425"/>
    <w:rsid w:val="1A4E2DEF"/>
    <w:rsid w:val="1A949571"/>
    <w:rsid w:val="1AB9143B"/>
    <w:rsid w:val="1AE2EE9F"/>
    <w:rsid w:val="1AFA3184"/>
    <w:rsid w:val="1AFCF04F"/>
    <w:rsid w:val="1B1112CE"/>
    <w:rsid w:val="1B8A8D8E"/>
    <w:rsid w:val="1B9B9D84"/>
    <w:rsid w:val="1BA0C99B"/>
    <w:rsid w:val="1BA1B0CB"/>
    <w:rsid w:val="1BF8C3DA"/>
    <w:rsid w:val="1C25329C"/>
    <w:rsid w:val="1C40A040"/>
    <w:rsid w:val="1C9778DE"/>
    <w:rsid w:val="1CD47779"/>
    <w:rsid w:val="1CD78389"/>
    <w:rsid w:val="1D490E11"/>
    <w:rsid w:val="1D6939FA"/>
    <w:rsid w:val="1DCE6FF5"/>
    <w:rsid w:val="1E31519B"/>
    <w:rsid w:val="1E32A445"/>
    <w:rsid w:val="1E33781D"/>
    <w:rsid w:val="1E6AC500"/>
    <w:rsid w:val="1E6C46D5"/>
    <w:rsid w:val="1EC660FB"/>
    <w:rsid w:val="1EC879B4"/>
    <w:rsid w:val="1ECD9840"/>
    <w:rsid w:val="1ECE8ED7"/>
    <w:rsid w:val="1EE1758C"/>
    <w:rsid w:val="1EE1BEC5"/>
    <w:rsid w:val="1F2FE830"/>
    <w:rsid w:val="1F611DC9"/>
    <w:rsid w:val="1F79D4D8"/>
    <w:rsid w:val="1F7E81BC"/>
    <w:rsid w:val="1F822DE7"/>
    <w:rsid w:val="1FB7618C"/>
    <w:rsid w:val="1FDA7F15"/>
    <w:rsid w:val="1FFB04E6"/>
    <w:rsid w:val="201CC2A0"/>
    <w:rsid w:val="201FA0BE"/>
    <w:rsid w:val="20258387"/>
    <w:rsid w:val="2047284D"/>
    <w:rsid w:val="204A4FB8"/>
    <w:rsid w:val="2059D856"/>
    <w:rsid w:val="205FAE3B"/>
    <w:rsid w:val="20CDC965"/>
    <w:rsid w:val="20F47144"/>
    <w:rsid w:val="2136F725"/>
    <w:rsid w:val="2146F73B"/>
    <w:rsid w:val="21669A8B"/>
    <w:rsid w:val="21D4284E"/>
    <w:rsid w:val="21D5A6F2"/>
    <w:rsid w:val="21E45F7F"/>
    <w:rsid w:val="21F5A8B7"/>
    <w:rsid w:val="21FE460C"/>
    <w:rsid w:val="2202433A"/>
    <w:rsid w:val="2209DAA5"/>
    <w:rsid w:val="221BA7DC"/>
    <w:rsid w:val="22639D7F"/>
    <w:rsid w:val="2278CF8A"/>
    <w:rsid w:val="228F891B"/>
    <w:rsid w:val="229DBACF"/>
    <w:rsid w:val="22C0BA72"/>
    <w:rsid w:val="22CC1985"/>
    <w:rsid w:val="22DB25B3"/>
    <w:rsid w:val="22DD12D6"/>
    <w:rsid w:val="22DE798E"/>
    <w:rsid w:val="231E275B"/>
    <w:rsid w:val="234425FF"/>
    <w:rsid w:val="2348949A"/>
    <w:rsid w:val="2352E5CA"/>
    <w:rsid w:val="2353428E"/>
    <w:rsid w:val="236313D2"/>
    <w:rsid w:val="236BCEE7"/>
    <w:rsid w:val="236BEA2B"/>
    <w:rsid w:val="236FC825"/>
    <w:rsid w:val="23AB61AA"/>
    <w:rsid w:val="23B6B068"/>
    <w:rsid w:val="23B7A15D"/>
    <w:rsid w:val="23DC1C4B"/>
    <w:rsid w:val="23EE8C8C"/>
    <w:rsid w:val="23FDFE20"/>
    <w:rsid w:val="240D4F9B"/>
    <w:rsid w:val="244A6649"/>
    <w:rsid w:val="246E820E"/>
    <w:rsid w:val="2479D052"/>
    <w:rsid w:val="24C0B63D"/>
    <w:rsid w:val="25161A21"/>
    <w:rsid w:val="251C1B55"/>
    <w:rsid w:val="251FDAAB"/>
    <w:rsid w:val="252132C7"/>
    <w:rsid w:val="253E275B"/>
    <w:rsid w:val="255F1AB3"/>
    <w:rsid w:val="25C3EBA0"/>
    <w:rsid w:val="25C4AAAF"/>
    <w:rsid w:val="26091919"/>
    <w:rsid w:val="26253743"/>
    <w:rsid w:val="2626AC97"/>
    <w:rsid w:val="264333D4"/>
    <w:rsid w:val="266354C9"/>
    <w:rsid w:val="267CFEDF"/>
    <w:rsid w:val="267FDB55"/>
    <w:rsid w:val="2689D2BA"/>
    <w:rsid w:val="269C8889"/>
    <w:rsid w:val="26A464B1"/>
    <w:rsid w:val="26D1F657"/>
    <w:rsid w:val="2709DE73"/>
    <w:rsid w:val="27156507"/>
    <w:rsid w:val="272356B2"/>
    <w:rsid w:val="2745224B"/>
    <w:rsid w:val="27591A9D"/>
    <w:rsid w:val="27938F61"/>
    <w:rsid w:val="27A2712D"/>
    <w:rsid w:val="28644069"/>
    <w:rsid w:val="28709293"/>
    <w:rsid w:val="288B2765"/>
    <w:rsid w:val="2895F00B"/>
    <w:rsid w:val="2896746A"/>
    <w:rsid w:val="28BC5D15"/>
    <w:rsid w:val="28C1431F"/>
    <w:rsid w:val="28C264E7"/>
    <w:rsid w:val="28D09DD3"/>
    <w:rsid w:val="28D2E756"/>
    <w:rsid w:val="28DBF27C"/>
    <w:rsid w:val="28FFC8C0"/>
    <w:rsid w:val="29149DA8"/>
    <w:rsid w:val="298B22B5"/>
    <w:rsid w:val="29C6DC38"/>
    <w:rsid w:val="29CA7D21"/>
    <w:rsid w:val="2A27A023"/>
    <w:rsid w:val="2A29751F"/>
    <w:rsid w:val="2A2CAEED"/>
    <w:rsid w:val="2A884B55"/>
    <w:rsid w:val="2AA172B1"/>
    <w:rsid w:val="2AE0EA5D"/>
    <w:rsid w:val="2AED75D0"/>
    <w:rsid w:val="2AF67676"/>
    <w:rsid w:val="2AF75777"/>
    <w:rsid w:val="2AFC817B"/>
    <w:rsid w:val="2B016F90"/>
    <w:rsid w:val="2B3F0BA3"/>
    <w:rsid w:val="2B534C78"/>
    <w:rsid w:val="2B5ED1BB"/>
    <w:rsid w:val="2BA3B3E9"/>
    <w:rsid w:val="2BBC60F5"/>
    <w:rsid w:val="2BE1DDF5"/>
    <w:rsid w:val="2C0C2A2F"/>
    <w:rsid w:val="2C13A33A"/>
    <w:rsid w:val="2C3BA902"/>
    <w:rsid w:val="2C7AEDDF"/>
    <w:rsid w:val="2C9DF51E"/>
    <w:rsid w:val="2CA2CBB8"/>
    <w:rsid w:val="2CCD72C7"/>
    <w:rsid w:val="2CE7B9E2"/>
    <w:rsid w:val="2CF058BF"/>
    <w:rsid w:val="2CF7BDB4"/>
    <w:rsid w:val="2CF8423C"/>
    <w:rsid w:val="2D29187F"/>
    <w:rsid w:val="2D425E91"/>
    <w:rsid w:val="2D45B537"/>
    <w:rsid w:val="2D563F48"/>
    <w:rsid w:val="2DF676AE"/>
    <w:rsid w:val="2DF6C362"/>
    <w:rsid w:val="2E31B4F5"/>
    <w:rsid w:val="2E45D0FE"/>
    <w:rsid w:val="2E465880"/>
    <w:rsid w:val="2E5F6225"/>
    <w:rsid w:val="2E723272"/>
    <w:rsid w:val="2E803B52"/>
    <w:rsid w:val="2E98B158"/>
    <w:rsid w:val="2E9F800D"/>
    <w:rsid w:val="2E9FA6DF"/>
    <w:rsid w:val="2EA6B92F"/>
    <w:rsid w:val="2F1345C2"/>
    <w:rsid w:val="2F19E685"/>
    <w:rsid w:val="2F45F1A1"/>
    <w:rsid w:val="2F4EB6A3"/>
    <w:rsid w:val="2F5FE694"/>
    <w:rsid w:val="3010FD7B"/>
    <w:rsid w:val="3011A1C6"/>
    <w:rsid w:val="3012679A"/>
    <w:rsid w:val="3014B61E"/>
    <w:rsid w:val="305044BB"/>
    <w:rsid w:val="309CC214"/>
    <w:rsid w:val="30AE975E"/>
    <w:rsid w:val="30B23088"/>
    <w:rsid w:val="30C1ADA3"/>
    <w:rsid w:val="30FDDCD2"/>
    <w:rsid w:val="31375477"/>
    <w:rsid w:val="31C14D88"/>
    <w:rsid w:val="31CFB377"/>
    <w:rsid w:val="31E40437"/>
    <w:rsid w:val="326FE3D8"/>
    <w:rsid w:val="32AAF145"/>
    <w:rsid w:val="32B8F832"/>
    <w:rsid w:val="32E89AD2"/>
    <w:rsid w:val="32ECB854"/>
    <w:rsid w:val="32F33374"/>
    <w:rsid w:val="3361E334"/>
    <w:rsid w:val="337C3B35"/>
    <w:rsid w:val="338228E9"/>
    <w:rsid w:val="3389B32E"/>
    <w:rsid w:val="3391354A"/>
    <w:rsid w:val="339640B3"/>
    <w:rsid w:val="339B7416"/>
    <w:rsid w:val="339EE1AE"/>
    <w:rsid w:val="33A4DB48"/>
    <w:rsid w:val="33ADF80C"/>
    <w:rsid w:val="33C9C497"/>
    <w:rsid w:val="33D5C2A6"/>
    <w:rsid w:val="33D93918"/>
    <w:rsid w:val="33E63820"/>
    <w:rsid w:val="34019FEF"/>
    <w:rsid w:val="34257E0A"/>
    <w:rsid w:val="342830F7"/>
    <w:rsid w:val="3450FB28"/>
    <w:rsid w:val="34518F82"/>
    <w:rsid w:val="349A671E"/>
    <w:rsid w:val="34B8B0B4"/>
    <w:rsid w:val="34C0AA1B"/>
    <w:rsid w:val="34C6512C"/>
    <w:rsid w:val="3529B49F"/>
    <w:rsid w:val="352B0061"/>
    <w:rsid w:val="3542AC89"/>
    <w:rsid w:val="3601B355"/>
    <w:rsid w:val="36115751"/>
    <w:rsid w:val="36B58657"/>
    <w:rsid w:val="36B61A34"/>
    <w:rsid w:val="36C8DF58"/>
    <w:rsid w:val="36C9162E"/>
    <w:rsid w:val="3704564C"/>
    <w:rsid w:val="372910BC"/>
    <w:rsid w:val="373B5819"/>
    <w:rsid w:val="373CB67B"/>
    <w:rsid w:val="376AE803"/>
    <w:rsid w:val="37A0D899"/>
    <w:rsid w:val="37A1D716"/>
    <w:rsid w:val="37D6C353"/>
    <w:rsid w:val="37E0B486"/>
    <w:rsid w:val="37F3F4F8"/>
    <w:rsid w:val="37FA5AE9"/>
    <w:rsid w:val="37FB4136"/>
    <w:rsid w:val="38203268"/>
    <w:rsid w:val="38482A0B"/>
    <w:rsid w:val="38817BF8"/>
    <w:rsid w:val="38877CF6"/>
    <w:rsid w:val="388E4375"/>
    <w:rsid w:val="38989C58"/>
    <w:rsid w:val="38A5C6B3"/>
    <w:rsid w:val="38A7BAD4"/>
    <w:rsid w:val="38B0C324"/>
    <w:rsid w:val="38B76597"/>
    <w:rsid w:val="38BF59C0"/>
    <w:rsid w:val="390EE389"/>
    <w:rsid w:val="39199299"/>
    <w:rsid w:val="39291D61"/>
    <w:rsid w:val="392FE626"/>
    <w:rsid w:val="39834B56"/>
    <w:rsid w:val="39E28085"/>
    <w:rsid w:val="3A550CF0"/>
    <w:rsid w:val="3A5D020D"/>
    <w:rsid w:val="3A78A565"/>
    <w:rsid w:val="3A7AB128"/>
    <w:rsid w:val="3A8CB376"/>
    <w:rsid w:val="3A9929FC"/>
    <w:rsid w:val="3ADED12B"/>
    <w:rsid w:val="3B2B9FFD"/>
    <w:rsid w:val="3B30133D"/>
    <w:rsid w:val="3B3092FF"/>
    <w:rsid w:val="3B31A155"/>
    <w:rsid w:val="3B7FA2DA"/>
    <w:rsid w:val="3B94B0AC"/>
    <w:rsid w:val="3B9E3E6C"/>
    <w:rsid w:val="3BD2FE1F"/>
    <w:rsid w:val="3C019ACB"/>
    <w:rsid w:val="3C0AA4C9"/>
    <w:rsid w:val="3C198EA9"/>
    <w:rsid w:val="3C354856"/>
    <w:rsid w:val="3C5AB63B"/>
    <w:rsid w:val="3C726291"/>
    <w:rsid w:val="3C79BAFD"/>
    <w:rsid w:val="3C9126A2"/>
    <w:rsid w:val="3C92F53E"/>
    <w:rsid w:val="3C950D50"/>
    <w:rsid w:val="3CD7159E"/>
    <w:rsid w:val="3CDFDC4A"/>
    <w:rsid w:val="3CE07C55"/>
    <w:rsid w:val="3D0190F4"/>
    <w:rsid w:val="3D0895F4"/>
    <w:rsid w:val="3D17C320"/>
    <w:rsid w:val="3D563A60"/>
    <w:rsid w:val="3D9B3092"/>
    <w:rsid w:val="3DC075DA"/>
    <w:rsid w:val="3DDD15BF"/>
    <w:rsid w:val="3DEE0608"/>
    <w:rsid w:val="3E0AF0F6"/>
    <w:rsid w:val="3E2EEFA3"/>
    <w:rsid w:val="3E341629"/>
    <w:rsid w:val="3E9E8075"/>
    <w:rsid w:val="3EC664A9"/>
    <w:rsid w:val="3ECCC2DC"/>
    <w:rsid w:val="3EFA610B"/>
    <w:rsid w:val="3F0E96BA"/>
    <w:rsid w:val="3F8DF502"/>
    <w:rsid w:val="3FC39ABB"/>
    <w:rsid w:val="3FCA80C3"/>
    <w:rsid w:val="3FCF7EBC"/>
    <w:rsid w:val="3FD10912"/>
    <w:rsid w:val="4008F42F"/>
    <w:rsid w:val="400D3AAE"/>
    <w:rsid w:val="405EA691"/>
    <w:rsid w:val="4091212E"/>
    <w:rsid w:val="409852AA"/>
    <w:rsid w:val="40B8905C"/>
    <w:rsid w:val="40F7459F"/>
    <w:rsid w:val="41211829"/>
    <w:rsid w:val="412386F2"/>
    <w:rsid w:val="4126D20F"/>
    <w:rsid w:val="412DE012"/>
    <w:rsid w:val="41627BB3"/>
    <w:rsid w:val="41665124"/>
    <w:rsid w:val="416D02C4"/>
    <w:rsid w:val="418372C4"/>
    <w:rsid w:val="418A5ADE"/>
    <w:rsid w:val="41D011CA"/>
    <w:rsid w:val="41D9D3CF"/>
    <w:rsid w:val="41DD2354"/>
    <w:rsid w:val="41F60970"/>
    <w:rsid w:val="4239E1ED"/>
    <w:rsid w:val="4243677C"/>
    <w:rsid w:val="42604046"/>
    <w:rsid w:val="4261C0E2"/>
    <w:rsid w:val="428D146C"/>
    <w:rsid w:val="42AF0B84"/>
    <w:rsid w:val="42B8D8F1"/>
    <w:rsid w:val="42D71381"/>
    <w:rsid w:val="4315037D"/>
    <w:rsid w:val="4326B4F8"/>
    <w:rsid w:val="432E7726"/>
    <w:rsid w:val="43353414"/>
    <w:rsid w:val="43634750"/>
    <w:rsid w:val="436E547A"/>
    <w:rsid w:val="4370C1C2"/>
    <w:rsid w:val="438EA34F"/>
    <w:rsid w:val="43E4C108"/>
    <w:rsid w:val="43F7EE28"/>
    <w:rsid w:val="440A0081"/>
    <w:rsid w:val="4431E4E5"/>
    <w:rsid w:val="4474C236"/>
    <w:rsid w:val="447C1333"/>
    <w:rsid w:val="449319AE"/>
    <w:rsid w:val="449559F1"/>
    <w:rsid w:val="44CC1959"/>
    <w:rsid w:val="44D6A5BD"/>
    <w:rsid w:val="44E26D27"/>
    <w:rsid w:val="44F0552F"/>
    <w:rsid w:val="45090C16"/>
    <w:rsid w:val="451BC4E5"/>
    <w:rsid w:val="4526946A"/>
    <w:rsid w:val="4550EB1D"/>
    <w:rsid w:val="455618A6"/>
    <w:rsid w:val="45867837"/>
    <w:rsid w:val="458719E6"/>
    <w:rsid w:val="45D3D9E6"/>
    <w:rsid w:val="4626B723"/>
    <w:rsid w:val="4674B4FB"/>
    <w:rsid w:val="4676600B"/>
    <w:rsid w:val="46840BFF"/>
    <w:rsid w:val="471A6615"/>
    <w:rsid w:val="477B0533"/>
    <w:rsid w:val="478540DC"/>
    <w:rsid w:val="47A9FACC"/>
    <w:rsid w:val="47BDAFE8"/>
    <w:rsid w:val="480B29FC"/>
    <w:rsid w:val="48181710"/>
    <w:rsid w:val="481EC06E"/>
    <w:rsid w:val="48541E92"/>
    <w:rsid w:val="4857B74C"/>
    <w:rsid w:val="486F619B"/>
    <w:rsid w:val="48710145"/>
    <w:rsid w:val="487B161E"/>
    <w:rsid w:val="489CFFF4"/>
    <w:rsid w:val="48A9C481"/>
    <w:rsid w:val="48B4CAAD"/>
    <w:rsid w:val="48C00ED9"/>
    <w:rsid w:val="48C8E31C"/>
    <w:rsid w:val="48E4B21D"/>
    <w:rsid w:val="48FE4C3B"/>
    <w:rsid w:val="491106C1"/>
    <w:rsid w:val="491DF267"/>
    <w:rsid w:val="492A2BDB"/>
    <w:rsid w:val="498155F6"/>
    <w:rsid w:val="49972782"/>
    <w:rsid w:val="49A1B840"/>
    <w:rsid w:val="49C425EF"/>
    <w:rsid w:val="4A02A4AB"/>
    <w:rsid w:val="4A26C3C4"/>
    <w:rsid w:val="4A3F9CF7"/>
    <w:rsid w:val="4A408685"/>
    <w:rsid w:val="4A52C396"/>
    <w:rsid w:val="4A555A38"/>
    <w:rsid w:val="4A564E65"/>
    <w:rsid w:val="4A654FD9"/>
    <w:rsid w:val="4A696192"/>
    <w:rsid w:val="4AB6CD65"/>
    <w:rsid w:val="4AC8A402"/>
    <w:rsid w:val="4ACA8E80"/>
    <w:rsid w:val="4AE656F7"/>
    <w:rsid w:val="4AEAF565"/>
    <w:rsid w:val="4AEEA332"/>
    <w:rsid w:val="4B1CFB00"/>
    <w:rsid w:val="4B2AA113"/>
    <w:rsid w:val="4B375A3C"/>
    <w:rsid w:val="4B78C52C"/>
    <w:rsid w:val="4B880F68"/>
    <w:rsid w:val="4B88DACF"/>
    <w:rsid w:val="4BA99373"/>
    <w:rsid w:val="4BB31A67"/>
    <w:rsid w:val="4BBCDA6D"/>
    <w:rsid w:val="4C02C97E"/>
    <w:rsid w:val="4C342F10"/>
    <w:rsid w:val="4C3B9B01"/>
    <w:rsid w:val="4C4CCEE3"/>
    <w:rsid w:val="4C51A86F"/>
    <w:rsid w:val="4CC703AE"/>
    <w:rsid w:val="4CCAA29E"/>
    <w:rsid w:val="4CD78A5E"/>
    <w:rsid w:val="4CF96465"/>
    <w:rsid w:val="4D157630"/>
    <w:rsid w:val="4D271A3E"/>
    <w:rsid w:val="4D395060"/>
    <w:rsid w:val="4D77071D"/>
    <w:rsid w:val="4DD559BE"/>
    <w:rsid w:val="4E30E1F8"/>
    <w:rsid w:val="4E539239"/>
    <w:rsid w:val="4E5887E9"/>
    <w:rsid w:val="4E6C10E5"/>
    <w:rsid w:val="4E6CC590"/>
    <w:rsid w:val="4E79B9B7"/>
    <w:rsid w:val="4EA4A5BA"/>
    <w:rsid w:val="4EB15737"/>
    <w:rsid w:val="4EB827C0"/>
    <w:rsid w:val="4EBAB738"/>
    <w:rsid w:val="4EC5F134"/>
    <w:rsid w:val="4EC70B4B"/>
    <w:rsid w:val="4ECA5E73"/>
    <w:rsid w:val="4F1B084E"/>
    <w:rsid w:val="4F26A8AC"/>
    <w:rsid w:val="4F40E9FF"/>
    <w:rsid w:val="4F547A8D"/>
    <w:rsid w:val="4F7717D4"/>
    <w:rsid w:val="4F9F190F"/>
    <w:rsid w:val="4FBB8D1B"/>
    <w:rsid w:val="4FD9332B"/>
    <w:rsid w:val="4FFB07EE"/>
    <w:rsid w:val="5009F9DA"/>
    <w:rsid w:val="500EF73B"/>
    <w:rsid w:val="501AACBC"/>
    <w:rsid w:val="5087034F"/>
    <w:rsid w:val="508A7168"/>
    <w:rsid w:val="51115D19"/>
    <w:rsid w:val="51192058"/>
    <w:rsid w:val="513C28ED"/>
    <w:rsid w:val="515E263D"/>
    <w:rsid w:val="5166F80C"/>
    <w:rsid w:val="51843F33"/>
    <w:rsid w:val="51A6848F"/>
    <w:rsid w:val="51AAC9EB"/>
    <w:rsid w:val="51C2E63B"/>
    <w:rsid w:val="5218D4E6"/>
    <w:rsid w:val="522AD471"/>
    <w:rsid w:val="52788AC1"/>
    <w:rsid w:val="52D02C4C"/>
    <w:rsid w:val="532032D5"/>
    <w:rsid w:val="532378AE"/>
    <w:rsid w:val="533A8B26"/>
    <w:rsid w:val="533D2CE2"/>
    <w:rsid w:val="533F8208"/>
    <w:rsid w:val="539B8821"/>
    <w:rsid w:val="53BA3B46"/>
    <w:rsid w:val="53C94FDA"/>
    <w:rsid w:val="53D281F0"/>
    <w:rsid w:val="53E5ADEC"/>
    <w:rsid w:val="53F79B36"/>
    <w:rsid w:val="54116E09"/>
    <w:rsid w:val="54145B22"/>
    <w:rsid w:val="544C0C17"/>
    <w:rsid w:val="5454DBB8"/>
    <w:rsid w:val="54561E33"/>
    <w:rsid w:val="545E45F3"/>
    <w:rsid w:val="547CE9CD"/>
    <w:rsid w:val="54BB2E09"/>
    <w:rsid w:val="54BFEA56"/>
    <w:rsid w:val="54DF484D"/>
    <w:rsid w:val="54FEC46E"/>
    <w:rsid w:val="5508563C"/>
    <w:rsid w:val="550ECEA4"/>
    <w:rsid w:val="5550A672"/>
    <w:rsid w:val="55639EE6"/>
    <w:rsid w:val="558EB046"/>
    <w:rsid w:val="55931079"/>
    <w:rsid w:val="559BE98E"/>
    <w:rsid w:val="55D45C8F"/>
    <w:rsid w:val="55FBAE1B"/>
    <w:rsid w:val="560ECAFC"/>
    <w:rsid w:val="56545E2E"/>
    <w:rsid w:val="56A91EC9"/>
    <w:rsid w:val="56CBB403"/>
    <w:rsid w:val="56D49E58"/>
    <w:rsid w:val="56F7D1C7"/>
    <w:rsid w:val="57401579"/>
    <w:rsid w:val="5745D6CB"/>
    <w:rsid w:val="576F994A"/>
    <w:rsid w:val="577670F4"/>
    <w:rsid w:val="579316F5"/>
    <w:rsid w:val="579A47A3"/>
    <w:rsid w:val="57AC5361"/>
    <w:rsid w:val="57B39912"/>
    <w:rsid w:val="57BC9243"/>
    <w:rsid w:val="57C5EB8D"/>
    <w:rsid w:val="58231EB5"/>
    <w:rsid w:val="58652591"/>
    <w:rsid w:val="587B8867"/>
    <w:rsid w:val="58E509C3"/>
    <w:rsid w:val="5906E679"/>
    <w:rsid w:val="59158B52"/>
    <w:rsid w:val="5950891E"/>
    <w:rsid w:val="59637191"/>
    <w:rsid w:val="5999352F"/>
    <w:rsid w:val="59A1147D"/>
    <w:rsid w:val="59B5D1F0"/>
    <w:rsid w:val="59D487CA"/>
    <w:rsid w:val="59FB1ECB"/>
    <w:rsid w:val="5A1F40D2"/>
    <w:rsid w:val="5A2DC435"/>
    <w:rsid w:val="5A459623"/>
    <w:rsid w:val="5A7261CF"/>
    <w:rsid w:val="5B0DBFC4"/>
    <w:rsid w:val="5B480D79"/>
    <w:rsid w:val="5B528173"/>
    <w:rsid w:val="5B6915CE"/>
    <w:rsid w:val="5B8CDFB5"/>
    <w:rsid w:val="5BB3FBAF"/>
    <w:rsid w:val="5BB5351C"/>
    <w:rsid w:val="5C05DF50"/>
    <w:rsid w:val="5C114485"/>
    <w:rsid w:val="5C32B77E"/>
    <w:rsid w:val="5C37F821"/>
    <w:rsid w:val="5C3D9B94"/>
    <w:rsid w:val="5C428B68"/>
    <w:rsid w:val="5C60C3DE"/>
    <w:rsid w:val="5C82D7A3"/>
    <w:rsid w:val="5C9A0DDE"/>
    <w:rsid w:val="5CAC606E"/>
    <w:rsid w:val="5CF0F366"/>
    <w:rsid w:val="5D0D0AE1"/>
    <w:rsid w:val="5D422B6C"/>
    <w:rsid w:val="5D49CB20"/>
    <w:rsid w:val="5DB2D96C"/>
    <w:rsid w:val="5DBBA8F3"/>
    <w:rsid w:val="5DF057CE"/>
    <w:rsid w:val="5E05E33B"/>
    <w:rsid w:val="5E11CA0A"/>
    <w:rsid w:val="5E57E6F3"/>
    <w:rsid w:val="5ED7AC15"/>
    <w:rsid w:val="5EDE3F87"/>
    <w:rsid w:val="5F889D24"/>
    <w:rsid w:val="5FA05485"/>
    <w:rsid w:val="5FA3B551"/>
    <w:rsid w:val="5FC54AD8"/>
    <w:rsid w:val="600F9365"/>
    <w:rsid w:val="60376E13"/>
    <w:rsid w:val="604DA67F"/>
    <w:rsid w:val="6054F4AA"/>
    <w:rsid w:val="60A7DE00"/>
    <w:rsid w:val="60ACDA33"/>
    <w:rsid w:val="60DD6D45"/>
    <w:rsid w:val="60E18392"/>
    <w:rsid w:val="60E8A1C1"/>
    <w:rsid w:val="61169583"/>
    <w:rsid w:val="612C26D7"/>
    <w:rsid w:val="6145B701"/>
    <w:rsid w:val="616819EC"/>
    <w:rsid w:val="617DE7B3"/>
    <w:rsid w:val="619D2657"/>
    <w:rsid w:val="61E91F4E"/>
    <w:rsid w:val="61E9F42F"/>
    <w:rsid w:val="61F33484"/>
    <w:rsid w:val="61F7F4A6"/>
    <w:rsid w:val="6252EB30"/>
    <w:rsid w:val="62568A8F"/>
    <w:rsid w:val="626E8081"/>
    <w:rsid w:val="6277C6AD"/>
    <w:rsid w:val="62893CDD"/>
    <w:rsid w:val="6307F655"/>
    <w:rsid w:val="63234BF5"/>
    <w:rsid w:val="632A8BB5"/>
    <w:rsid w:val="632C2F62"/>
    <w:rsid w:val="637BD3D9"/>
    <w:rsid w:val="63C90995"/>
    <w:rsid w:val="63CF80B1"/>
    <w:rsid w:val="63E0CB0D"/>
    <w:rsid w:val="63FB4223"/>
    <w:rsid w:val="6419005B"/>
    <w:rsid w:val="642EC1EE"/>
    <w:rsid w:val="6434D3B0"/>
    <w:rsid w:val="6435BF84"/>
    <w:rsid w:val="6453093D"/>
    <w:rsid w:val="64567C5C"/>
    <w:rsid w:val="64A90ADA"/>
    <w:rsid w:val="64C7393B"/>
    <w:rsid w:val="64F963B9"/>
    <w:rsid w:val="657648AC"/>
    <w:rsid w:val="6586D08A"/>
    <w:rsid w:val="65B4D2C2"/>
    <w:rsid w:val="65B9DE8F"/>
    <w:rsid w:val="65F3770E"/>
    <w:rsid w:val="664F5D40"/>
    <w:rsid w:val="66786BC7"/>
    <w:rsid w:val="66DAD4C2"/>
    <w:rsid w:val="66E55664"/>
    <w:rsid w:val="6706B9AF"/>
    <w:rsid w:val="67366123"/>
    <w:rsid w:val="674B508A"/>
    <w:rsid w:val="6783369B"/>
    <w:rsid w:val="67A02BCA"/>
    <w:rsid w:val="67ED6995"/>
    <w:rsid w:val="68497C09"/>
    <w:rsid w:val="689A396C"/>
    <w:rsid w:val="68BE714C"/>
    <w:rsid w:val="68C03867"/>
    <w:rsid w:val="68F074D4"/>
    <w:rsid w:val="6905A7AA"/>
    <w:rsid w:val="691D6CF6"/>
    <w:rsid w:val="6948CBC3"/>
    <w:rsid w:val="696C1332"/>
    <w:rsid w:val="69737EE7"/>
    <w:rsid w:val="69BC0134"/>
    <w:rsid w:val="69CA40DA"/>
    <w:rsid w:val="6A0E08D9"/>
    <w:rsid w:val="6A2BBC54"/>
    <w:rsid w:val="6A43E8E3"/>
    <w:rsid w:val="6A67EC0C"/>
    <w:rsid w:val="6A7BD620"/>
    <w:rsid w:val="6A7F19F4"/>
    <w:rsid w:val="6A93D15B"/>
    <w:rsid w:val="6AAE36E0"/>
    <w:rsid w:val="6B03B5EC"/>
    <w:rsid w:val="6B147D91"/>
    <w:rsid w:val="6B57FB07"/>
    <w:rsid w:val="6B66972B"/>
    <w:rsid w:val="6BBDCE9E"/>
    <w:rsid w:val="6BCB75E9"/>
    <w:rsid w:val="6BCF02FA"/>
    <w:rsid w:val="6C282300"/>
    <w:rsid w:val="6C2DFE1D"/>
    <w:rsid w:val="6C3BF6D0"/>
    <w:rsid w:val="6C4536EF"/>
    <w:rsid w:val="6C78DE08"/>
    <w:rsid w:val="6C7EF830"/>
    <w:rsid w:val="6C80AE3B"/>
    <w:rsid w:val="6CA99DD6"/>
    <w:rsid w:val="6CB45F8D"/>
    <w:rsid w:val="6CB70AB7"/>
    <w:rsid w:val="6CB82C67"/>
    <w:rsid w:val="6CF72A21"/>
    <w:rsid w:val="6D607970"/>
    <w:rsid w:val="6D809159"/>
    <w:rsid w:val="6D8C92A6"/>
    <w:rsid w:val="6DB2603B"/>
    <w:rsid w:val="6DD6DEB9"/>
    <w:rsid w:val="6E18E8FA"/>
    <w:rsid w:val="6E1ABFAE"/>
    <w:rsid w:val="6E5FB8B5"/>
    <w:rsid w:val="6E60F56B"/>
    <w:rsid w:val="6E8B6556"/>
    <w:rsid w:val="6E8DC9FE"/>
    <w:rsid w:val="6EB0B33C"/>
    <w:rsid w:val="6EBEFF0C"/>
    <w:rsid w:val="6EE5C5FA"/>
    <w:rsid w:val="6F12A61C"/>
    <w:rsid w:val="6F146B88"/>
    <w:rsid w:val="6F21A6C1"/>
    <w:rsid w:val="6F520D63"/>
    <w:rsid w:val="6F6D5785"/>
    <w:rsid w:val="6FC0113A"/>
    <w:rsid w:val="6FEA6691"/>
    <w:rsid w:val="700E4015"/>
    <w:rsid w:val="700FB62A"/>
    <w:rsid w:val="702FA0E6"/>
    <w:rsid w:val="70D93102"/>
    <w:rsid w:val="710F7CD0"/>
    <w:rsid w:val="7141B1EE"/>
    <w:rsid w:val="71654993"/>
    <w:rsid w:val="7185E364"/>
    <w:rsid w:val="71D261B3"/>
    <w:rsid w:val="71F3F1F6"/>
    <w:rsid w:val="721C548B"/>
    <w:rsid w:val="721DDBD4"/>
    <w:rsid w:val="7238F37D"/>
    <w:rsid w:val="7252CD54"/>
    <w:rsid w:val="72694C01"/>
    <w:rsid w:val="7277B1B2"/>
    <w:rsid w:val="72782B6E"/>
    <w:rsid w:val="727F3473"/>
    <w:rsid w:val="728E4036"/>
    <w:rsid w:val="72A2DAD1"/>
    <w:rsid w:val="72A98B33"/>
    <w:rsid w:val="731282DC"/>
    <w:rsid w:val="731F8F76"/>
    <w:rsid w:val="732C4729"/>
    <w:rsid w:val="733FC6E2"/>
    <w:rsid w:val="7353EFBC"/>
    <w:rsid w:val="73714469"/>
    <w:rsid w:val="738309A6"/>
    <w:rsid w:val="7393239A"/>
    <w:rsid w:val="73F99F60"/>
    <w:rsid w:val="741411C3"/>
    <w:rsid w:val="74BE26D7"/>
    <w:rsid w:val="74F08A07"/>
    <w:rsid w:val="7513A3E3"/>
    <w:rsid w:val="753AB42F"/>
    <w:rsid w:val="755433EB"/>
    <w:rsid w:val="7556B26B"/>
    <w:rsid w:val="755ADE36"/>
    <w:rsid w:val="7584430A"/>
    <w:rsid w:val="759849F4"/>
    <w:rsid w:val="75ACB95F"/>
    <w:rsid w:val="75C0EDEC"/>
    <w:rsid w:val="75CE2869"/>
    <w:rsid w:val="765766B5"/>
    <w:rsid w:val="76588A8F"/>
    <w:rsid w:val="765B3E27"/>
    <w:rsid w:val="76644617"/>
    <w:rsid w:val="76A8E52B"/>
    <w:rsid w:val="76F116FF"/>
    <w:rsid w:val="76F6110E"/>
    <w:rsid w:val="76FAC041"/>
    <w:rsid w:val="7705CC91"/>
    <w:rsid w:val="7706A34B"/>
    <w:rsid w:val="771BB55E"/>
    <w:rsid w:val="7744E33E"/>
    <w:rsid w:val="7750AC4D"/>
    <w:rsid w:val="7764F73D"/>
    <w:rsid w:val="776F4F11"/>
    <w:rsid w:val="77A81A93"/>
    <w:rsid w:val="77B26E34"/>
    <w:rsid w:val="77F56CEE"/>
    <w:rsid w:val="78112151"/>
    <w:rsid w:val="7863563C"/>
    <w:rsid w:val="7884BC69"/>
    <w:rsid w:val="788CB013"/>
    <w:rsid w:val="78D6555F"/>
    <w:rsid w:val="78D7289C"/>
    <w:rsid w:val="7909C8BB"/>
    <w:rsid w:val="7911D8DE"/>
    <w:rsid w:val="7949F413"/>
    <w:rsid w:val="798B9A48"/>
    <w:rsid w:val="7999683B"/>
    <w:rsid w:val="79A083A3"/>
    <w:rsid w:val="79ACD69E"/>
    <w:rsid w:val="79B62029"/>
    <w:rsid w:val="79C90D32"/>
    <w:rsid w:val="79CE55E1"/>
    <w:rsid w:val="79E8B22B"/>
    <w:rsid w:val="79E9755C"/>
    <w:rsid w:val="7A0C9730"/>
    <w:rsid w:val="7A285C87"/>
    <w:rsid w:val="7A370D32"/>
    <w:rsid w:val="7A3E1155"/>
    <w:rsid w:val="7A790B74"/>
    <w:rsid w:val="7A9BD5F3"/>
    <w:rsid w:val="7ACBF0BD"/>
    <w:rsid w:val="7B0F29F1"/>
    <w:rsid w:val="7B12FFA5"/>
    <w:rsid w:val="7B1746C3"/>
    <w:rsid w:val="7B58D2E9"/>
    <w:rsid w:val="7B697459"/>
    <w:rsid w:val="7BC07657"/>
    <w:rsid w:val="7BD5A4AA"/>
    <w:rsid w:val="7C06FBBE"/>
    <w:rsid w:val="7C293EED"/>
    <w:rsid w:val="7C308329"/>
    <w:rsid w:val="7C4A6737"/>
    <w:rsid w:val="7C6E0652"/>
    <w:rsid w:val="7CA15CEB"/>
    <w:rsid w:val="7CB360CE"/>
    <w:rsid w:val="7D3789CF"/>
    <w:rsid w:val="7DB09A88"/>
    <w:rsid w:val="7DBF4346"/>
    <w:rsid w:val="7DC6F759"/>
    <w:rsid w:val="7DD2852D"/>
    <w:rsid w:val="7E260832"/>
    <w:rsid w:val="7E2D1568"/>
    <w:rsid w:val="7E473DE8"/>
    <w:rsid w:val="7EA783C7"/>
    <w:rsid w:val="7ED0E0F1"/>
    <w:rsid w:val="7EDC0D4F"/>
    <w:rsid w:val="7EE1096B"/>
    <w:rsid w:val="7F1FD254"/>
    <w:rsid w:val="7F20F7C9"/>
    <w:rsid w:val="7F36EE59"/>
    <w:rsid w:val="7F84CEF6"/>
    <w:rsid w:val="7F97D216"/>
    <w:rsid w:val="7F9CBA28"/>
    <w:rsid w:val="7FB17446"/>
    <w:rsid w:val="7FB230A9"/>
    <w:rsid w:val="7FC25568"/>
    <w:rsid w:val="7FC2DCB6"/>
    <w:rsid w:val="7FE2C20F"/>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B9D38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4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7D4E28"/>
    <w:rPr>
      <w:color w:val="0000FF"/>
      <w:shd w:val="clear" w:color="auto" w:fill="auto"/>
    </w:rPr>
  </w:style>
  <w:style w:type="paragraph" w:customStyle="1" w:styleId="Pagedecouverture">
    <w:name w:val="Page de couverture"/>
    <w:basedOn w:val="Normal"/>
    <w:next w:val="Normal"/>
    <w:rsid w:val="00EB5DD9"/>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rsid w:val="00EB5D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5DD9"/>
  </w:style>
  <w:style w:type="paragraph" w:styleId="Footer">
    <w:name w:val="footer"/>
    <w:basedOn w:val="Normal"/>
    <w:link w:val="FooterChar"/>
    <w:uiPriority w:val="99"/>
    <w:unhideWhenUsed/>
    <w:rsid w:val="00EB5D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5DD9"/>
  </w:style>
  <w:style w:type="paragraph" w:customStyle="1" w:styleId="FooterCoverPage">
    <w:name w:val="Footer Cover Page"/>
    <w:basedOn w:val="Normal"/>
    <w:link w:val="FooterCoverPageChar"/>
    <w:rsid w:val="00EB5DD9"/>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EB5DD9"/>
    <w:rPr>
      <w:rFonts w:ascii="Times New Roman" w:hAnsi="Times New Roman" w:cs="Times New Roman"/>
      <w:sz w:val="24"/>
    </w:rPr>
  </w:style>
  <w:style w:type="paragraph" w:customStyle="1" w:styleId="FooterSensitivity">
    <w:name w:val="Footer Sensitivity"/>
    <w:basedOn w:val="Normal"/>
    <w:link w:val="FooterSensitivityChar"/>
    <w:rsid w:val="00EB5DD9"/>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EB5DD9"/>
    <w:rPr>
      <w:rFonts w:ascii="Times New Roman" w:hAnsi="Times New Roman" w:cs="Times New Roman"/>
      <w:b/>
      <w:sz w:val="32"/>
    </w:rPr>
  </w:style>
  <w:style w:type="paragraph" w:customStyle="1" w:styleId="HeaderCoverPage">
    <w:name w:val="Header Cover Page"/>
    <w:basedOn w:val="Normal"/>
    <w:link w:val="HeaderCoverPageChar"/>
    <w:rsid w:val="00EB5DD9"/>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EB5DD9"/>
    <w:rPr>
      <w:rFonts w:ascii="Times New Roman" w:hAnsi="Times New Roman" w:cs="Times New Roman"/>
      <w:sz w:val="24"/>
    </w:rPr>
  </w:style>
  <w:style w:type="paragraph" w:customStyle="1" w:styleId="HeaderSensitivity">
    <w:name w:val="Header Sensitivity"/>
    <w:basedOn w:val="Normal"/>
    <w:link w:val="HeaderSensitivityChar"/>
    <w:rsid w:val="00EB5DD9"/>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EB5DD9"/>
    <w:rPr>
      <w:rFonts w:ascii="Times New Roman" w:hAnsi="Times New Roman" w:cs="Times New Roman"/>
      <w:b/>
      <w:sz w:val="32"/>
    </w:rPr>
  </w:style>
  <w:style w:type="paragraph" w:customStyle="1" w:styleId="HeaderSensitivityRight">
    <w:name w:val="Header Sensitivity Right"/>
    <w:basedOn w:val="Normal"/>
    <w:link w:val="HeaderSensitivityRightChar"/>
    <w:rsid w:val="00EB5DD9"/>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EB5DD9"/>
    <w:rPr>
      <w:rFonts w:ascii="Times New Roman" w:hAnsi="Times New Roman" w:cs="Times New Roman"/>
      <w:sz w:val="28"/>
    </w:rPr>
  </w:style>
  <w:style w:type="character" w:styleId="IntenseEmphasis">
    <w:name w:val="Intense Emphasis"/>
    <w:basedOn w:val="DefaultParagraphFont"/>
    <w:uiPriority w:val="21"/>
    <w:qFormat/>
    <w:rsid w:val="00A20468"/>
    <w:rPr>
      <w:i/>
      <w:iCs/>
      <w:color w:val="5B9BD5" w:themeColor="accent1"/>
    </w:rPr>
  </w:style>
  <w:style w:type="paragraph" w:customStyle="1" w:styleId="HeaderLandscape">
    <w:name w:val="HeaderLandscape"/>
    <w:basedOn w:val="Normal"/>
    <w:rsid w:val="00A20468"/>
    <w:pPr>
      <w:tabs>
        <w:tab w:val="center" w:pos="7285"/>
        <w:tab w:val="right" w:pos="14003"/>
      </w:tabs>
      <w:spacing w:after="120" w:line="240" w:lineRule="auto"/>
      <w:jc w:val="both"/>
    </w:pPr>
    <w:rPr>
      <w:rFonts w:ascii="Times New Roman" w:hAnsi="Times New Roman" w:cs="Times New Roman"/>
      <w:sz w:val="24"/>
    </w:rPr>
  </w:style>
  <w:style w:type="paragraph" w:customStyle="1" w:styleId="FooterLandscape">
    <w:name w:val="FooterLandscape"/>
    <w:basedOn w:val="Normal"/>
    <w:rsid w:val="00A20468"/>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Text1">
    <w:name w:val="Text 1"/>
    <w:basedOn w:val="Normal"/>
    <w:rsid w:val="00A20468"/>
    <w:pPr>
      <w:spacing w:before="120" w:after="120" w:line="240" w:lineRule="auto"/>
      <w:ind w:left="850"/>
      <w:jc w:val="both"/>
    </w:pPr>
    <w:rPr>
      <w:rFonts w:ascii="Times New Roman" w:hAnsi="Times New Roman" w:cs="Times New Roman"/>
      <w:sz w:val="24"/>
    </w:rPr>
  </w:style>
  <w:style w:type="paragraph" w:customStyle="1" w:styleId="NumPar1">
    <w:name w:val="NumPar 1"/>
    <w:basedOn w:val="Normal"/>
    <w:next w:val="Text1"/>
    <w:rsid w:val="00A20468"/>
    <w:pPr>
      <w:spacing w:before="120" w:after="120" w:line="240" w:lineRule="auto"/>
      <w:jc w:val="both"/>
    </w:pPr>
    <w:rPr>
      <w:rFonts w:ascii="Times New Roman" w:hAnsi="Times New Roman" w:cs="Times New Roman"/>
      <w:sz w:val="24"/>
    </w:rPr>
  </w:style>
  <w:style w:type="paragraph" w:customStyle="1" w:styleId="NumPar2">
    <w:name w:val="NumPar 2"/>
    <w:basedOn w:val="Normal"/>
    <w:next w:val="Text1"/>
    <w:rsid w:val="00A20468"/>
    <w:pPr>
      <w:spacing w:before="120" w:after="120" w:line="240" w:lineRule="auto"/>
      <w:jc w:val="both"/>
    </w:pPr>
    <w:rPr>
      <w:rFonts w:ascii="Times New Roman" w:hAnsi="Times New Roman" w:cs="Times New Roman"/>
      <w:sz w:val="24"/>
    </w:rPr>
  </w:style>
  <w:style w:type="paragraph" w:customStyle="1" w:styleId="NumPar3">
    <w:name w:val="NumPar 3"/>
    <w:basedOn w:val="Normal"/>
    <w:next w:val="Text1"/>
    <w:rsid w:val="00A20468"/>
    <w:pPr>
      <w:spacing w:before="120" w:after="120" w:line="240" w:lineRule="auto"/>
      <w:jc w:val="both"/>
    </w:pPr>
    <w:rPr>
      <w:rFonts w:ascii="Times New Roman" w:hAnsi="Times New Roman" w:cs="Times New Roman"/>
      <w:sz w:val="24"/>
    </w:rPr>
  </w:style>
  <w:style w:type="paragraph" w:customStyle="1" w:styleId="NumPar4">
    <w:name w:val="NumPar 4"/>
    <w:basedOn w:val="Normal"/>
    <w:next w:val="Text1"/>
    <w:rsid w:val="00A20468"/>
    <w:pPr>
      <w:spacing w:before="120" w:after="120" w:line="240" w:lineRule="auto"/>
      <w:jc w:val="both"/>
    </w:pPr>
    <w:rPr>
      <w:rFonts w:ascii="Times New Roman" w:hAnsi="Times New Roman" w:cs="Times New Roman"/>
      <w:sz w:val="24"/>
    </w:rPr>
  </w:style>
  <w:style w:type="paragraph" w:customStyle="1" w:styleId="ManualHeading1">
    <w:name w:val="Manual Heading 1"/>
    <w:basedOn w:val="Normal"/>
    <w:next w:val="Text1"/>
    <w:rsid w:val="00A20468"/>
    <w:pPr>
      <w:keepNext/>
      <w:tabs>
        <w:tab w:val="left" w:pos="850"/>
      </w:tabs>
      <w:spacing w:before="360" w:after="120" w:line="240" w:lineRule="auto"/>
      <w:ind w:left="850" w:hanging="850"/>
      <w:jc w:val="both"/>
      <w:outlineLvl w:val="0"/>
    </w:pPr>
    <w:rPr>
      <w:rFonts w:ascii="Times New Roman" w:hAnsi="Times New Roman" w:cs="Times New Roman"/>
      <w:b/>
      <w:smallCaps/>
      <w:sz w:val="24"/>
    </w:rPr>
  </w:style>
  <w:style w:type="paragraph" w:customStyle="1" w:styleId="Annexetitre">
    <w:name w:val="Annexe titre"/>
    <w:basedOn w:val="Normal"/>
    <w:next w:val="Normal"/>
    <w:rsid w:val="00A20468"/>
    <w:pPr>
      <w:spacing w:before="120" w:after="120" w:line="240" w:lineRule="auto"/>
      <w:jc w:val="center"/>
    </w:pPr>
    <w:rPr>
      <w:rFonts w:ascii="Times New Roman" w:hAnsi="Times New Roman" w:cs="Times New Roman"/>
      <w:b/>
      <w:sz w:val="24"/>
      <w:u w:val="single"/>
    </w:rPr>
  </w:style>
  <w:style w:type="paragraph" w:styleId="ListBullet">
    <w:name w:val="List Bullet"/>
    <w:basedOn w:val="Normal"/>
    <w:uiPriority w:val="99"/>
    <w:semiHidden/>
    <w:unhideWhenUsed/>
    <w:rsid w:val="00A20468"/>
    <w:pPr>
      <w:numPr>
        <w:numId w:val="2"/>
      </w:numPr>
      <w:spacing w:before="120" w:after="120" w:line="240" w:lineRule="auto"/>
      <w:contextualSpacing/>
      <w:jc w:val="both"/>
    </w:pPr>
    <w:rPr>
      <w:rFonts w:ascii="Times New Roman" w:hAnsi="Times New Roman" w:cs="Times New Roman"/>
      <w:sz w:val="24"/>
    </w:rPr>
  </w:style>
  <w:style w:type="paragraph" w:styleId="ListParagraph">
    <w:name w:val="List Paragraph"/>
    <w:aliases w:val="Bullet 3,ПАРАГРАФ,Bullet line,Style 1,C 1,Гл точки,Normal List,Endnote,Indent,Списък на абзаци"/>
    <w:basedOn w:val="Normal"/>
    <w:link w:val="ListParagraphChar"/>
    <w:uiPriority w:val="34"/>
    <w:qFormat/>
    <w:rsid w:val="00A00978"/>
    <w:pPr>
      <w:ind w:left="720"/>
      <w:contextualSpacing/>
    </w:pPr>
  </w:style>
  <w:style w:type="character" w:styleId="CommentReference">
    <w:name w:val="annotation reference"/>
    <w:basedOn w:val="DefaultParagraphFont"/>
    <w:uiPriority w:val="99"/>
    <w:unhideWhenUsed/>
    <w:rsid w:val="001F5EA8"/>
    <w:rPr>
      <w:sz w:val="16"/>
      <w:szCs w:val="16"/>
    </w:rPr>
  </w:style>
  <w:style w:type="paragraph" w:styleId="CommentText">
    <w:name w:val="annotation text"/>
    <w:basedOn w:val="Normal"/>
    <w:link w:val="CommentTextChar"/>
    <w:uiPriority w:val="99"/>
    <w:unhideWhenUsed/>
    <w:rsid w:val="001F5EA8"/>
    <w:pPr>
      <w:spacing w:line="240" w:lineRule="auto"/>
    </w:pPr>
    <w:rPr>
      <w:sz w:val="20"/>
      <w:szCs w:val="20"/>
    </w:rPr>
  </w:style>
  <w:style w:type="character" w:customStyle="1" w:styleId="CommentTextChar">
    <w:name w:val="Comment Text Char"/>
    <w:basedOn w:val="DefaultParagraphFont"/>
    <w:link w:val="CommentText"/>
    <w:uiPriority w:val="99"/>
    <w:rsid w:val="001F5EA8"/>
    <w:rPr>
      <w:sz w:val="20"/>
      <w:szCs w:val="20"/>
    </w:rPr>
  </w:style>
  <w:style w:type="paragraph" w:styleId="BalloonText">
    <w:name w:val="Balloon Text"/>
    <w:basedOn w:val="Normal"/>
    <w:link w:val="BalloonTextChar"/>
    <w:uiPriority w:val="99"/>
    <w:semiHidden/>
    <w:unhideWhenUsed/>
    <w:rsid w:val="001F5E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EA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D20DC"/>
    <w:rPr>
      <w:b/>
      <w:bCs/>
    </w:rPr>
  </w:style>
  <w:style w:type="character" w:customStyle="1" w:styleId="CommentSubjectChar">
    <w:name w:val="Comment Subject Char"/>
    <w:basedOn w:val="CommentTextChar"/>
    <w:link w:val="CommentSubject"/>
    <w:uiPriority w:val="99"/>
    <w:semiHidden/>
    <w:rsid w:val="002D20DC"/>
    <w:rPr>
      <w:b/>
      <w:bCs/>
      <w:sz w:val="20"/>
      <w:szCs w:val="20"/>
    </w:rPr>
  </w:style>
  <w:style w:type="paragraph" w:styleId="Revision">
    <w:name w:val="Revision"/>
    <w:hidden/>
    <w:uiPriority w:val="99"/>
    <w:semiHidden/>
    <w:rsid w:val="0058483A"/>
    <w:pPr>
      <w:spacing w:after="0" w:line="240" w:lineRule="auto"/>
    </w:pPr>
  </w:style>
  <w:style w:type="character" w:styleId="Hyperlink">
    <w:name w:val="Hyperlink"/>
    <w:basedOn w:val="DefaultParagraphFont"/>
    <w:uiPriority w:val="99"/>
    <w:unhideWhenUsed/>
    <w:rsid w:val="00DB5751"/>
    <w:rPr>
      <w:color w:val="0000FF"/>
      <w:u w:val="single"/>
    </w:rPr>
  </w:style>
  <w:style w:type="character" w:styleId="FollowedHyperlink">
    <w:name w:val="FollowedHyperlink"/>
    <w:basedOn w:val="DefaultParagraphFont"/>
    <w:uiPriority w:val="99"/>
    <w:semiHidden/>
    <w:unhideWhenUsed/>
    <w:rsid w:val="0043478E"/>
    <w:rPr>
      <w:color w:val="954F72" w:themeColor="followedHyperlink"/>
      <w:u w:val="single"/>
    </w:rPr>
  </w:style>
  <w:style w:type="paragraph" w:customStyle="1" w:styleId="paragraph">
    <w:name w:val="paragraph"/>
    <w:basedOn w:val="Normal"/>
    <w:rsid w:val="004463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46317"/>
  </w:style>
  <w:style w:type="character" w:customStyle="1" w:styleId="eop">
    <w:name w:val="eop"/>
    <w:basedOn w:val="DefaultParagraphFont"/>
    <w:rsid w:val="00446317"/>
  </w:style>
  <w:style w:type="paragraph" w:styleId="FootnoteText">
    <w:name w:val="footnote text"/>
    <w:aliases w:val="Podrozdział,stile 1,Footnote1,Footnote2,Footnote3,Footnote4,Footnote5,Footnote6,Footnote7,Footnote8,Footnote9,Footnote10,Footnote11,Footnote21,Footnote31,Footnote41,Footnote51,Footnote61,Footnote71,Footnote81,Footnote91,single s,fn"/>
    <w:basedOn w:val="Normal"/>
    <w:link w:val="FootnoteTextChar"/>
    <w:uiPriority w:val="99"/>
    <w:semiHidden/>
    <w:unhideWhenUsed/>
    <w:rsid w:val="00446317"/>
    <w:pPr>
      <w:spacing w:after="0" w:line="240" w:lineRule="auto"/>
    </w:pPr>
    <w:rPr>
      <w:sz w:val="20"/>
      <w:szCs w:val="20"/>
    </w:rPr>
  </w:style>
  <w:style w:type="character" w:customStyle="1" w:styleId="FootnoteTextChar">
    <w:name w:val="Footnote Text Char"/>
    <w:aliases w:val="Podrozdział Char,stile 1 Char,Footnote1 Char,Footnote2 Char,Footnote3 Char,Footnote4 Char,Footnote5 Char,Footnote6 Char,Footnote7 Char,Footnote8 Char,Footnote9 Char,Footnote10 Char,Footnote11 Char,Footnote21 Char,Footnote31 Char"/>
    <w:basedOn w:val="DefaultParagraphFont"/>
    <w:link w:val="FootnoteText"/>
    <w:uiPriority w:val="99"/>
    <w:semiHidden/>
    <w:rsid w:val="00446317"/>
    <w:rPr>
      <w:sz w:val="20"/>
      <w:szCs w:val="20"/>
    </w:rPr>
  </w:style>
  <w:style w:type="character" w:styleId="FootnoteReference">
    <w:name w:val="footnote reference"/>
    <w:aliases w:val="Footnote Reference Number,Footnote Reference_LVL6,Footnote Reference_LVL61,Footnote Reference_LVL62,Footnote Reference_LVL63,Footnote Reference_LVL64,Footnote Reference_LVL65,Footnote symbol,Times 10 Point,Exposant 3 Point,R,note TESI"/>
    <w:basedOn w:val="DefaultParagraphFont"/>
    <w:uiPriority w:val="99"/>
    <w:unhideWhenUsed/>
    <w:qFormat/>
    <w:rsid w:val="00446317"/>
    <w:rPr>
      <w:vertAlign w:val="superscript"/>
    </w:rPr>
  </w:style>
  <w:style w:type="paragraph" w:customStyle="1" w:styleId="P68B1DB1-ListParagraph8">
    <w:name w:val="P68B1DB1-ListParagraph8"/>
    <w:basedOn w:val="ListParagraph"/>
    <w:rsid w:val="00773BF3"/>
    <w:pPr>
      <w:spacing w:after="0" w:line="276" w:lineRule="auto"/>
    </w:pPr>
    <w:rPr>
      <w:rFonts w:ascii="Arial" w:eastAsia="Calibri" w:hAnsi="Arial" w:cs="Arial"/>
      <w:szCs w:val="20"/>
    </w:rPr>
  </w:style>
  <w:style w:type="paragraph" w:customStyle="1" w:styleId="P68B1DB1-Normal4">
    <w:name w:val="P68B1DB1-Normal4"/>
    <w:basedOn w:val="Normal"/>
    <w:rsid w:val="00773BF3"/>
    <w:pPr>
      <w:spacing w:after="0" w:line="276" w:lineRule="auto"/>
    </w:pPr>
    <w:rPr>
      <w:rFonts w:ascii="Arial" w:eastAsia="Calibri" w:hAnsi="Arial" w:cs="Arial"/>
      <w:szCs w:val="20"/>
    </w:rPr>
  </w:style>
  <w:style w:type="paragraph" w:styleId="NormalWeb">
    <w:name w:val="Normal (Web)"/>
    <w:basedOn w:val="Normal"/>
    <w:uiPriority w:val="99"/>
    <w:unhideWhenUsed/>
    <w:rsid w:val="00B073DD"/>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Bodytext2">
    <w:name w:val="Body text|2_"/>
    <w:basedOn w:val="DefaultParagraphFont"/>
    <w:link w:val="Bodytext20"/>
    <w:locked/>
    <w:rsid w:val="00BD5885"/>
    <w:rPr>
      <w:rFonts w:ascii="Calibri" w:eastAsia="Calibri" w:hAnsi="Calibri" w:cs="Calibri"/>
      <w:shd w:val="clear" w:color="auto" w:fill="FFFFFF"/>
    </w:rPr>
  </w:style>
  <w:style w:type="paragraph" w:customStyle="1" w:styleId="Bodytext20">
    <w:name w:val="Body text|2"/>
    <w:basedOn w:val="Normal"/>
    <w:link w:val="Bodytext2"/>
    <w:qFormat/>
    <w:rsid w:val="00BD5885"/>
    <w:pPr>
      <w:widowControl w:val="0"/>
      <w:shd w:val="clear" w:color="auto" w:fill="FFFFFF"/>
      <w:spacing w:after="560" w:line="317" w:lineRule="exact"/>
      <w:ind w:hanging="420"/>
      <w:jc w:val="both"/>
    </w:pPr>
    <w:rPr>
      <w:rFonts w:ascii="Calibri" w:eastAsia="Calibri" w:hAnsi="Calibri" w:cs="Calibri"/>
    </w:rPr>
  </w:style>
  <w:style w:type="character" w:customStyle="1" w:styleId="Bodytext2Italic">
    <w:name w:val="Body text|2 + Italic"/>
    <w:basedOn w:val="Bodytext2"/>
    <w:semiHidden/>
    <w:rsid w:val="00BD5885"/>
    <w:rPr>
      <w:rFonts w:ascii="Calibri" w:eastAsia="Calibri" w:hAnsi="Calibri" w:cs="Calibri"/>
      <w:i/>
      <w:iCs w:val="0"/>
      <w:color w:val="000000"/>
      <w:position w:val="0"/>
      <w:shd w:val="clear" w:color="auto" w:fill="FFFFFF"/>
    </w:rPr>
  </w:style>
  <w:style w:type="character" w:customStyle="1" w:styleId="ListParagraphChar">
    <w:name w:val="List Paragraph Char"/>
    <w:aliases w:val="Bullet 3 Char,ПАРАГРАФ Char,Bullet line Char,Style 1 Char,C 1 Char,Гл точки Char,Normal List Char,Endnote Char,Indent Char,Списък на абзаци Char"/>
    <w:link w:val="ListParagraph"/>
    <w:uiPriority w:val="34"/>
    <w:qFormat/>
    <w:locked/>
    <w:rsid w:val="00BD5885"/>
  </w:style>
  <w:style w:type="paragraph" w:customStyle="1" w:styleId="Default">
    <w:name w:val="Default"/>
    <w:rsid w:val="00BD588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sonormal0">
    <w:name w:val="msonormal"/>
    <w:basedOn w:val="Normal"/>
    <w:rsid w:val="001F2C01"/>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P68B1DB1-Normal3">
    <w:name w:val="P68B1DB1-Normal3"/>
    <w:basedOn w:val="Normal"/>
    <w:rsid w:val="001F2C01"/>
    <w:pPr>
      <w:spacing w:after="0" w:line="276" w:lineRule="auto"/>
    </w:pPr>
    <w:rPr>
      <w:rFonts w:ascii="Arial" w:eastAsia="Arial" w:hAnsi="Arial" w:cs="Arial"/>
      <w:b/>
      <w:szCs w:val="20"/>
      <w:lang w:eastAsia="en-IE"/>
    </w:rPr>
  </w:style>
  <w:style w:type="character" w:customStyle="1" w:styleId="Mention1">
    <w:name w:val="Mention1"/>
    <w:basedOn w:val="DefaultParagraphFont"/>
    <w:uiPriority w:val="99"/>
    <w:unhideWhenUsed/>
    <w:rsid w:val="001F2C01"/>
    <w:rPr>
      <w:color w:val="2B579A"/>
      <w:shd w:val="clear" w:color="auto" w:fill="E6E6E6"/>
    </w:rPr>
  </w:style>
  <w:style w:type="character" w:customStyle="1" w:styleId="jlqj4b">
    <w:name w:val="jlqj4b"/>
    <w:basedOn w:val="DefaultParagraphFont"/>
    <w:rsid w:val="0006128B"/>
  </w:style>
  <w:style w:type="character" w:customStyle="1" w:styleId="Bodytext1">
    <w:name w:val="Body text|1_"/>
    <w:basedOn w:val="DefaultParagraphFont"/>
    <w:link w:val="Bodytext10"/>
    <w:rsid w:val="0006128B"/>
    <w:rPr>
      <w:rFonts w:ascii="Calibri Light" w:eastAsia="Calibri Light" w:hAnsi="Calibri Light" w:cs="Calibri Light"/>
    </w:rPr>
  </w:style>
  <w:style w:type="paragraph" w:customStyle="1" w:styleId="Bodytext10">
    <w:name w:val="Body text|1"/>
    <w:basedOn w:val="Normal"/>
    <w:link w:val="Bodytext1"/>
    <w:rsid w:val="0006128B"/>
    <w:pPr>
      <w:widowControl w:val="0"/>
      <w:spacing w:after="100" w:line="254" w:lineRule="auto"/>
    </w:pPr>
    <w:rPr>
      <w:rFonts w:ascii="Calibri Light" w:eastAsia="Calibri Light" w:hAnsi="Calibri Light" w:cs="Calibri Light"/>
    </w:rPr>
  </w:style>
  <w:style w:type="character" w:customStyle="1" w:styleId="hgkelc">
    <w:name w:val="hgkelc"/>
    <w:basedOn w:val="DefaultParagraphFont"/>
    <w:rsid w:val="0006128B"/>
  </w:style>
  <w:style w:type="paragraph" w:customStyle="1" w:styleId="xl70">
    <w:name w:val="xl70"/>
    <w:basedOn w:val="Normal"/>
    <w:rsid w:val="0006128B"/>
    <w:pPr>
      <w:spacing w:before="100" w:beforeAutospacing="1" w:after="100" w:afterAutospacing="1" w:line="240" w:lineRule="auto"/>
    </w:pPr>
    <w:rPr>
      <w:rFonts w:ascii="Calibri" w:eastAsia="Times New Roman" w:hAnsi="Calibri" w:cs="Calibri"/>
      <w:sz w:val="24"/>
      <w:szCs w:val="24"/>
      <w:lang w:eastAsia="en-GB"/>
    </w:rPr>
  </w:style>
  <w:style w:type="paragraph" w:customStyle="1" w:styleId="xl71">
    <w:name w:val="xl71"/>
    <w:basedOn w:val="Normal"/>
    <w:rsid w:val="0006128B"/>
    <w:pPr>
      <w:pBdr>
        <w:top w:val="single" w:sz="4" w:space="0" w:color="000000"/>
        <w:left w:val="single" w:sz="4" w:space="0" w:color="000000"/>
        <w:bottom w:val="single" w:sz="4" w:space="0" w:color="000000"/>
        <w:right w:val="single" w:sz="4" w:space="0" w:color="000000"/>
      </w:pBdr>
      <w:shd w:val="clear" w:color="C6EFCE" w:fill="C6EFCE"/>
      <w:spacing w:before="100" w:beforeAutospacing="1" w:after="100" w:afterAutospacing="1" w:line="240" w:lineRule="auto"/>
    </w:pPr>
    <w:rPr>
      <w:rFonts w:ascii="Calibri" w:eastAsia="Times New Roman" w:hAnsi="Calibri" w:cs="Calibri"/>
      <w:color w:val="006100"/>
      <w:sz w:val="24"/>
      <w:szCs w:val="24"/>
      <w:lang w:eastAsia="en-GB"/>
    </w:rPr>
  </w:style>
  <w:style w:type="paragraph" w:customStyle="1" w:styleId="xl72">
    <w:name w:val="xl72"/>
    <w:basedOn w:val="Normal"/>
    <w:rsid w:val="0006128B"/>
    <w:pPr>
      <w:pBdr>
        <w:top w:val="single" w:sz="4" w:space="0" w:color="000000"/>
        <w:left w:val="single" w:sz="4" w:space="0" w:color="000000"/>
        <w:bottom w:val="single" w:sz="4" w:space="0" w:color="000000"/>
        <w:right w:val="single" w:sz="4" w:space="0" w:color="000000"/>
      </w:pBdr>
      <w:shd w:val="clear" w:color="C6EFCE" w:fill="C6EFCE"/>
      <w:spacing w:before="100" w:beforeAutospacing="1" w:after="100" w:afterAutospacing="1" w:line="240" w:lineRule="auto"/>
      <w:jc w:val="center"/>
    </w:pPr>
    <w:rPr>
      <w:rFonts w:ascii="Calibri" w:eastAsia="Times New Roman" w:hAnsi="Calibri" w:cs="Calibri"/>
      <w:color w:val="006100"/>
      <w:sz w:val="24"/>
      <w:szCs w:val="24"/>
      <w:lang w:eastAsia="en-GB"/>
    </w:rPr>
  </w:style>
  <w:style w:type="paragraph" w:customStyle="1" w:styleId="xl73">
    <w:name w:val="xl73"/>
    <w:basedOn w:val="Normal"/>
    <w:rsid w:val="0006128B"/>
    <w:pPr>
      <w:pBdr>
        <w:top w:val="single" w:sz="4" w:space="0" w:color="000000"/>
        <w:left w:val="single" w:sz="4" w:space="0" w:color="000000"/>
        <w:bottom w:val="single" w:sz="4" w:space="0" w:color="000000"/>
        <w:right w:val="single" w:sz="4" w:space="0" w:color="000000"/>
      </w:pBdr>
      <w:shd w:val="clear" w:color="BDD6EE" w:fill="BDD6EE"/>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74">
    <w:name w:val="xl74"/>
    <w:basedOn w:val="Normal"/>
    <w:rsid w:val="0006128B"/>
    <w:pPr>
      <w:pBdr>
        <w:top w:val="single" w:sz="4" w:space="0" w:color="000000"/>
        <w:left w:val="single" w:sz="4" w:space="0" w:color="000000"/>
        <w:bottom w:val="single" w:sz="4" w:space="0" w:color="000000"/>
        <w:right w:val="single" w:sz="4" w:space="0" w:color="000000"/>
      </w:pBdr>
      <w:shd w:val="clear" w:color="C6EFCE" w:fill="C6EFCE"/>
      <w:spacing w:before="100" w:beforeAutospacing="1" w:after="100" w:afterAutospacing="1" w:line="240" w:lineRule="auto"/>
    </w:pPr>
    <w:rPr>
      <w:rFonts w:ascii="Calibri" w:eastAsia="Times New Roman" w:hAnsi="Calibri" w:cs="Calibri"/>
      <w:color w:val="006100"/>
      <w:sz w:val="24"/>
      <w:szCs w:val="24"/>
      <w:lang w:eastAsia="en-GB"/>
    </w:rPr>
  </w:style>
  <w:style w:type="paragraph" w:customStyle="1" w:styleId="xl75">
    <w:name w:val="xl75"/>
    <w:basedOn w:val="Normal"/>
    <w:rsid w:val="0006128B"/>
    <w:pPr>
      <w:pBdr>
        <w:top w:val="single" w:sz="4" w:space="0" w:color="000000"/>
        <w:left w:val="single" w:sz="4" w:space="0" w:color="000000"/>
        <w:bottom w:val="single" w:sz="4" w:space="0" w:color="000000"/>
        <w:right w:val="single" w:sz="4" w:space="0" w:color="000000"/>
      </w:pBdr>
      <w:shd w:val="clear" w:color="C6EFCE" w:fill="C6EFCE"/>
      <w:spacing w:before="100" w:beforeAutospacing="1" w:after="100" w:afterAutospacing="1" w:line="240" w:lineRule="auto"/>
    </w:pPr>
    <w:rPr>
      <w:rFonts w:ascii="Calibri" w:eastAsia="Times New Roman" w:hAnsi="Calibri" w:cs="Calibri"/>
      <w:color w:val="006100"/>
      <w:sz w:val="24"/>
      <w:szCs w:val="24"/>
      <w:lang w:eastAsia="en-GB"/>
    </w:rPr>
  </w:style>
  <w:style w:type="paragraph" w:customStyle="1" w:styleId="xl76">
    <w:name w:val="xl76"/>
    <w:basedOn w:val="Normal"/>
    <w:rsid w:val="0006128B"/>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77">
    <w:name w:val="xl77"/>
    <w:basedOn w:val="Normal"/>
    <w:rsid w:val="0006128B"/>
    <w:pPr>
      <w:pBdr>
        <w:top w:val="single" w:sz="4" w:space="0" w:color="000000"/>
        <w:left w:val="single" w:sz="4" w:space="0" w:color="000000"/>
        <w:bottom w:val="single" w:sz="4" w:space="0" w:color="000000"/>
        <w:right w:val="single" w:sz="4" w:space="0" w:color="000000"/>
      </w:pBdr>
      <w:shd w:val="clear" w:color="FFC000" w:fill="C6EFCE"/>
      <w:spacing w:before="100" w:beforeAutospacing="1" w:after="100" w:afterAutospacing="1" w:line="240" w:lineRule="auto"/>
    </w:pPr>
    <w:rPr>
      <w:rFonts w:ascii="Calibri" w:eastAsia="Times New Roman" w:hAnsi="Calibri" w:cs="Calibri"/>
      <w:color w:val="006100"/>
      <w:sz w:val="24"/>
      <w:szCs w:val="24"/>
      <w:lang w:eastAsia="en-GB"/>
    </w:rPr>
  </w:style>
  <w:style w:type="paragraph" w:customStyle="1" w:styleId="xl78">
    <w:name w:val="xl78"/>
    <w:basedOn w:val="Normal"/>
    <w:rsid w:val="0006128B"/>
    <w:pPr>
      <w:pBdr>
        <w:top w:val="single" w:sz="4" w:space="0" w:color="000000"/>
        <w:left w:val="single" w:sz="4" w:space="0" w:color="000000"/>
        <w:bottom w:val="single" w:sz="4" w:space="0" w:color="000000"/>
        <w:right w:val="single" w:sz="4" w:space="0" w:color="000000"/>
      </w:pBdr>
      <w:shd w:val="clear" w:color="FF0000" w:fill="C6EFCE"/>
      <w:spacing w:before="100" w:beforeAutospacing="1" w:after="100" w:afterAutospacing="1" w:line="240" w:lineRule="auto"/>
      <w:jc w:val="center"/>
    </w:pPr>
    <w:rPr>
      <w:rFonts w:ascii="Calibri" w:eastAsia="Times New Roman" w:hAnsi="Calibri" w:cs="Calibri"/>
      <w:color w:val="006100"/>
      <w:sz w:val="24"/>
      <w:szCs w:val="24"/>
      <w:lang w:eastAsia="en-GB"/>
    </w:rPr>
  </w:style>
  <w:style w:type="paragraph" w:customStyle="1" w:styleId="xl79">
    <w:name w:val="xl79"/>
    <w:basedOn w:val="Normal"/>
    <w:rsid w:val="0006128B"/>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pPr>
    <w:rPr>
      <w:rFonts w:ascii="Calibri" w:eastAsia="Times New Roman" w:hAnsi="Calibri" w:cs="Calibri"/>
      <w:color w:val="006100"/>
      <w:sz w:val="24"/>
      <w:szCs w:val="24"/>
      <w:lang w:eastAsia="en-GB"/>
    </w:rPr>
  </w:style>
  <w:style w:type="paragraph" w:customStyle="1" w:styleId="xl80">
    <w:name w:val="xl80"/>
    <w:basedOn w:val="Normal"/>
    <w:rsid w:val="0006128B"/>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jc w:val="center"/>
    </w:pPr>
    <w:rPr>
      <w:rFonts w:ascii="Calibri" w:eastAsia="Times New Roman" w:hAnsi="Calibri" w:cs="Calibri"/>
      <w:color w:val="006100"/>
      <w:sz w:val="24"/>
      <w:szCs w:val="24"/>
      <w:lang w:eastAsia="en-GB"/>
    </w:rPr>
  </w:style>
  <w:style w:type="paragraph" w:customStyle="1" w:styleId="xl81">
    <w:name w:val="xl81"/>
    <w:basedOn w:val="Normal"/>
    <w:rsid w:val="0006128B"/>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pPr>
    <w:rPr>
      <w:rFonts w:ascii="Calibri" w:eastAsia="Times New Roman" w:hAnsi="Calibri" w:cs="Calibri"/>
      <w:color w:val="006100"/>
      <w:sz w:val="24"/>
      <w:szCs w:val="24"/>
      <w:lang w:eastAsia="en-GB"/>
    </w:rPr>
  </w:style>
  <w:style w:type="paragraph" w:customStyle="1" w:styleId="xl82">
    <w:name w:val="xl82"/>
    <w:basedOn w:val="Normal"/>
    <w:rsid w:val="0006128B"/>
    <w:pPr>
      <w:pBdr>
        <w:top w:val="single" w:sz="4" w:space="0" w:color="000000"/>
        <w:left w:val="single" w:sz="4" w:space="0" w:color="000000"/>
        <w:right w:val="single" w:sz="4" w:space="0" w:color="000000"/>
      </w:pBdr>
      <w:shd w:val="clear" w:color="BDD6EE" w:fill="BDD6EE"/>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83">
    <w:name w:val="xl83"/>
    <w:basedOn w:val="Normal"/>
    <w:rsid w:val="0006128B"/>
    <w:pPr>
      <w:pBdr>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lang w:eastAsia="en-GB"/>
    </w:rPr>
  </w:style>
  <w:style w:type="paragraph" w:customStyle="1" w:styleId="xl84">
    <w:name w:val="xl84"/>
    <w:basedOn w:val="Normal"/>
    <w:rsid w:val="0006128B"/>
    <w:pPr>
      <w:pBdr>
        <w:top w:val="single" w:sz="4" w:space="0" w:color="000000"/>
        <w:left w:val="single" w:sz="4" w:space="0" w:color="000000"/>
        <w:bottom w:val="single" w:sz="4" w:space="0" w:color="000000"/>
      </w:pBdr>
      <w:shd w:val="clear" w:color="BDD6EE" w:fill="BDD6EE"/>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85">
    <w:name w:val="xl85"/>
    <w:basedOn w:val="Normal"/>
    <w:rsid w:val="0006128B"/>
    <w:pPr>
      <w:pBdr>
        <w:top w:val="single" w:sz="4" w:space="0" w:color="000000"/>
        <w:bottom w:val="single" w:sz="4" w:space="0" w:color="000000"/>
      </w:pBdr>
      <w:spacing w:before="100" w:beforeAutospacing="1" w:after="100" w:afterAutospacing="1" w:line="240" w:lineRule="auto"/>
    </w:pPr>
    <w:rPr>
      <w:rFonts w:ascii="Calibri" w:eastAsia="Times New Roman" w:hAnsi="Calibri" w:cs="Calibri"/>
      <w:sz w:val="24"/>
      <w:szCs w:val="24"/>
      <w:lang w:eastAsia="en-GB"/>
    </w:rPr>
  </w:style>
  <w:style w:type="paragraph" w:customStyle="1" w:styleId="xl86">
    <w:name w:val="xl86"/>
    <w:basedOn w:val="Normal"/>
    <w:rsid w:val="0006128B"/>
    <w:pPr>
      <w:pBdr>
        <w:top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lang w:eastAsia="en-GB"/>
    </w:rPr>
  </w:style>
  <w:style w:type="paragraph" w:customStyle="1" w:styleId="xl87">
    <w:name w:val="xl87"/>
    <w:basedOn w:val="Normal"/>
    <w:rsid w:val="0006128B"/>
    <w:pPr>
      <w:pBdr>
        <w:top w:val="single" w:sz="4" w:space="0" w:color="000000"/>
        <w:left w:val="single" w:sz="4" w:space="0" w:color="000000"/>
        <w:bottom w:val="single" w:sz="4" w:space="0" w:color="000000"/>
      </w:pBdr>
      <w:shd w:val="clear" w:color="BDD6EE" w:fill="BDD6EE"/>
      <w:spacing w:before="100" w:beforeAutospacing="1" w:after="100" w:afterAutospacing="1" w:line="240" w:lineRule="auto"/>
      <w:textAlignment w:val="center"/>
    </w:pPr>
    <w:rPr>
      <w:rFonts w:ascii="Times New Roman" w:eastAsia="Times New Roman" w:hAnsi="Times New Roman" w:cs="Times New Roman"/>
      <w:i/>
      <w:iCs/>
      <w:sz w:val="24"/>
      <w:szCs w:val="24"/>
      <w:lang w:eastAsia="en-GB"/>
    </w:rPr>
  </w:style>
  <w:style w:type="paragraph" w:customStyle="1" w:styleId="xl88">
    <w:name w:val="xl88"/>
    <w:basedOn w:val="Normal"/>
    <w:rsid w:val="0006128B"/>
    <w:pPr>
      <w:pBdr>
        <w:top w:val="single" w:sz="4" w:space="0" w:color="000000"/>
        <w:right w:val="single" w:sz="4" w:space="0" w:color="000000"/>
      </w:pBdr>
      <w:shd w:val="clear" w:color="BDD6EE" w:fill="BDD6EE"/>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89">
    <w:name w:val="xl89"/>
    <w:basedOn w:val="Normal"/>
    <w:rsid w:val="0006128B"/>
    <w:pPr>
      <w:pBdr>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lang w:eastAsia="en-GB"/>
    </w:rPr>
  </w:style>
  <w:style w:type="paragraph" w:customStyle="1" w:styleId="xl90">
    <w:name w:val="xl90"/>
    <w:basedOn w:val="Normal"/>
    <w:rsid w:val="0006128B"/>
    <w:pPr>
      <w:pBdr>
        <w:top w:val="single" w:sz="4" w:space="0" w:color="000000"/>
        <w:left w:val="single" w:sz="4" w:space="0" w:color="000000"/>
        <w:bottom w:val="single" w:sz="4" w:space="0" w:color="000000"/>
      </w:pBdr>
      <w:shd w:val="clear" w:color="BDD6EE" w:fill="BDD6EE"/>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Normal1">
    <w:name w:val="Normal1"/>
    <w:basedOn w:val="Normal"/>
    <w:rsid w:val="000612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ndhit">
    <w:name w:val="findhit"/>
    <w:basedOn w:val="DefaultParagraphFont"/>
    <w:rsid w:val="00EB2782"/>
  </w:style>
  <w:style w:type="paragraph" w:customStyle="1" w:styleId="P68B1DB1-Style1426">
    <w:name w:val="P68B1DB1-Style1426"/>
    <w:basedOn w:val="Normal"/>
    <w:rsid w:val="00EB2782"/>
    <w:pPr>
      <w:widowControl w:val="0"/>
      <w:spacing w:after="100" w:line="254" w:lineRule="auto"/>
    </w:pPr>
    <w:rPr>
      <w:rFonts w:ascii="Calibri Light" w:eastAsia="Calibri Light" w:hAnsi="Calibri Light" w:cs="Calibri Light"/>
      <w:color w:val="FFFFFF"/>
      <w:sz w:val="24"/>
      <w:szCs w:val="20"/>
      <w:lang w:eastAsia="en-GB"/>
    </w:rPr>
  </w:style>
  <w:style w:type="table" w:styleId="TableGrid">
    <w:name w:val="Table Grid"/>
    <w:basedOn w:val="TableNormal"/>
    <w:uiPriority w:val="39"/>
    <w:rsid w:val="00EB278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iyi">
    <w:name w:val="viiyi"/>
    <w:basedOn w:val="DefaultParagraphFont"/>
    <w:rsid w:val="003A4B60"/>
  </w:style>
  <w:style w:type="paragraph" w:customStyle="1" w:styleId="commentcontentpara">
    <w:name w:val="commentcontentpara"/>
    <w:basedOn w:val="Normal"/>
    <w:rsid w:val="00DA604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echnicalBlock">
    <w:name w:val="Technical Block"/>
    <w:basedOn w:val="Normal"/>
    <w:link w:val="TechnicalBlockChar"/>
    <w:rsid w:val="00256A2B"/>
    <w:pPr>
      <w:spacing w:after="240" w:line="240" w:lineRule="auto"/>
      <w:jc w:val="center"/>
    </w:pPr>
  </w:style>
  <w:style w:type="character" w:customStyle="1" w:styleId="TechnicalBlockChar">
    <w:name w:val="Technical Block Char"/>
    <w:basedOn w:val="DefaultParagraphFont"/>
    <w:link w:val="TechnicalBlock"/>
    <w:rsid w:val="00256A2B"/>
  </w:style>
  <w:style w:type="paragraph" w:customStyle="1" w:styleId="EntText">
    <w:name w:val="EntText"/>
    <w:basedOn w:val="Normal"/>
    <w:rsid w:val="007D4E28"/>
    <w:pPr>
      <w:spacing w:before="120" w:after="120" w:line="360" w:lineRule="auto"/>
    </w:pPr>
    <w:rPr>
      <w:rFonts w:ascii="Times New Roman" w:hAnsi="Times New Roman" w:cs="Times New Roman"/>
      <w:sz w:val="24"/>
    </w:rPr>
  </w:style>
  <w:style w:type="paragraph" w:customStyle="1" w:styleId="Lignefinal">
    <w:name w:val="Ligne final"/>
    <w:basedOn w:val="Normal"/>
    <w:next w:val="Normal"/>
    <w:rsid w:val="007D4E28"/>
    <w:pPr>
      <w:pBdr>
        <w:bottom w:val="single" w:sz="4" w:space="0" w:color="000000"/>
      </w:pBdr>
      <w:spacing w:before="360" w:after="120" w:line="360" w:lineRule="auto"/>
      <w:ind w:left="3400" w:right="3400"/>
      <w:jc w:val="center"/>
    </w:pPr>
    <w:rPr>
      <w:rFonts w:ascii="Times New Roman" w:hAnsi="Times New Roman" w:cs="Times New Roman"/>
      <w:b/>
      <w:sz w:val="24"/>
    </w:rPr>
  </w:style>
  <w:style w:type="paragraph" w:customStyle="1" w:styleId="pj">
    <w:name w:val="p.j."/>
    <w:basedOn w:val="Normal"/>
    <w:link w:val="pjChar"/>
    <w:rsid w:val="00256A2B"/>
    <w:pPr>
      <w:spacing w:before="1200" w:after="120" w:line="240" w:lineRule="auto"/>
      <w:ind w:left="1440" w:hanging="1440"/>
    </w:pPr>
    <w:rPr>
      <w:rFonts w:ascii="Times New Roman" w:hAnsi="Times New Roman" w:cs="Times New Roman"/>
      <w:sz w:val="24"/>
    </w:rPr>
  </w:style>
  <w:style w:type="character" w:customStyle="1" w:styleId="pjChar">
    <w:name w:val="p.j. Char"/>
    <w:basedOn w:val="TechnicalBlockChar"/>
    <w:link w:val="pj"/>
    <w:rsid w:val="00256A2B"/>
    <w:rPr>
      <w:rFonts w:ascii="Times New Roman" w:hAnsi="Times New Roman" w:cs="Times New Roman"/>
      <w:sz w:val="24"/>
    </w:rPr>
  </w:style>
  <w:style w:type="paragraph" w:customStyle="1" w:styleId="nbbordered">
    <w:name w:val="nb bordered"/>
    <w:basedOn w:val="Normal"/>
    <w:link w:val="nbborderedChar"/>
    <w:rsid w:val="00256A2B"/>
    <w:pPr>
      <w:pBdr>
        <w:top w:val="single" w:sz="4" w:space="1" w:color="auto"/>
        <w:left w:val="single" w:sz="4" w:space="4" w:color="auto"/>
        <w:bottom w:val="single" w:sz="4" w:space="1" w:color="auto"/>
        <w:right w:val="single" w:sz="4" w:space="4" w:color="auto"/>
        <w:between w:val="single" w:sz="4" w:space="0" w:color="auto"/>
      </w:pBdr>
      <w:spacing w:line="240" w:lineRule="auto"/>
      <w:ind w:left="480" w:hanging="480"/>
    </w:pPr>
    <w:rPr>
      <w:rFonts w:ascii="Times New Roman" w:hAnsi="Times New Roman" w:cs="Times New Roman"/>
      <w:b/>
      <w:sz w:val="24"/>
    </w:rPr>
  </w:style>
  <w:style w:type="character" w:customStyle="1" w:styleId="nbborderedChar">
    <w:name w:val="nb bordered Char"/>
    <w:basedOn w:val="TechnicalBlockChar"/>
    <w:link w:val="nbbordered"/>
    <w:rsid w:val="00256A2B"/>
    <w:rPr>
      <w:rFonts w:ascii="Times New Roman" w:hAnsi="Times New Roman" w:cs="Times New Roman"/>
      <w:b/>
      <w:sz w:val="24"/>
    </w:rPr>
  </w:style>
  <w:style w:type="paragraph" w:customStyle="1" w:styleId="HeaderCouncil">
    <w:name w:val="Header Council"/>
    <w:basedOn w:val="Normal"/>
    <w:link w:val="HeaderCouncilChar"/>
    <w:rsid w:val="00256A2B"/>
    <w:pPr>
      <w:spacing w:after="0"/>
    </w:pPr>
    <w:rPr>
      <w:noProof/>
      <w:sz w:val="2"/>
    </w:rPr>
  </w:style>
  <w:style w:type="character" w:customStyle="1" w:styleId="HeaderCouncilChar">
    <w:name w:val="Header Council Char"/>
    <w:basedOn w:val="DefaultParagraphFont"/>
    <w:link w:val="HeaderCouncil"/>
    <w:rsid w:val="00256A2B"/>
    <w:rPr>
      <w:noProof/>
      <w:sz w:val="2"/>
      <w:lang w:val="bg-BG"/>
    </w:rPr>
  </w:style>
  <w:style w:type="paragraph" w:customStyle="1" w:styleId="HeaderCouncilLarge">
    <w:name w:val="Header Council Large"/>
    <w:basedOn w:val="Normal"/>
    <w:link w:val="HeaderCouncilLargeChar"/>
    <w:rsid w:val="00256A2B"/>
    <w:pPr>
      <w:spacing w:after="440"/>
    </w:pPr>
    <w:rPr>
      <w:noProof/>
      <w:sz w:val="2"/>
    </w:rPr>
  </w:style>
  <w:style w:type="character" w:customStyle="1" w:styleId="HeaderCouncilLargeChar">
    <w:name w:val="Header Council Large Char"/>
    <w:basedOn w:val="DefaultParagraphFont"/>
    <w:link w:val="HeaderCouncilLarge"/>
    <w:rsid w:val="00256A2B"/>
    <w:rPr>
      <w:noProof/>
      <w:sz w:val="2"/>
      <w:lang w:val="bg-BG"/>
    </w:rPr>
  </w:style>
  <w:style w:type="paragraph" w:customStyle="1" w:styleId="FooterCouncil">
    <w:name w:val="Footer Council"/>
    <w:basedOn w:val="Normal"/>
    <w:link w:val="FooterCouncilChar"/>
    <w:rsid w:val="00256A2B"/>
    <w:pPr>
      <w:spacing w:after="0"/>
    </w:pPr>
    <w:rPr>
      <w:noProof/>
      <w:sz w:val="2"/>
    </w:rPr>
  </w:style>
  <w:style w:type="character" w:customStyle="1" w:styleId="FooterCouncilChar">
    <w:name w:val="Footer Council Char"/>
    <w:basedOn w:val="DefaultParagraphFont"/>
    <w:link w:val="FooterCouncil"/>
    <w:rsid w:val="00256A2B"/>
    <w:rPr>
      <w:noProof/>
      <w:sz w:val="2"/>
      <w:lang w:val="bg-BG"/>
    </w:rPr>
  </w:style>
  <w:style w:type="paragraph" w:customStyle="1" w:styleId="FooterText">
    <w:name w:val="Footer Text"/>
    <w:basedOn w:val="Normal"/>
    <w:rsid w:val="00256A2B"/>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256A2B"/>
    <w:rPr>
      <w:color w:val="808080"/>
    </w:rPr>
  </w:style>
  <w:style w:type="character" w:customStyle="1" w:styleId="cf01">
    <w:name w:val="cf01"/>
    <w:basedOn w:val="DefaultParagraphFont"/>
    <w:rsid w:val="000B069B"/>
    <w:rPr>
      <w:rFonts w:ascii="Segoe UI" w:hAnsi="Segoe UI" w:cs="Segoe UI" w:hint="default"/>
      <w:sz w:val="18"/>
      <w:szCs w:val="18"/>
    </w:rPr>
  </w:style>
  <w:style w:type="character" w:customStyle="1" w:styleId="Mention2">
    <w:name w:val="Mention2"/>
    <w:basedOn w:val="DefaultParagraphFont"/>
    <w:uiPriority w:val="99"/>
    <w:unhideWhenUsed/>
    <w:rsid w:val="00ED16AF"/>
    <w:rPr>
      <w:color w:val="2B579A"/>
      <w:shd w:val="clear" w:color="auto" w:fill="E6E6E6"/>
    </w:rPr>
  </w:style>
  <w:style w:type="character" w:customStyle="1" w:styleId="Mention">
    <w:name w:val="Mention"/>
    <w:basedOn w:val="DefaultParagraphFont"/>
    <w:uiPriority w:val="99"/>
    <w:unhideWhenUsed/>
    <w:rsid w:val="004D326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637237">
      <w:bodyDiv w:val="1"/>
      <w:marLeft w:val="0"/>
      <w:marRight w:val="0"/>
      <w:marTop w:val="0"/>
      <w:marBottom w:val="0"/>
      <w:divBdr>
        <w:top w:val="none" w:sz="0" w:space="0" w:color="auto"/>
        <w:left w:val="none" w:sz="0" w:space="0" w:color="auto"/>
        <w:bottom w:val="none" w:sz="0" w:space="0" w:color="auto"/>
        <w:right w:val="none" w:sz="0" w:space="0" w:color="auto"/>
      </w:divBdr>
      <w:divsChild>
        <w:div w:id="2117627145">
          <w:marLeft w:val="0"/>
          <w:marRight w:val="0"/>
          <w:marTop w:val="0"/>
          <w:marBottom w:val="0"/>
          <w:divBdr>
            <w:top w:val="none" w:sz="0" w:space="0" w:color="auto"/>
            <w:left w:val="none" w:sz="0" w:space="0" w:color="auto"/>
            <w:bottom w:val="none" w:sz="0" w:space="0" w:color="auto"/>
            <w:right w:val="none" w:sz="0" w:space="0" w:color="auto"/>
          </w:divBdr>
          <w:divsChild>
            <w:div w:id="56824766">
              <w:marLeft w:val="30"/>
              <w:marRight w:val="30"/>
              <w:marTop w:val="30"/>
              <w:marBottom w:val="0"/>
              <w:divBdr>
                <w:top w:val="none" w:sz="0" w:space="0" w:color="auto"/>
                <w:left w:val="none" w:sz="0" w:space="0" w:color="auto"/>
                <w:bottom w:val="none" w:sz="0" w:space="0" w:color="auto"/>
                <w:right w:val="none" w:sz="0" w:space="0" w:color="auto"/>
              </w:divBdr>
              <w:divsChild>
                <w:div w:id="1060252612">
                  <w:marLeft w:val="210"/>
                  <w:marRight w:val="210"/>
                  <w:marTop w:val="0"/>
                  <w:marBottom w:val="30"/>
                  <w:divBdr>
                    <w:top w:val="none" w:sz="0" w:space="0" w:color="auto"/>
                    <w:left w:val="none" w:sz="0" w:space="0" w:color="auto"/>
                    <w:bottom w:val="none" w:sz="0" w:space="0" w:color="auto"/>
                    <w:right w:val="none" w:sz="0" w:space="0" w:color="auto"/>
                  </w:divBdr>
                  <w:divsChild>
                    <w:div w:id="1525247445">
                      <w:marLeft w:val="0"/>
                      <w:marRight w:val="30"/>
                      <w:marTop w:val="0"/>
                      <w:marBottom w:val="0"/>
                      <w:divBdr>
                        <w:top w:val="none" w:sz="0" w:space="0" w:color="auto"/>
                        <w:left w:val="none" w:sz="0" w:space="0" w:color="auto"/>
                        <w:bottom w:val="none" w:sz="0" w:space="0" w:color="auto"/>
                        <w:right w:val="none" w:sz="0" w:space="0" w:color="auto"/>
                      </w:divBdr>
                      <w:divsChild>
                        <w:div w:id="1801143073">
                          <w:marLeft w:val="0"/>
                          <w:marRight w:val="0"/>
                          <w:marTop w:val="0"/>
                          <w:marBottom w:val="0"/>
                          <w:divBdr>
                            <w:top w:val="none" w:sz="0" w:space="0" w:color="auto"/>
                            <w:left w:val="none" w:sz="0" w:space="0" w:color="auto"/>
                            <w:bottom w:val="none" w:sz="0" w:space="0" w:color="auto"/>
                            <w:right w:val="none" w:sz="0" w:space="0" w:color="auto"/>
                          </w:divBdr>
                          <w:divsChild>
                            <w:div w:id="1385985502">
                              <w:marLeft w:val="0"/>
                              <w:marRight w:val="0"/>
                              <w:marTop w:val="0"/>
                              <w:marBottom w:val="0"/>
                              <w:divBdr>
                                <w:top w:val="none" w:sz="0" w:space="0" w:color="auto"/>
                                <w:left w:val="none" w:sz="0" w:space="0" w:color="auto"/>
                                <w:bottom w:val="none" w:sz="0" w:space="0" w:color="auto"/>
                                <w:right w:val="none" w:sz="0" w:space="0" w:color="auto"/>
                              </w:divBdr>
                              <w:divsChild>
                                <w:div w:id="107204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012338">
      <w:bodyDiv w:val="1"/>
      <w:marLeft w:val="0"/>
      <w:marRight w:val="0"/>
      <w:marTop w:val="0"/>
      <w:marBottom w:val="0"/>
      <w:divBdr>
        <w:top w:val="none" w:sz="0" w:space="0" w:color="auto"/>
        <w:left w:val="none" w:sz="0" w:space="0" w:color="auto"/>
        <w:bottom w:val="none" w:sz="0" w:space="0" w:color="auto"/>
        <w:right w:val="none" w:sz="0" w:space="0" w:color="auto"/>
      </w:divBdr>
    </w:div>
    <w:div w:id="438329927">
      <w:bodyDiv w:val="1"/>
      <w:marLeft w:val="0"/>
      <w:marRight w:val="0"/>
      <w:marTop w:val="0"/>
      <w:marBottom w:val="0"/>
      <w:divBdr>
        <w:top w:val="none" w:sz="0" w:space="0" w:color="auto"/>
        <w:left w:val="none" w:sz="0" w:space="0" w:color="auto"/>
        <w:bottom w:val="none" w:sz="0" w:space="0" w:color="auto"/>
        <w:right w:val="none" w:sz="0" w:space="0" w:color="auto"/>
      </w:divBdr>
    </w:div>
    <w:div w:id="538201628">
      <w:bodyDiv w:val="1"/>
      <w:marLeft w:val="0"/>
      <w:marRight w:val="0"/>
      <w:marTop w:val="0"/>
      <w:marBottom w:val="0"/>
      <w:divBdr>
        <w:top w:val="none" w:sz="0" w:space="0" w:color="auto"/>
        <w:left w:val="none" w:sz="0" w:space="0" w:color="auto"/>
        <w:bottom w:val="none" w:sz="0" w:space="0" w:color="auto"/>
        <w:right w:val="none" w:sz="0" w:space="0" w:color="auto"/>
      </w:divBdr>
    </w:div>
    <w:div w:id="549729366">
      <w:bodyDiv w:val="1"/>
      <w:marLeft w:val="0"/>
      <w:marRight w:val="0"/>
      <w:marTop w:val="0"/>
      <w:marBottom w:val="0"/>
      <w:divBdr>
        <w:top w:val="none" w:sz="0" w:space="0" w:color="auto"/>
        <w:left w:val="none" w:sz="0" w:space="0" w:color="auto"/>
        <w:bottom w:val="none" w:sz="0" w:space="0" w:color="auto"/>
        <w:right w:val="none" w:sz="0" w:space="0" w:color="auto"/>
      </w:divBdr>
      <w:divsChild>
        <w:div w:id="468910738">
          <w:marLeft w:val="0"/>
          <w:marRight w:val="0"/>
          <w:marTop w:val="0"/>
          <w:marBottom w:val="0"/>
          <w:divBdr>
            <w:top w:val="none" w:sz="0" w:space="0" w:color="auto"/>
            <w:left w:val="none" w:sz="0" w:space="0" w:color="auto"/>
            <w:bottom w:val="none" w:sz="0" w:space="0" w:color="auto"/>
            <w:right w:val="none" w:sz="0" w:space="0" w:color="auto"/>
          </w:divBdr>
          <w:divsChild>
            <w:div w:id="1077941347">
              <w:marLeft w:val="30"/>
              <w:marRight w:val="30"/>
              <w:marTop w:val="30"/>
              <w:marBottom w:val="0"/>
              <w:divBdr>
                <w:top w:val="none" w:sz="0" w:space="0" w:color="auto"/>
                <w:left w:val="none" w:sz="0" w:space="0" w:color="auto"/>
                <w:bottom w:val="none" w:sz="0" w:space="0" w:color="auto"/>
                <w:right w:val="none" w:sz="0" w:space="0" w:color="auto"/>
              </w:divBdr>
              <w:divsChild>
                <w:div w:id="337541297">
                  <w:marLeft w:val="210"/>
                  <w:marRight w:val="210"/>
                  <w:marTop w:val="0"/>
                  <w:marBottom w:val="30"/>
                  <w:divBdr>
                    <w:top w:val="none" w:sz="0" w:space="0" w:color="auto"/>
                    <w:left w:val="none" w:sz="0" w:space="0" w:color="auto"/>
                    <w:bottom w:val="none" w:sz="0" w:space="0" w:color="auto"/>
                    <w:right w:val="none" w:sz="0" w:space="0" w:color="auto"/>
                  </w:divBdr>
                  <w:divsChild>
                    <w:div w:id="320351112">
                      <w:marLeft w:val="0"/>
                      <w:marRight w:val="30"/>
                      <w:marTop w:val="0"/>
                      <w:marBottom w:val="0"/>
                      <w:divBdr>
                        <w:top w:val="none" w:sz="0" w:space="0" w:color="auto"/>
                        <w:left w:val="none" w:sz="0" w:space="0" w:color="auto"/>
                        <w:bottom w:val="none" w:sz="0" w:space="0" w:color="auto"/>
                        <w:right w:val="none" w:sz="0" w:space="0" w:color="auto"/>
                      </w:divBdr>
                      <w:divsChild>
                        <w:div w:id="1129591405">
                          <w:marLeft w:val="0"/>
                          <w:marRight w:val="0"/>
                          <w:marTop w:val="0"/>
                          <w:marBottom w:val="0"/>
                          <w:divBdr>
                            <w:top w:val="none" w:sz="0" w:space="0" w:color="auto"/>
                            <w:left w:val="none" w:sz="0" w:space="0" w:color="auto"/>
                            <w:bottom w:val="none" w:sz="0" w:space="0" w:color="auto"/>
                            <w:right w:val="none" w:sz="0" w:space="0" w:color="auto"/>
                          </w:divBdr>
                          <w:divsChild>
                            <w:div w:id="79327408">
                              <w:marLeft w:val="0"/>
                              <w:marRight w:val="0"/>
                              <w:marTop w:val="0"/>
                              <w:marBottom w:val="0"/>
                              <w:divBdr>
                                <w:top w:val="none" w:sz="0" w:space="0" w:color="auto"/>
                                <w:left w:val="none" w:sz="0" w:space="0" w:color="auto"/>
                                <w:bottom w:val="none" w:sz="0" w:space="0" w:color="auto"/>
                                <w:right w:val="none" w:sz="0" w:space="0" w:color="auto"/>
                              </w:divBdr>
                              <w:divsChild>
                                <w:div w:id="55261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4844457">
      <w:bodyDiv w:val="1"/>
      <w:marLeft w:val="0"/>
      <w:marRight w:val="0"/>
      <w:marTop w:val="0"/>
      <w:marBottom w:val="0"/>
      <w:divBdr>
        <w:top w:val="none" w:sz="0" w:space="0" w:color="auto"/>
        <w:left w:val="none" w:sz="0" w:space="0" w:color="auto"/>
        <w:bottom w:val="none" w:sz="0" w:space="0" w:color="auto"/>
        <w:right w:val="none" w:sz="0" w:space="0" w:color="auto"/>
      </w:divBdr>
    </w:div>
    <w:div w:id="612980610">
      <w:bodyDiv w:val="1"/>
      <w:marLeft w:val="0"/>
      <w:marRight w:val="0"/>
      <w:marTop w:val="0"/>
      <w:marBottom w:val="0"/>
      <w:divBdr>
        <w:top w:val="none" w:sz="0" w:space="0" w:color="auto"/>
        <w:left w:val="none" w:sz="0" w:space="0" w:color="auto"/>
        <w:bottom w:val="none" w:sz="0" w:space="0" w:color="auto"/>
        <w:right w:val="none" w:sz="0" w:space="0" w:color="auto"/>
      </w:divBdr>
    </w:div>
    <w:div w:id="667944653">
      <w:bodyDiv w:val="1"/>
      <w:marLeft w:val="0"/>
      <w:marRight w:val="0"/>
      <w:marTop w:val="0"/>
      <w:marBottom w:val="0"/>
      <w:divBdr>
        <w:top w:val="none" w:sz="0" w:space="0" w:color="auto"/>
        <w:left w:val="none" w:sz="0" w:space="0" w:color="auto"/>
        <w:bottom w:val="none" w:sz="0" w:space="0" w:color="auto"/>
        <w:right w:val="none" w:sz="0" w:space="0" w:color="auto"/>
      </w:divBdr>
    </w:div>
    <w:div w:id="1165516939">
      <w:bodyDiv w:val="1"/>
      <w:marLeft w:val="0"/>
      <w:marRight w:val="0"/>
      <w:marTop w:val="0"/>
      <w:marBottom w:val="0"/>
      <w:divBdr>
        <w:top w:val="none" w:sz="0" w:space="0" w:color="auto"/>
        <w:left w:val="none" w:sz="0" w:space="0" w:color="auto"/>
        <w:bottom w:val="none" w:sz="0" w:space="0" w:color="auto"/>
        <w:right w:val="none" w:sz="0" w:space="0" w:color="auto"/>
      </w:divBdr>
    </w:div>
    <w:div w:id="1391465899">
      <w:bodyDiv w:val="1"/>
      <w:marLeft w:val="0"/>
      <w:marRight w:val="0"/>
      <w:marTop w:val="0"/>
      <w:marBottom w:val="0"/>
      <w:divBdr>
        <w:top w:val="none" w:sz="0" w:space="0" w:color="auto"/>
        <w:left w:val="none" w:sz="0" w:space="0" w:color="auto"/>
        <w:bottom w:val="none" w:sz="0" w:space="0" w:color="auto"/>
        <w:right w:val="none" w:sz="0" w:space="0" w:color="auto"/>
      </w:divBdr>
      <w:divsChild>
        <w:div w:id="1126239214">
          <w:marLeft w:val="0"/>
          <w:marRight w:val="0"/>
          <w:marTop w:val="0"/>
          <w:marBottom w:val="0"/>
          <w:divBdr>
            <w:top w:val="none" w:sz="0" w:space="0" w:color="auto"/>
            <w:left w:val="none" w:sz="0" w:space="0" w:color="auto"/>
            <w:bottom w:val="none" w:sz="0" w:space="0" w:color="auto"/>
            <w:right w:val="none" w:sz="0" w:space="0" w:color="auto"/>
          </w:divBdr>
          <w:divsChild>
            <w:div w:id="1428037025">
              <w:marLeft w:val="30"/>
              <w:marRight w:val="30"/>
              <w:marTop w:val="30"/>
              <w:marBottom w:val="0"/>
              <w:divBdr>
                <w:top w:val="none" w:sz="0" w:space="0" w:color="auto"/>
                <w:left w:val="none" w:sz="0" w:space="0" w:color="auto"/>
                <w:bottom w:val="none" w:sz="0" w:space="0" w:color="auto"/>
                <w:right w:val="none" w:sz="0" w:space="0" w:color="auto"/>
              </w:divBdr>
              <w:divsChild>
                <w:div w:id="1028918372">
                  <w:marLeft w:val="210"/>
                  <w:marRight w:val="210"/>
                  <w:marTop w:val="0"/>
                  <w:marBottom w:val="30"/>
                  <w:divBdr>
                    <w:top w:val="none" w:sz="0" w:space="0" w:color="auto"/>
                    <w:left w:val="none" w:sz="0" w:space="0" w:color="auto"/>
                    <w:bottom w:val="none" w:sz="0" w:space="0" w:color="auto"/>
                    <w:right w:val="none" w:sz="0" w:space="0" w:color="auto"/>
                  </w:divBdr>
                  <w:divsChild>
                    <w:div w:id="171146213">
                      <w:marLeft w:val="0"/>
                      <w:marRight w:val="30"/>
                      <w:marTop w:val="0"/>
                      <w:marBottom w:val="0"/>
                      <w:divBdr>
                        <w:top w:val="none" w:sz="0" w:space="0" w:color="auto"/>
                        <w:left w:val="none" w:sz="0" w:space="0" w:color="auto"/>
                        <w:bottom w:val="none" w:sz="0" w:space="0" w:color="auto"/>
                        <w:right w:val="none" w:sz="0" w:space="0" w:color="auto"/>
                      </w:divBdr>
                      <w:divsChild>
                        <w:div w:id="734739080">
                          <w:marLeft w:val="0"/>
                          <w:marRight w:val="0"/>
                          <w:marTop w:val="0"/>
                          <w:marBottom w:val="0"/>
                          <w:divBdr>
                            <w:top w:val="none" w:sz="0" w:space="0" w:color="auto"/>
                            <w:left w:val="none" w:sz="0" w:space="0" w:color="auto"/>
                            <w:bottom w:val="none" w:sz="0" w:space="0" w:color="auto"/>
                            <w:right w:val="none" w:sz="0" w:space="0" w:color="auto"/>
                          </w:divBdr>
                          <w:divsChild>
                            <w:div w:id="1338508029">
                              <w:marLeft w:val="0"/>
                              <w:marRight w:val="0"/>
                              <w:marTop w:val="0"/>
                              <w:marBottom w:val="0"/>
                              <w:divBdr>
                                <w:top w:val="none" w:sz="0" w:space="0" w:color="auto"/>
                                <w:left w:val="none" w:sz="0" w:space="0" w:color="auto"/>
                                <w:bottom w:val="none" w:sz="0" w:space="0" w:color="auto"/>
                                <w:right w:val="none" w:sz="0" w:space="0" w:color="auto"/>
                              </w:divBdr>
                              <w:divsChild>
                                <w:div w:id="147378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9075870">
      <w:bodyDiv w:val="1"/>
      <w:marLeft w:val="0"/>
      <w:marRight w:val="0"/>
      <w:marTop w:val="0"/>
      <w:marBottom w:val="0"/>
      <w:divBdr>
        <w:top w:val="none" w:sz="0" w:space="0" w:color="auto"/>
        <w:left w:val="none" w:sz="0" w:space="0" w:color="auto"/>
        <w:bottom w:val="none" w:sz="0" w:space="0" w:color="auto"/>
        <w:right w:val="none" w:sz="0" w:space="0" w:color="auto"/>
      </w:divBdr>
      <w:divsChild>
        <w:div w:id="1086464984">
          <w:marLeft w:val="0"/>
          <w:marRight w:val="0"/>
          <w:marTop w:val="0"/>
          <w:marBottom w:val="0"/>
          <w:divBdr>
            <w:top w:val="none" w:sz="0" w:space="0" w:color="auto"/>
            <w:left w:val="none" w:sz="0" w:space="0" w:color="auto"/>
            <w:bottom w:val="none" w:sz="0" w:space="0" w:color="auto"/>
            <w:right w:val="none" w:sz="0" w:space="0" w:color="auto"/>
          </w:divBdr>
          <w:divsChild>
            <w:div w:id="1108696816">
              <w:marLeft w:val="30"/>
              <w:marRight w:val="30"/>
              <w:marTop w:val="30"/>
              <w:marBottom w:val="0"/>
              <w:divBdr>
                <w:top w:val="none" w:sz="0" w:space="0" w:color="auto"/>
                <w:left w:val="none" w:sz="0" w:space="0" w:color="auto"/>
                <w:bottom w:val="none" w:sz="0" w:space="0" w:color="auto"/>
                <w:right w:val="none" w:sz="0" w:space="0" w:color="auto"/>
              </w:divBdr>
              <w:divsChild>
                <w:div w:id="870461668">
                  <w:marLeft w:val="210"/>
                  <w:marRight w:val="210"/>
                  <w:marTop w:val="0"/>
                  <w:marBottom w:val="30"/>
                  <w:divBdr>
                    <w:top w:val="none" w:sz="0" w:space="0" w:color="auto"/>
                    <w:left w:val="none" w:sz="0" w:space="0" w:color="auto"/>
                    <w:bottom w:val="none" w:sz="0" w:space="0" w:color="auto"/>
                    <w:right w:val="none" w:sz="0" w:space="0" w:color="auto"/>
                  </w:divBdr>
                  <w:divsChild>
                    <w:div w:id="1351755199">
                      <w:marLeft w:val="0"/>
                      <w:marRight w:val="30"/>
                      <w:marTop w:val="0"/>
                      <w:marBottom w:val="0"/>
                      <w:divBdr>
                        <w:top w:val="none" w:sz="0" w:space="0" w:color="auto"/>
                        <w:left w:val="none" w:sz="0" w:space="0" w:color="auto"/>
                        <w:bottom w:val="none" w:sz="0" w:space="0" w:color="auto"/>
                        <w:right w:val="none" w:sz="0" w:space="0" w:color="auto"/>
                      </w:divBdr>
                      <w:divsChild>
                        <w:div w:id="45683762">
                          <w:marLeft w:val="0"/>
                          <w:marRight w:val="0"/>
                          <w:marTop w:val="0"/>
                          <w:marBottom w:val="0"/>
                          <w:divBdr>
                            <w:top w:val="none" w:sz="0" w:space="0" w:color="auto"/>
                            <w:left w:val="none" w:sz="0" w:space="0" w:color="auto"/>
                            <w:bottom w:val="none" w:sz="0" w:space="0" w:color="auto"/>
                            <w:right w:val="none" w:sz="0" w:space="0" w:color="auto"/>
                          </w:divBdr>
                          <w:divsChild>
                            <w:div w:id="44764951">
                              <w:marLeft w:val="0"/>
                              <w:marRight w:val="0"/>
                              <w:marTop w:val="0"/>
                              <w:marBottom w:val="0"/>
                              <w:divBdr>
                                <w:top w:val="none" w:sz="0" w:space="0" w:color="auto"/>
                                <w:left w:val="none" w:sz="0" w:space="0" w:color="auto"/>
                                <w:bottom w:val="none" w:sz="0" w:space="0" w:color="auto"/>
                                <w:right w:val="none" w:sz="0" w:space="0" w:color="auto"/>
                              </w:divBdr>
                              <w:divsChild>
                                <w:div w:id="84347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7.xml"/><Relationship Id="rId117" Type="http://schemas.openxmlformats.org/officeDocument/2006/relationships/footer" Target="footer53.xml"/><Relationship Id="rId21" Type="http://schemas.openxmlformats.org/officeDocument/2006/relationships/footer" Target="footer5.xml"/><Relationship Id="rId42" Type="http://schemas.openxmlformats.org/officeDocument/2006/relationships/header" Target="header16.xml"/><Relationship Id="rId47" Type="http://schemas.openxmlformats.org/officeDocument/2006/relationships/footer" Target="footer18.xml"/><Relationship Id="rId63" Type="http://schemas.openxmlformats.org/officeDocument/2006/relationships/footer" Target="footer26.xml"/><Relationship Id="rId68" Type="http://schemas.openxmlformats.org/officeDocument/2006/relationships/footer" Target="footer28.xml"/><Relationship Id="rId84" Type="http://schemas.openxmlformats.org/officeDocument/2006/relationships/header" Target="header37.xml"/><Relationship Id="rId89" Type="http://schemas.openxmlformats.org/officeDocument/2006/relationships/footer" Target="footer39.xml"/><Relationship Id="rId112" Type="http://schemas.openxmlformats.org/officeDocument/2006/relationships/header" Target="header51.xml"/><Relationship Id="rId133" Type="http://schemas.openxmlformats.org/officeDocument/2006/relationships/header" Target="header62.xml"/><Relationship Id="rId138" Type="http://schemas.openxmlformats.org/officeDocument/2006/relationships/header" Target="header64.xml"/><Relationship Id="rId154" Type="http://schemas.openxmlformats.org/officeDocument/2006/relationships/header" Target="header72.xml"/><Relationship Id="rId159" Type="http://schemas.openxmlformats.org/officeDocument/2006/relationships/footer" Target="footer74.xml"/><Relationship Id="rId175" Type="http://schemas.openxmlformats.org/officeDocument/2006/relationships/theme" Target="theme/theme1.xml"/><Relationship Id="rId170" Type="http://schemas.openxmlformats.org/officeDocument/2006/relationships/footer" Target="footer79.xml"/><Relationship Id="rId16" Type="http://schemas.openxmlformats.org/officeDocument/2006/relationships/header" Target="header3.xml"/><Relationship Id="rId107" Type="http://schemas.openxmlformats.org/officeDocument/2006/relationships/footer" Target="footer48.xml"/><Relationship Id="rId11" Type="http://schemas.openxmlformats.org/officeDocument/2006/relationships/image" Target="media/image1.emf"/><Relationship Id="rId32" Type="http://schemas.openxmlformats.org/officeDocument/2006/relationships/footer" Target="footer10.xml"/><Relationship Id="rId37" Type="http://schemas.openxmlformats.org/officeDocument/2006/relationships/header" Target="header14.xml"/><Relationship Id="rId53" Type="http://schemas.openxmlformats.org/officeDocument/2006/relationships/footer" Target="footer21.xml"/><Relationship Id="rId58" Type="http://schemas.openxmlformats.org/officeDocument/2006/relationships/header" Target="header24.xml"/><Relationship Id="rId74" Type="http://schemas.openxmlformats.org/officeDocument/2006/relationships/footer" Target="footer31.xml"/><Relationship Id="rId79" Type="http://schemas.openxmlformats.org/officeDocument/2006/relationships/header" Target="header35.xml"/><Relationship Id="rId102" Type="http://schemas.openxmlformats.org/officeDocument/2006/relationships/header" Target="header46.xml"/><Relationship Id="rId123" Type="http://schemas.openxmlformats.org/officeDocument/2006/relationships/footer" Target="footer56.xml"/><Relationship Id="rId128" Type="http://schemas.openxmlformats.org/officeDocument/2006/relationships/footer" Target="footer58.xml"/><Relationship Id="rId144" Type="http://schemas.openxmlformats.org/officeDocument/2006/relationships/header" Target="header67.xml"/><Relationship Id="rId149" Type="http://schemas.openxmlformats.org/officeDocument/2006/relationships/footer" Target="footer69.xml"/><Relationship Id="rId5" Type="http://schemas.openxmlformats.org/officeDocument/2006/relationships/numbering" Target="numbering.xml"/><Relationship Id="rId90" Type="http://schemas.openxmlformats.org/officeDocument/2006/relationships/header" Target="header40.xml"/><Relationship Id="rId95" Type="http://schemas.openxmlformats.org/officeDocument/2006/relationships/footer" Target="footer42.xml"/><Relationship Id="rId160" Type="http://schemas.openxmlformats.org/officeDocument/2006/relationships/header" Target="header75.xml"/><Relationship Id="rId165" Type="http://schemas.openxmlformats.org/officeDocument/2006/relationships/footer" Target="footer77.xml"/><Relationship Id="rId22" Type="http://schemas.openxmlformats.org/officeDocument/2006/relationships/header" Target="header6.xml"/><Relationship Id="rId27" Type="http://schemas.openxmlformats.org/officeDocument/2006/relationships/footer" Target="footer8.xml"/><Relationship Id="rId43" Type="http://schemas.openxmlformats.org/officeDocument/2006/relationships/header" Target="header17.xml"/><Relationship Id="rId48" Type="http://schemas.openxmlformats.org/officeDocument/2006/relationships/header" Target="header19.xml"/><Relationship Id="rId64" Type="http://schemas.openxmlformats.org/officeDocument/2006/relationships/header" Target="header27.xml"/><Relationship Id="rId69" Type="http://schemas.openxmlformats.org/officeDocument/2006/relationships/footer" Target="footer29.xml"/><Relationship Id="rId113" Type="http://schemas.openxmlformats.org/officeDocument/2006/relationships/footer" Target="footer51.xml"/><Relationship Id="rId118" Type="http://schemas.openxmlformats.org/officeDocument/2006/relationships/header" Target="header54.xml"/><Relationship Id="rId134" Type="http://schemas.openxmlformats.org/officeDocument/2006/relationships/footer" Target="footer61.xml"/><Relationship Id="rId139" Type="http://schemas.openxmlformats.org/officeDocument/2006/relationships/header" Target="header65.xml"/><Relationship Id="rId80" Type="http://schemas.openxmlformats.org/officeDocument/2006/relationships/footer" Target="footer34.xml"/><Relationship Id="rId85" Type="http://schemas.openxmlformats.org/officeDocument/2006/relationships/header" Target="header38.xml"/><Relationship Id="rId150" Type="http://schemas.openxmlformats.org/officeDocument/2006/relationships/header" Target="header70.xml"/><Relationship Id="rId155" Type="http://schemas.openxmlformats.org/officeDocument/2006/relationships/footer" Target="footer72.xml"/><Relationship Id="rId171" Type="http://schemas.openxmlformats.org/officeDocument/2006/relationships/footer" Target="footer80.xml"/><Relationship Id="rId12" Type="http://schemas.openxmlformats.org/officeDocument/2006/relationships/header" Target="header1.xml"/><Relationship Id="rId17" Type="http://schemas.openxmlformats.org/officeDocument/2006/relationships/footer" Target="footer3.xml"/><Relationship Id="rId33" Type="http://schemas.openxmlformats.org/officeDocument/2006/relationships/footer" Target="footer11.xml"/><Relationship Id="rId38" Type="http://schemas.openxmlformats.org/officeDocument/2006/relationships/footer" Target="footer13.xml"/><Relationship Id="rId59" Type="http://schemas.openxmlformats.org/officeDocument/2006/relationships/footer" Target="footer24.xml"/><Relationship Id="rId103" Type="http://schemas.openxmlformats.org/officeDocument/2006/relationships/header" Target="header47.xml"/><Relationship Id="rId108" Type="http://schemas.openxmlformats.org/officeDocument/2006/relationships/header" Target="header49.xml"/><Relationship Id="rId124" Type="http://schemas.openxmlformats.org/officeDocument/2006/relationships/header" Target="header57.xml"/><Relationship Id="rId129" Type="http://schemas.openxmlformats.org/officeDocument/2006/relationships/footer" Target="footer59.xml"/><Relationship Id="rId54" Type="http://schemas.openxmlformats.org/officeDocument/2006/relationships/header" Target="header22.xml"/><Relationship Id="rId70" Type="http://schemas.openxmlformats.org/officeDocument/2006/relationships/header" Target="header30.xml"/><Relationship Id="rId75" Type="http://schemas.openxmlformats.org/officeDocument/2006/relationships/footer" Target="footer32.xml"/><Relationship Id="rId91" Type="http://schemas.openxmlformats.org/officeDocument/2006/relationships/header" Target="header41.xml"/><Relationship Id="rId96" Type="http://schemas.openxmlformats.org/officeDocument/2006/relationships/header" Target="header43.xml"/><Relationship Id="rId140" Type="http://schemas.openxmlformats.org/officeDocument/2006/relationships/footer" Target="footer64.xml"/><Relationship Id="rId145" Type="http://schemas.openxmlformats.org/officeDocument/2006/relationships/header" Target="header68.xml"/><Relationship Id="rId161" Type="http://schemas.openxmlformats.org/officeDocument/2006/relationships/footer" Target="footer75.xml"/><Relationship Id="rId166" Type="http://schemas.openxmlformats.org/officeDocument/2006/relationships/header" Target="header78.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footer" Target="footer6.xml"/><Relationship Id="rId28" Type="http://schemas.openxmlformats.org/officeDocument/2006/relationships/header" Target="header9.xml"/><Relationship Id="rId49" Type="http://schemas.openxmlformats.org/officeDocument/2006/relationships/header" Target="header20.xml"/><Relationship Id="rId114" Type="http://schemas.openxmlformats.org/officeDocument/2006/relationships/header" Target="header52.xml"/><Relationship Id="rId119" Type="http://schemas.openxmlformats.org/officeDocument/2006/relationships/footer" Target="footer54.xml"/><Relationship Id="rId10" Type="http://schemas.openxmlformats.org/officeDocument/2006/relationships/endnotes" Target="endnotes.xml"/><Relationship Id="rId31" Type="http://schemas.openxmlformats.org/officeDocument/2006/relationships/header" Target="header11.xml"/><Relationship Id="rId44" Type="http://schemas.openxmlformats.org/officeDocument/2006/relationships/footer" Target="footer16.xml"/><Relationship Id="rId52" Type="http://schemas.openxmlformats.org/officeDocument/2006/relationships/header" Target="header21.xml"/><Relationship Id="rId60" Type="http://schemas.openxmlformats.org/officeDocument/2006/relationships/header" Target="header25.xml"/><Relationship Id="rId65" Type="http://schemas.openxmlformats.org/officeDocument/2006/relationships/footer" Target="footer27.xml"/><Relationship Id="rId73" Type="http://schemas.openxmlformats.org/officeDocument/2006/relationships/header" Target="header32.xml"/><Relationship Id="rId78" Type="http://schemas.openxmlformats.org/officeDocument/2006/relationships/header" Target="header34.xml"/><Relationship Id="rId81" Type="http://schemas.openxmlformats.org/officeDocument/2006/relationships/footer" Target="footer35.xml"/><Relationship Id="rId86" Type="http://schemas.openxmlformats.org/officeDocument/2006/relationships/footer" Target="footer37.xml"/><Relationship Id="rId94" Type="http://schemas.openxmlformats.org/officeDocument/2006/relationships/header" Target="header42.xml"/><Relationship Id="rId99" Type="http://schemas.openxmlformats.org/officeDocument/2006/relationships/footer" Target="footer44.xml"/><Relationship Id="rId101" Type="http://schemas.openxmlformats.org/officeDocument/2006/relationships/footer" Target="footer45.xml"/><Relationship Id="rId122" Type="http://schemas.openxmlformats.org/officeDocument/2006/relationships/footer" Target="footer55.xml"/><Relationship Id="rId130" Type="http://schemas.openxmlformats.org/officeDocument/2006/relationships/header" Target="header60.xml"/><Relationship Id="rId135" Type="http://schemas.openxmlformats.org/officeDocument/2006/relationships/footer" Target="footer62.xml"/><Relationship Id="rId143" Type="http://schemas.openxmlformats.org/officeDocument/2006/relationships/footer" Target="footer66.xml"/><Relationship Id="rId148" Type="http://schemas.openxmlformats.org/officeDocument/2006/relationships/header" Target="header69.xml"/><Relationship Id="rId151" Type="http://schemas.openxmlformats.org/officeDocument/2006/relationships/header" Target="header71.xml"/><Relationship Id="rId156" Type="http://schemas.openxmlformats.org/officeDocument/2006/relationships/header" Target="header73.xml"/><Relationship Id="rId164" Type="http://schemas.openxmlformats.org/officeDocument/2006/relationships/footer" Target="footer76.xml"/><Relationship Id="rId169" Type="http://schemas.openxmlformats.org/officeDocument/2006/relationships/header" Target="header80.xml"/><Relationship Id="rId4" Type="http://schemas.openxmlformats.org/officeDocument/2006/relationships/customXml" Target="../customXml/item4.xml"/><Relationship Id="rId9" Type="http://schemas.openxmlformats.org/officeDocument/2006/relationships/footnotes" Target="footnotes.xml"/><Relationship Id="rId172" Type="http://schemas.openxmlformats.org/officeDocument/2006/relationships/header" Target="header81.xml"/><Relationship Id="rId13" Type="http://schemas.openxmlformats.org/officeDocument/2006/relationships/header" Target="header2.xml"/><Relationship Id="rId18" Type="http://schemas.openxmlformats.org/officeDocument/2006/relationships/header" Target="header4.xml"/><Relationship Id="rId39" Type="http://schemas.openxmlformats.org/officeDocument/2006/relationships/footer" Target="footer14.xml"/><Relationship Id="rId109" Type="http://schemas.openxmlformats.org/officeDocument/2006/relationships/header" Target="header50.xml"/><Relationship Id="rId34" Type="http://schemas.openxmlformats.org/officeDocument/2006/relationships/header" Target="header12.xml"/><Relationship Id="rId50" Type="http://schemas.openxmlformats.org/officeDocument/2006/relationships/footer" Target="footer19.xml"/><Relationship Id="rId55" Type="http://schemas.openxmlformats.org/officeDocument/2006/relationships/header" Target="header23.xml"/><Relationship Id="rId76" Type="http://schemas.openxmlformats.org/officeDocument/2006/relationships/header" Target="header33.xml"/><Relationship Id="rId97" Type="http://schemas.openxmlformats.org/officeDocument/2006/relationships/header" Target="header44.xml"/><Relationship Id="rId104" Type="http://schemas.openxmlformats.org/officeDocument/2006/relationships/footer" Target="footer46.xml"/><Relationship Id="rId120" Type="http://schemas.openxmlformats.org/officeDocument/2006/relationships/header" Target="header55.xml"/><Relationship Id="rId125" Type="http://schemas.openxmlformats.org/officeDocument/2006/relationships/footer" Target="footer57.xml"/><Relationship Id="rId141" Type="http://schemas.openxmlformats.org/officeDocument/2006/relationships/footer" Target="footer65.xml"/><Relationship Id="rId146" Type="http://schemas.openxmlformats.org/officeDocument/2006/relationships/footer" Target="footer67.xml"/><Relationship Id="rId167" Type="http://schemas.openxmlformats.org/officeDocument/2006/relationships/footer" Target="footer78.xml"/><Relationship Id="rId7" Type="http://schemas.openxmlformats.org/officeDocument/2006/relationships/settings" Target="settings.xml"/><Relationship Id="rId71" Type="http://schemas.openxmlformats.org/officeDocument/2006/relationships/footer" Target="footer30.xml"/><Relationship Id="rId92" Type="http://schemas.openxmlformats.org/officeDocument/2006/relationships/footer" Target="footer40.xml"/><Relationship Id="rId162" Type="http://schemas.openxmlformats.org/officeDocument/2006/relationships/header" Target="header76.xml"/><Relationship Id="rId2" Type="http://schemas.openxmlformats.org/officeDocument/2006/relationships/customXml" Target="../customXml/item2.xml"/><Relationship Id="rId29" Type="http://schemas.openxmlformats.org/officeDocument/2006/relationships/footer" Target="footer9.xml"/><Relationship Id="rId24" Type="http://schemas.openxmlformats.org/officeDocument/2006/relationships/header" Target="header7.xml"/><Relationship Id="rId40" Type="http://schemas.openxmlformats.org/officeDocument/2006/relationships/header" Target="header15.xml"/><Relationship Id="rId45" Type="http://schemas.openxmlformats.org/officeDocument/2006/relationships/footer" Target="footer17.xml"/><Relationship Id="rId66" Type="http://schemas.openxmlformats.org/officeDocument/2006/relationships/header" Target="header28.xml"/><Relationship Id="rId87" Type="http://schemas.openxmlformats.org/officeDocument/2006/relationships/footer" Target="footer38.xml"/><Relationship Id="rId110" Type="http://schemas.openxmlformats.org/officeDocument/2006/relationships/footer" Target="footer49.xml"/><Relationship Id="rId115" Type="http://schemas.openxmlformats.org/officeDocument/2006/relationships/header" Target="header53.xml"/><Relationship Id="rId131" Type="http://schemas.openxmlformats.org/officeDocument/2006/relationships/footer" Target="footer60.xml"/><Relationship Id="rId136" Type="http://schemas.openxmlformats.org/officeDocument/2006/relationships/header" Target="header63.xml"/><Relationship Id="rId157" Type="http://schemas.openxmlformats.org/officeDocument/2006/relationships/header" Target="header74.xml"/><Relationship Id="rId61" Type="http://schemas.openxmlformats.org/officeDocument/2006/relationships/header" Target="header26.xml"/><Relationship Id="rId82" Type="http://schemas.openxmlformats.org/officeDocument/2006/relationships/header" Target="header36.xml"/><Relationship Id="rId152" Type="http://schemas.openxmlformats.org/officeDocument/2006/relationships/footer" Target="footer70.xml"/><Relationship Id="rId173" Type="http://schemas.openxmlformats.org/officeDocument/2006/relationships/footer" Target="footer81.xml"/><Relationship Id="rId19" Type="http://schemas.openxmlformats.org/officeDocument/2006/relationships/header" Target="header5.xml"/><Relationship Id="rId14" Type="http://schemas.openxmlformats.org/officeDocument/2006/relationships/footer" Target="footer1.xml"/><Relationship Id="rId30" Type="http://schemas.openxmlformats.org/officeDocument/2006/relationships/header" Target="header10.xml"/><Relationship Id="rId35" Type="http://schemas.openxmlformats.org/officeDocument/2006/relationships/footer" Target="footer12.xml"/><Relationship Id="rId56" Type="http://schemas.openxmlformats.org/officeDocument/2006/relationships/footer" Target="footer22.xml"/><Relationship Id="rId77" Type="http://schemas.openxmlformats.org/officeDocument/2006/relationships/footer" Target="footer33.xml"/><Relationship Id="rId100" Type="http://schemas.openxmlformats.org/officeDocument/2006/relationships/header" Target="header45.xml"/><Relationship Id="rId105" Type="http://schemas.openxmlformats.org/officeDocument/2006/relationships/footer" Target="footer47.xml"/><Relationship Id="rId126" Type="http://schemas.openxmlformats.org/officeDocument/2006/relationships/header" Target="header58.xml"/><Relationship Id="rId147" Type="http://schemas.openxmlformats.org/officeDocument/2006/relationships/footer" Target="footer68.xml"/><Relationship Id="rId168" Type="http://schemas.openxmlformats.org/officeDocument/2006/relationships/header" Target="header79.xml"/><Relationship Id="rId8" Type="http://schemas.openxmlformats.org/officeDocument/2006/relationships/webSettings" Target="webSettings.xml"/><Relationship Id="rId51" Type="http://schemas.openxmlformats.org/officeDocument/2006/relationships/footer" Target="footer20.xml"/><Relationship Id="rId72" Type="http://schemas.openxmlformats.org/officeDocument/2006/relationships/header" Target="header31.xml"/><Relationship Id="rId93" Type="http://schemas.openxmlformats.org/officeDocument/2006/relationships/footer" Target="footer41.xml"/><Relationship Id="rId98" Type="http://schemas.openxmlformats.org/officeDocument/2006/relationships/footer" Target="footer43.xml"/><Relationship Id="rId121" Type="http://schemas.openxmlformats.org/officeDocument/2006/relationships/header" Target="header56.xml"/><Relationship Id="rId142" Type="http://schemas.openxmlformats.org/officeDocument/2006/relationships/header" Target="header66.xml"/><Relationship Id="rId163" Type="http://schemas.openxmlformats.org/officeDocument/2006/relationships/header" Target="header77.xml"/><Relationship Id="rId3" Type="http://schemas.openxmlformats.org/officeDocument/2006/relationships/customXml" Target="../customXml/item3.xml"/><Relationship Id="rId25" Type="http://schemas.openxmlformats.org/officeDocument/2006/relationships/header" Target="header8.xml"/><Relationship Id="rId46" Type="http://schemas.openxmlformats.org/officeDocument/2006/relationships/header" Target="header18.xml"/><Relationship Id="rId67" Type="http://schemas.openxmlformats.org/officeDocument/2006/relationships/header" Target="header29.xml"/><Relationship Id="rId116" Type="http://schemas.openxmlformats.org/officeDocument/2006/relationships/footer" Target="footer52.xml"/><Relationship Id="rId137" Type="http://schemas.openxmlformats.org/officeDocument/2006/relationships/footer" Target="footer63.xml"/><Relationship Id="rId158" Type="http://schemas.openxmlformats.org/officeDocument/2006/relationships/footer" Target="footer73.xml"/><Relationship Id="rId20" Type="http://schemas.openxmlformats.org/officeDocument/2006/relationships/footer" Target="footer4.xml"/><Relationship Id="rId41" Type="http://schemas.openxmlformats.org/officeDocument/2006/relationships/footer" Target="footer15.xml"/><Relationship Id="rId62" Type="http://schemas.openxmlformats.org/officeDocument/2006/relationships/footer" Target="footer25.xml"/><Relationship Id="rId83" Type="http://schemas.openxmlformats.org/officeDocument/2006/relationships/footer" Target="footer36.xml"/><Relationship Id="rId88" Type="http://schemas.openxmlformats.org/officeDocument/2006/relationships/header" Target="header39.xml"/><Relationship Id="rId111" Type="http://schemas.openxmlformats.org/officeDocument/2006/relationships/footer" Target="footer50.xml"/><Relationship Id="rId132" Type="http://schemas.openxmlformats.org/officeDocument/2006/relationships/header" Target="header61.xml"/><Relationship Id="rId153" Type="http://schemas.openxmlformats.org/officeDocument/2006/relationships/footer" Target="footer71.xml"/><Relationship Id="rId174" Type="http://schemas.openxmlformats.org/officeDocument/2006/relationships/fontTable" Target="fontTable.xml"/><Relationship Id="rId15" Type="http://schemas.openxmlformats.org/officeDocument/2006/relationships/footer" Target="footer2.xml"/><Relationship Id="rId36" Type="http://schemas.openxmlformats.org/officeDocument/2006/relationships/header" Target="header13.xml"/><Relationship Id="rId57" Type="http://schemas.openxmlformats.org/officeDocument/2006/relationships/footer" Target="footer23.xml"/><Relationship Id="rId106" Type="http://schemas.openxmlformats.org/officeDocument/2006/relationships/header" Target="header48.xml"/><Relationship Id="rId127" Type="http://schemas.openxmlformats.org/officeDocument/2006/relationships/header" Target="header59.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newsroom/dae/document.cfm?doc_id=751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integrated xmlns="69540217-dd4d-4552-b080-f316f8754f84">false</Commentsintegrate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04E1EBFBC69D4E9F6EFDF5C754386E" ma:contentTypeVersion="12" ma:contentTypeDescription="Create a new document." ma:contentTypeScope="" ma:versionID="4c1283ef22ce777917e79326ed5e6751">
  <xsd:schema xmlns:xsd="http://www.w3.org/2001/XMLSchema" xmlns:xs="http://www.w3.org/2001/XMLSchema" xmlns:p="http://schemas.microsoft.com/office/2006/metadata/properties" xmlns:ns2="69540217-dd4d-4552-b080-f316f8754f84" xmlns:ns3="41198b08-d09d-409c-a169-ca1eb44fa897" targetNamespace="http://schemas.microsoft.com/office/2006/metadata/properties" ma:root="true" ma:fieldsID="f118c2d0c431aca95b3cdd048e515e7b" ns2:_="" ns3:_="">
    <xsd:import namespace="69540217-dd4d-4552-b080-f316f8754f84"/>
    <xsd:import namespace="41198b08-d09d-409c-a169-ca1eb44fa8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Commentsintegrate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540217-dd4d-4552-b080-f316f8754f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ommentsintegrated" ma:index="18" nillable="true" ma:displayName="Comments integrated" ma:default="0" ma:format="Dropdown" ma:internalName="Commentsintegrated">
      <xsd:simpleType>
        <xsd:restriction base="dms:Boolea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198b08-d09d-409c-a169-ca1eb44fa89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19BCB-11A0-4E29-BA11-7961EFE41E03}">
  <ds:schemaRefs>
    <ds:schemaRef ds:uri="http://schemas.microsoft.com/office/2006/metadata/properties"/>
    <ds:schemaRef ds:uri="http://schemas.microsoft.com/office/infopath/2007/PartnerControls"/>
    <ds:schemaRef ds:uri="69540217-dd4d-4552-b080-f316f8754f84"/>
  </ds:schemaRefs>
</ds:datastoreItem>
</file>

<file path=customXml/itemProps2.xml><?xml version="1.0" encoding="utf-8"?>
<ds:datastoreItem xmlns:ds="http://schemas.openxmlformats.org/officeDocument/2006/customXml" ds:itemID="{C200373C-09BE-4C7A-9029-0B702385D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540217-dd4d-4552-b080-f316f8754f84"/>
    <ds:schemaRef ds:uri="41198b08-d09d-409c-a169-ca1eb44fa8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33806C-4904-4534-895C-7FCD2678AC5E}">
  <ds:schemaRefs>
    <ds:schemaRef ds:uri="http://schemas.microsoft.com/sharepoint/v3/contenttype/forms"/>
  </ds:schemaRefs>
</ds:datastoreItem>
</file>

<file path=customXml/itemProps4.xml><?xml version="1.0" encoding="utf-8"?>
<ds:datastoreItem xmlns:ds="http://schemas.openxmlformats.org/officeDocument/2006/customXml" ds:itemID="{6B784B57-773B-4E09-8391-6FB39CA7F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76687</Words>
  <Characters>437116</Characters>
  <Application>Microsoft Office Word</Application>
  <DocSecurity>0</DocSecurity>
  <Lines>3642</Lines>
  <Paragraphs>1025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512778</CharactersWithSpaces>
  <SharedDoc>false</SharedDoc>
  <HLinks>
    <vt:vector size="6" baseType="variant">
      <vt:variant>
        <vt:i4>7340046</vt:i4>
      </vt:variant>
      <vt:variant>
        <vt:i4>0</vt:i4>
      </vt:variant>
      <vt:variant>
        <vt:i4>0</vt:i4>
      </vt:variant>
      <vt:variant>
        <vt:i4>5</vt:i4>
      </vt:variant>
      <vt:variant>
        <vt:lpwstr>https://ec.europa.eu/newsroom/dae/document.cfm?doc_id=75185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13</cp:revision>
  <dcterms:created xsi:type="dcterms:W3CDTF">2023-11-12T06:59:00Z</dcterms:created>
  <dcterms:modified xsi:type="dcterms:W3CDTF">2023-11-28T15:46:00Z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ast edited using">
    <vt:lpwstr>LW 9.0, Build 20230317</vt:lpwstr>
  </property>
  <property fmtid="{D5CDD505-2E9C-101B-9397-08002B2CF9AE}" pid="4" name="MSIP_Label_6bd9ddd1-4d20-43f6-abfa-fc3c07406f94_Enabled">
    <vt:lpwstr>true</vt:lpwstr>
  </property>
  <property fmtid="{D5CDD505-2E9C-101B-9397-08002B2CF9AE}" pid="5" name="MSIP_Label_6bd9ddd1-4d20-43f6-abfa-fc3c07406f94_SetDate">
    <vt:lpwstr>2023-11-01T09:40:03Z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21f12d72-58b4-4820-a69c-7ccb8150d18f</vt:lpwstr>
  </property>
  <property fmtid="{D5CDD505-2E9C-101B-9397-08002B2CF9AE}" pid="10" name="MSIP_Label_6bd9ddd1-4d20-43f6-abfa-fc3c07406f94_ContentBits">
    <vt:lpwstr>0</vt:lpwstr>
  </property>
  <property fmtid="{D5CDD505-2E9C-101B-9397-08002B2CF9AE}" pid="11" name="ContentTypeId">
    <vt:lpwstr>0x0101001904E1EBFBC69D4E9F6EFDF5C754386E</vt:lpwstr>
  </property>
  <property fmtid="{D5CDD505-2E9C-101B-9397-08002B2CF9AE}" pid="12" name="Level of sensitivity">
    <vt:lpwstr>Standard treatment</vt:lpwstr>
  </property>
  <property fmtid="{D5CDD505-2E9C-101B-9397-08002B2CF9AE}" pid="13" name="First annex">
    <vt:lpwstr>1</vt:lpwstr>
  </property>
  <property fmtid="{D5CDD505-2E9C-101B-9397-08002B2CF9AE}" pid="14" name="Last annex">
    <vt:lpwstr>1</vt:lpwstr>
  </property>
  <property fmtid="{D5CDD505-2E9C-101B-9397-08002B2CF9AE}" pid="15" name="Unique annex">
    <vt:lpwstr>1</vt:lpwstr>
  </property>
  <property fmtid="{D5CDD505-2E9C-101B-9397-08002B2CF9AE}" pid="16" name="Part">
    <vt:lpwstr>1</vt:lpwstr>
  </property>
  <property fmtid="{D5CDD505-2E9C-101B-9397-08002B2CF9AE}" pid="17" name="Total parts">
    <vt:lpwstr>1</vt:lpwstr>
  </property>
  <property fmtid="{D5CDD505-2E9C-101B-9397-08002B2CF9AE}" pid="18" name="CPTemplateID">
    <vt:lpwstr>CP-036</vt:lpwstr>
  </property>
</Properties>
</file>